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85" w:rsidRPr="009949B9" w:rsidRDefault="00E75B85" w:rsidP="00E75B85">
      <w:pPr>
        <w:pStyle w:val="NoSpacing"/>
        <w:jc w:val="center"/>
        <w:rPr>
          <w:color w:val="auto"/>
          <w:sz w:val="36"/>
          <w:lang w:val="en-GB"/>
        </w:rPr>
      </w:pPr>
      <w:bookmarkStart w:id="0" w:name="_Toc328407342"/>
    </w:p>
    <w:p w:rsidR="00E75B85" w:rsidRPr="009949B9" w:rsidRDefault="00E75B85" w:rsidP="00E75B85">
      <w:pPr>
        <w:pStyle w:val="NoSpacing"/>
        <w:jc w:val="center"/>
        <w:rPr>
          <w:color w:val="auto"/>
          <w:sz w:val="36"/>
          <w:lang w:val="en-GB"/>
        </w:rPr>
      </w:pPr>
    </w:p>
    <w:p w:rsidR="00E75B85" w:rsidRPr="009949B9" w:rsidRDefault="00E75B85" w:rsidP="00E75B85">
      <w:pPr>
        <w:pStyle w:val="NoSpacing"/>
        <w:jc w:val="center"/>
        <w:rPr>
          <w:color w:val="auto"/>
          <w:sz w:val="36"/>
          <w:lang w:val="en-GB"/>
        </w:rPr>
      </w:pPr>
    </w:p>
    <w:p w:rsidR="009B1F7C" w:rsidRPr="00622420" w:rsidRDefault="007F7AA8" w:rsidP="00837281">
      <w:pPr>
        <w:pStyle w:val="Title"/>
      </w:pPr>
      <w:r w:rsidRPr="00622420">
        <w:t>Implementing Self-M</w:t>
      </w:r>
      <w:r w:rsidR="00905EEF" w:rsidRPr="00622420">
        <w:t xml:space="preserve">anagement </w:t>
      </w:r>
      <w:r w:rsidR="00905EEF" w:rsidRPr="00837281">
        <w:t>and</w:t>
      </w:r>
      <w:r w:rsidR="00905EEF" w:rsidRPr="00622420">
        <w:t xml:space="preserve"> Shared Care Projects</w:t>
      </w:r>
      <w:bookmarkEnd w:id="0"/>
    </w:p>
    <w:p w:rsidR="00E75B85" w:rsidRPr="009949B9" w:rsidRDefault="00E75B85" w:rsidP="00E75B85">
      <w:pPr>
        <w:rPr>
          <w:rFonts w:ascii="Georgia" w:hAnsi="Georgia"/>
          <w:color w:val="auto"/>
          <w:lang w:val="en-GB"/>
        </w:rPr>
      </w:pPr>
      <w:r w:rsidRPr="009949B9">
        <w:rPr>
          <w:rFonts w:ascii="Georgia" w:hAnsi="Georgia"/>
          <w:color w:val="auto"/>
          <w:lang w:val="en-GB"/>
        </w:rPr>
        <w:t>________________________________________</w:t>
      </w:r>
      <w:r w:rsidR="009949B9">
        <w:rPr>
          <w:rFonts w:ascii="Georgia" w:hAnsi="Georgia"/>
          <w:color w:val="auto"/>
          <w:lang w:val="en-GB"/>
        </w:rPr>
        <w:t>________________________</w:t>
      </w:r>
    </w:p>
    <w:bookmarkStart w:id="1" w:name="_GoBack" w:displacedByCustomXml="next"/>
    <w:sdt>
      <w:sdtPr>
        <w:rPr>
          <w:b/>
          <w:color w:val="auto"/>
          <w:sz w:val="36"/>
          <w:lang w:val="en-GB"/>
        </w:rPr>
        <w:id w:val="6002688"/>
        <w:placeholder>
          <w:docPart w:val="E036C30EE742224ABAC8369AD57DFF76"/>
        </w:placeholder>
      </w:sdtPr>
      <w:sdtEndPr>
        <w:rPr>
          <w:sz w:val="44"/>
          <w:szCs w:val="60"/>
        </w:rPr>
      </w:sdtEndPr>
      <w:sdtContent>
        <w:p w:rsidR="00506D4C" w:rsidRPr="009949B9" w:rsidRDefault="00506D4C" w:rsidP="00E75B85">
          <w:pPr>
            <w:pStyle w:val="NoSpacing"/>
            <w:jc w:val="center"/>
            <w:rPr>
              <w:b/>
              <w:color w:val="auto"/>
              <w:sz w:val="36"/>
              <w:lang w:val="en-GB"/>
            </w:rPr>
          </w:pPr>
        </w:p>
        <w:p w:rsidR="009B1F7C" w:rsidRPr="009949B9" w:rsidRDefault="00E75B85" w:rsidP="00837281">
          <w:pPr>
            <w:pStyle w:val="Subtitle"/>
            <w:rPr>
              <w:sz w:val="44"/>
            </w:rPr>
          </w:pPr>
          <w:r w:rsidRPr="00622420">
            <w:t>S</w:t>
          </w:r>
          <w:r w:rsidR="00905EEF" w:rsidRPr="00622420">
            <w:t xml:space="preserve">ummary of findings and </w:t>
          </w:r>
          <w:r w:rsidR="00905EEF" w:rsidRPr="00837281">
            <w:t>implementation</w:t>
          </w:r>
          <w:r w:rsidR="00905EEF" w:rsidRPr="00622420">
            <w:t xml:space="preserve"> advice</w:t>
          </w:r>
        </w:p>
      </w:sdtContent>
    </w:sdt>
    <w:bookmarkEnd w:id="1" w:displacedByCustomXml="prev"/>
    <w:p w:rsidR="00905EEF" w:rsidRPr="009949B9" w:rsidRDefault="00905EEF">
      <w:pPr>
        <w:jc w:val="cente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sz w:val="22"/>
          <w:lang w:val="en-GB"/>
        </w:rPr>
      </w:pPr>
      <w:r w:rsidRPr="009949B9">
        <w:rPr>
          <w:rFonts w:ascii="Georgia" w:hAnsi="Georgia"/>
          <w:color w:val="auto"/>
          <w:sz w:val="22"/>
          <w:lang w:val="en-GB"/>
        </w:rPr>
        <w:t>Author: Hayden McRobbie   MBChB (Otago) PhD (London)</w:t>
      </w:r>
    </w:p>
    <w:p w:rsidR="00905EEF" w:rsidRPr="009949B9" w:rsidRDefault="00905EEF" w:rsidP="00905EEF">
      <w:pPr>
        <w:rPr>
          <w:rFonts w:ascii="Georgia" w:hAnsi="Georgia"/>
          <w:color w:val="auto"/>
          <w:sz w:val="22"/>
          <w:lang w:val="en-GB"/>
        </w:rPr>
      </w:pPr>
      <w:r w:rsidRPr="009949B9">
        <w:rPr>
          <w:rFonts w:ascii="Georgia" w:hAnsi="Georgia"/>
          <w:color w:val="auto"/>
          <w:sz w:val="22"/>
          <w:lang w:val="en-GB"/>
        </w:rPr>
        <w:t>Director, The Dragon Institute for Innovation</w:t>
      </w:r>
    </w:p>
    <w:p w:rsidR="00905EEF" w:rsidRPr="009949B9" w:rsidRDefault="00905EEF" w:rsidP="00905EEF">
      <w:pPr>
        <w:rPr>
          <w:rFonts w:ascii="Georgia" w:hAnsi="Georgia"/>
          <w:color w:val="auto"/>
          <w:lang w:val="en-GB"/>
        </w:rPr>
      </w:pPr>
      <w:r w:rsidRPr="009949B9">
        <w:rPr>
          <w:rFonts w:ascii="Georgia" w:hAnsi="Georgia"/>
          <w:color w:val="auto"/>
          <w:sz w:val="22"/>
          <w:lang w:val="en-GB"/>
        </w:rPr>
        <w:t>Professor of Public Health Interventions, Wolfson Institute of Preventive Medicine</w:t>
      </w:r>
    </w:p>
    <w:p w:rsidR="00905EEF" w:rsidRPr="009949B9" w:rsidRDefault="00905EEF" w:rsidP="00905EEF">
      <w:pPr>
        <w:rPr>
          <w:rFonts w:ascii="Georgia" w:hAnsi="Georgia"/>
          <w:color w:val="auto"/>
          <w:lang w:val="en-GB"/>
        </w:rPr>
      </w:pPr>
      <w:r w:rsidRPr="009949B9">
        <w:rPr>
          <w:rFonts w:ascii="Georgia" w:hAnsi="Georgia"/>
          <w:color w:val="auto"/>
          <w:lang w:val="en-GB"/>
        </w:rPr>
        <w:br w:type="page"/>
      </w:r>
    </w:p>
    <w:p w:rsidR="00905EEF" w:rsidRPr="009949B9" w:rsidRDefault="00905EEF" w:rsidP="000729B6">
      <w:pPr>
        <w:pStyle w:val="NoSpacing"/>
        <w:rPr>
          <w:b/>
          <w:color w:val="auto"/>
          <w:sz w:val="60"/>
          <w:szCs w:val="60"/>
          <w:lang w:val="en-GB"/>
        </w:rPr>
      </w:pPr>
      <w:bookmarkStart w:id="2" w:name="_Toc328407343"/>
      <w:r w:rsidRPr="009949B9">
        <w:rPr>
          <w:b/>
          <w:color w:val="auto"/>
          <w:sz w:val="60"/>
          <w:szCs w:val="60"/>
          <w:lang w:val="en-GB"/>
        </w:rPr>
        <w:t>Contents</w:t>
      </w:r>
      <w:bookmarkEnd w:id="2"/>
    </w:p>
    <w:p w:rsidR="00B82C81" w:rsidRPr="00B82C81" w:rsidRDefault="00B50FC5">
      <w:pPr>
        <w:pStyle w:val="TOC1"/>
        <w:tabs>
          <w:tab w:val="right" w:leader="dot" w:pos="8290"/>
        </w:tabs>
        <w:rPr>
          <w:rFonts w:ascii="Georgia" w:hAnsi="Georgia"/>
          <w:noProof/>
          <w:color w:val="auto"/>
          <w:sz w:val="22"/>
          <w:lang w:val="en-NZ" w:eastAsia="en-NZ"/>
        </w:rPr>
      </w:pPr>
      <w:r w:rsidRPr="00B82C81">
        <w:rPr>
          <w:rFonts w:ascii="Georgia" w:hAnsi="Georgia"/>
          <w:color w:val="auto"/>
          <w:lang w:val="en-GB"/>
        </w:rPr>
        <w:fldChar w:fldCharType="begin"/>
      </w:r>
      <w:r w:rsidR="00905EEF" w:rsidRPr="00B82C81">
        <w:rPr>
          <w:rFonts w:ascii="Georgia" w:hAnsi="Georgia"/>
          <w:color w:val="auto"/>
          <w:lang w:val="en-GB"/>
        </w:rPr>
        <w:instrText xml:space="preserve"> TOC \o "1-3" </w:instrText>
      </w:r>
      <w:r w:rsidRPr="00B82C81">
        <w:rPr>
          <w:rFonts w:ascii="Georgia" w:hAnsi="Georgia"/>
          <w:color w:val="auto"/>
          <w:lang w:val="en-GB"/>
        </w:rPr>
        <w:fldChar w:fldCharType="separate"/>
      </w:r>
      <w:r w:rsidR="00B82C81" w:rsidRPr="00B82C81">
        <w:rPr>
          <w:rFonts w:ascii="Georgia" w:hAnsi="Georgia"/>
          <w:noProof/>
          <w:color w:val="auto"/>
        </w:rPr>
        <w:t>Overview</w:t>
      </w:r>
      <w:r w:rsidR="00B82C81" w:rsidRPr="00B82C81">
        <w:rPr>
          <w:rFonts w:ascii="Georgia" w:hAnsi="Georgia"/>
          <w:noProof/>
          <w:color w:val="auto"/>
        </w:rPr>
        <w:tab/>
      </w:r>
      <w:r w:rsidR="00B82C81" w:rsidRPr="00B82C81">
        <w:rPr>
          <w:rFonts w:ascii="Georgia" w:hAnsi="Georgia"/>
          <w:noProof/>
          <w:color w:val="auto"/>
        </w:rPr>
        <w:fldChar w:fldCharType="begin"/>
      </w:r>
      <w:r w:rsidR="00B82C81" w:rsidRPr="00B82C81">
        <w:rPr>
          <w:rFonts w:ascii="Georgia" w:hAnsi="Georgia"/>
          <w:noProof/>
          <w:color w:val="auto"/>
        </w:rPr>
        <w:instrText xml:space="preserve"> PAGEREF _Toc465944107 \h </w:instrText>
      </w:r>
      <w:r w:rsidR="00B82C81" w:rsidRPr="00B82C81">
        <w:rPr>
          <w:rFonts w:ascii="Georgia" w:hAnsi="Georgia"/>
          <w:noProof/>
          <w:color w:val="auto"/>
        </w:rPr>
      </w:r>
      <w:r w:rsidR="00B82C81" w:rsidRPr="00B82C81">
        <w:rPr>
          <w:rFonts w:ascii="Georgia" w:hAnsi="Georgia"/>
          <w:noProof/>
          <w:color w:val="auto"/>
        </w:rPr>
        <w:fldChar w:fldCharType="separate"/>
      </w:r>
      <w:r w:rsidR="00B82C81" w:rsidRPr="00B82C81">
        <w:rPr>
          <w:rFonts w:ascii="Georgia" w:hAnsi="Georgia"/>
          <w:noProof/>
          <w:color w:val="auto"/>
        </w:rPr>
        <w:t>3</w:t>
      </w:r>
      <w:r w:rsidR="00B82C81" w:rsidRPr="00B82C81">
        <w:rPr>
          <w:rFonts w:ascii="Georgia" w:hAnsi="Georgia"/>
          <w:noProof/>
          <w:color w:val="auto"/>
        </w:rPr>
        <w:fldChar w:fldCharType="end"/>
      </w:r>
    </w:p>
    <w:p w:rsidR="00B82C81" w:rsidRPr="00B82C81" w:rsidRDefault="00B82C81">
      <w:pPr>
        <w:pStyle w:val="TOC1"/>
        <w:tabs>
          <w:tab w:val="right" w:leader="dot" w:pos="8290"/>
        </w:tabs>
        <w:rPr>
          <w:rFonts w:ascii="Georgia" w:hAnsi="Georgia"/>
          <w:noProof/>
          <w:color w:val="auto"/>
          <w:sz w:val="22"/>
          <w:lang w:val="en-NZ" w:eastAsia="en-NZ"/>
        </w:rPr>
      </w:pPr>
      <w:r w:rsidRPr="00B82C81">
        <w:rPr>
          <w:rFonts w:ascii="Georgia" w:hAnsi="Georgia"/>
          <w:noProof/>
          <w:color w:val="auto"/>
        </w:rPr>
        <w:t>Section 1: Summary of projects</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_Toc465944108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4</w:t>
      </w:r>
      <w:r w:rsidRPr="00B82C81">
        <w:rPr>
          <w:rFonts w:ascii="Georgia" w:hAnsi="Georgia"/>
          <w:noProof/>
          <w:color w:val="auto"/>
        </w:rPr>
        <w:fldChar w:fldCharType="end"/>
      </w:r>
    </w:p>
    <w:p w:rsidR="00B82C81" w:rsidRPr="00B82C81" w:rsidRDefault="00B82C81">
      <w:pPr>
        <w:pStyle w:val="TOC2"/>
        <w:tabs>
          <w:tab w:val="right" w:leader="dot" w:pos="8290"/>
        </w:tabs>
        <w:rPr>
          <w:rFonts w:ascii="Georgia" w:hAnsi="Georgia"/>
          <w:noProof/>
          <w:color w:val="auto"/>
          <w:sz w:val="22"/>
          <w:lang w:val="en-NZ" w:eastAsia="en-NZ"/>
        </w:rPr>
      </w:pPr>
      <w:r w:rsidRPr="00B82C81">
        <w:rPr>
          <w:rFonts w:ascii="Georgia" w:hAnsi="Georgia"/>
          <w:noProof/>
          <w:color w:val="auto"/>
        </w:rPr>
        <w:t>(1) Diabetes innovation fund projects</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_Toc465944109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4</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Harbour Sport</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_Toc465944110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4</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Sport Bay of Plenty</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_Toc465944111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7</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Sport Waikato, Gisborne- Tairawhiti and Taranaki</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_Toc465944112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8</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Health Hawke’s Bay</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_Toc465944113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10</w:t>
      </w:r>
      <w:r w:rsidRPr="00B82C81">
        <w:rPr>
          <w:rFonts w:ascii="Georgia" w:hAnsi="Georgia"/>
          <w:noProof/>
          <w:color w:val="auto"/>
        </w:rPr>
        <w:fldChar w:fldCharType="end"/>
      </w:r>
    </w:p>
    <w:p w:rsidR="00B82C81" w:rsidRPr="00B82C81" w:rsidRDefault="00B82C81">
      <w:pPr>
        <w:pStyle w:val="TOC2"/>
        <w:tabs>
          <w:tab w:val="right" w:leader="dot" w:pos="8290"/>
        </w:tabs>
        <w:rPr>
          <w:rFonts w:ascii="Georgia" w:hAnsi="Georgia"/>
          <w:noProof/>
          <w:color w:val="auto"/>
          <w:sz w:val="22"/>
          <w:lang w:val="en-NZ" w:eastAsia="en-NZ"/>
        </w:rPr>
      </w:pPr>
      <w:r w:rsidRPr="00B82C81">
        <w:rPr>
          <w:rFonts w:ascii="Georgia" w:hAnsi="Georgia"/>
          <w:noProof/>
          <w:color w:val="auto"/>
        </w:rPr>
        <w:t>(2) Self-management and shared care projects</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_Toc465944114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16</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Alliance Health Plus Trust</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_Toc465944115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16</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Hauraki PHO – Manawanui Whai Ora Kaitiaki</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_Toc465944116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18</w:t>
      </w:r>
      <w:r w:rsidRPr="00B82C81">
        <w:rPr>
          <w:rFonts w:ascii="Georgia" w:hAnsi="Georgia"/>
          <w:noProof/>
          <w:color w:val="auto"/>
        </w:rPr>
        <w:fldChar w:fldCharType="end"/>
      </w:r>
    </w:p>
    <w:p w:rsidR="00B82C81" w:rsidRPr="00B82C81" w:rsidRDefault="00B82C81">
      <w:pPr>
        <w:pStyle w:val="TOC3"/>
        <w:tabs>
          <w:tab w:val="right" w:leader="dot" w:pos="8290"/>
        </w:tabs>
        <w:rPr>
          <w:rFonts w:ascii="Georgia" w:hAnsi="Georgia"/>
          <w:noProof/>
          <w:color w:val="auto"/>
          <w:sz w:val="22"/>
          <w:lang w:val="en-NZ" w:eastAsia="en-NZ"/>
        </w:rPr>
      </w:pPr>
      <w:r w:rsidRPr="00B82C81">
        <w:rPr>
          <w:rFonts w:ascii="Georgia" w:hAnsi="Georgia"/>
          <w:noProof/>
          <w:color w:val="auto"/>
        </w:rPr>
        <w:t>ProCare</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_Toc465944117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20</w:t>
      </w:r>
      <w:r w:rsidRPr="00B82C81">
        <w:rPr>
          <w:rFonts w:ascii="Georgia" w:hAnsi="Georgia"/>
          <w:noProof/>
          <w:color w:val="auto"/>
        </w:rPr>
        <w:fldChar w:fldCharType="end"/>
      </w:r>
    </w:p>
    <w:p w:rsidR="00B82C81" w:rsidRPr="00B82C81" w:rsidRDefault="00B82C81">
      <w:pPr>
        <w:pStyle w:val="TOC1"/>
        <w:tabs>
          <w:tab w:val="right" w:leader="dot" w:pos="8290"/>
        </w:tabs>
        <w:rPr>
          <w:rFonts w:ascii="Georgia" w:hAnsi="Georgia"/>
          <w:noProof/>
          <w:color w:val="auto"/>
          <w:sz w:val="22"/>
          <w:lang w:val="en-NZ" w:eastAsia="en-NZ"/>
        </w:rPr>
      </w:pPr>
      <w:r w:rsidRPr="00B82C81">
        <w:rPr>
          <w:rFonts w:ascii="Georgia" w:hAnsi="Georgia"/>
          <w:noProof/>
          <w:color w:val="auto"/>
        </w:rPr>
        <w:t>Section 2: Barriers and facilitators to implementation</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_Toc465944118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26</w:t>
      </w:r>
      <w:r w:rsidRPr="00B82C81">
        <w:rPr>
          <w:rFonts w:ascii="Georgia" w:hAnsi="Georgia"/>
          <w:noProof/>
          <w:color w:val="auto"/>
        </w:rPr>
        <w:fldChar w:fldCharType="end"/>
      </w:r>
    </w:p>
    <w:p w:rsidR="00B82C81" w:rsidRPr="00B82C81" w:rsidRDefault="00B82C81">
      <w:pPr>
        <w:pStyle w:val="TOC2"/>
        <w:tabs>
          <w:tab w:val="right" w:leader="dot" w:pos="8290"/>
        </w:tabs>
        <w:rPr>
          <w:rFonts w:ascii="Georgia" w:hAnsi="Georgia"/>
          <w:noProof/>
          <w:color w:val="auto"/>
          <w:sz w:val="22"/>
          <w:lang w:val="en-NZ" w:eastAsia="en-NZ"/>
        </w:rPr>
      </w:pPr>
      <w:r w:rsidRPr="00B82C81">
        <w:rPr>
          <w:rFonts w:ascii="Georgia" w:hAnsi="Georgia"/>
          <w:noProof/>
          <w:color w:val="auto"/>
        </w:rPr>
        <w:t>(1) Barriers to implementation</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_Toc465944119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26</w:t>
      </w:r>
      <w:r w:rsidRPr="00B82C81">
        <w:rPr>
          <w:rFonts w:ascii="Georgia" w:hAnsi="Georgia"/>
          <w:noProof/>
          <w:color w:val="auto"/>
        </w:rPr>
        <w:fldChar w:fldCharType="end"/>
      </w:r>
    </w:p>
    <w:p w:rsidR="00B82C81" w:rsidRPr="00B82C81" w:rsidRDefault="00B82C81">
      <w:pPr>
        <w:pStyle w:val="TOC2"/>
        <w:tabs>
          <w:tab w:val="right" w:leader="dot" w:pos="8290"/>
        </w:tabs>
        <w:rPr>
          <w:rFonts w:ascii="Georgia" w:hAnsi="Georgia"/>
          <w:noProof/>
          <w:color w:val="auto"/>
          <w:sz w:val="22"/>
          <w:lang w:val="en-NZ" w:eastAsia="en-NZ"/>
        </w:rPr>
      </w:pPr>
      <w:r w:rsidRPr="00B82C81">
        <w:rPr>
          <w:rFonts w:ascii="Georgia" w:hAnsi="Georgia"/>
          <w:noProof/>
          <w:color w:val="auto"/>
        </w:rPr>
        <w:t>(2) Facilitators to implementation</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_Toc465944120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30</w:t>
      </w:r>
      <w:r w:rsidRPr="00B82C81">
        <w:rPr>
          <w:rFonts w:ascii="Georgia" w:hAnsi="Georgia"/>
          <w:noProof/>
          <w:color w:val="auto"/>
        </w:rPr>
        <w:fldChar w:fldCharType="end"/>
      </w:r>
    </w:p>
    <w:p w:rsidR="00B82C81" w:rsidRPr="00B82C81" w:rsidRDefault="00B82C81">
      <w:pPr>
        <w:pStyle w:val="TOC1"/>
        <w:tabs>
          <w:tab w:val="right" w:leader="dot" w:pos="8290"/>
        </w:tabs>
        <w:rPr>
          <w:rFonts w:ascii="Georgia" w:hAnsi="Georgia"/>
          <w:noProof/>
          <w:color w:val="auto"/>
          <w:sz w:val="22"/>
          <w:lang w:val="en-NZ" w:eastAsia="en-NZ"/>
        </w:rPr>
      </w:pPr>
      <w:r w:rsidRPr="00B82C81">
        <w:rPr>
          <w:rFonts w:ascii="Georgia" w:hAnsi="Georgia"/>
          <w:noProof/>
          <w:color w:val="auto"/>
        </w:rPr>
        <w:t>Section 3: Summary and implementation advice</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_Toc465944121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35</w:t>
      </w:r>
      <w:r w:rsidRPr="00B82C81">
        <w:rPr>
          <w:rFonts w:ascii="Georgia" w:hAnsi="Georgia"/>
          <w:noProof/>
          <w:color w:val="auto"/>
        </w:rPr>
        <w:fldChar w:fldCharType="end"/>
      </w:r>
    </w:p>
    <w:p w:rsidR="00B82C81" w:rsidRPr="00B82C81" w:rsidRDefault="00B82C81">
      <w:pPr>
        <w:pStyle w:val="TOC2"/>
        <w:tabs>
          <w:tab w:val="right" w:leader="dot" w:pos="8290"/>
        </w:tabs>
        <w:rPr>
          <w:rFonts w:ascii="Georgia" w:hAnsi="Georgia"/>
          <w:noProof/>
          <w:color w:val="auto"/>
          <w:sz w:val="22"/>
          <w:lang w:val="en-NZ" w:eastAsia="en-NZ"/>
        </w:rPr>
      </w:pPr>
      <w:r w:rsidRPr="00B82C81">
        <w:rPr>
          <w:rFonts w:ascii="Georgia" w:hAnsi="Georgia"/>
          <w:noProof/>
          <w:color w:val="auto"/>
        </w:rPr>
        <w:t>Considerations for future work</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_Toc465944122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37</w:t>
      </w:r>
      <w:r w:rsidRPr="00B82C81">
        <w:rPr>
          <w:rFonts w:ascii="Georgia" w:hAnsi="Georgia"/>
          <w:noProof/>
          <w:color w:val="auto"/>
        </w:rPr>
        <w:fldChar w:fldCharType="end"/>
      </w:r>
    </w:p>
    <w:p w:rsidR="00B82C81" w:rsidRPr="00B82C81" w:rsidRDefault="00B82C81">
      <w:pPr>
        <w:pStyle w:val="TOC1"/>
        <w:tabs>
          <w:tab w:val="right" w:leader="dot" w:pos="8290"/>
        </w:tabs>
        <w:rPr>
          <w:rFonts w:ascii="Georgia" w:hAnsi="Georgia"/>
          <w:noProof/>
          <w:color w:val="auto"/>
          <w:sz w:val="22"/>
          <w:lang w:val="en-NZ" w:eastAsia="en-NZ"/>
        </w:rPr>
      </w:pPr>
      <w:r w:rsidRPr="00B82C81">
        <w:rPr>
          <w:rFonts w:ascii="Georgia" w:hAnsi="Georgia"/>
          <w:noProof/>
          <w:color w:val="auto"/>
        </w:rPr>
        <w:t>References</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_Toc465944123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38</w:t>
      </w:r>
      <w:r w:rsidRPr="00B82C81">
        <w:rPr>
          <w:rFonts w:ascii="Georgia" w:hAnsi="Georgia"/>
          <w:noProof/>
          <w:color w:val="auto"/>
        </w:rPr>
        <w:fldChar w:fldCharType="end"/>
      </w:r>
    </w:p>
    <w:p w:rsidR="00B82C81" w:rsidRPr="00B82C81" w:rsidRDefault="00B82C81">
      <w:pPr>
        <w:pStyle w:val="TOC1"/>
        <w:tabs>
          <w:tab w:val="right" w:leader="dot" w:pos="8290"/>
        </w:tabs>
        <w:rPr>
          <w:rFonts w:ascii="Georgia" w:hAnsi="Georgia"/>
          <w:noProof/>
          <w:color w:val="auto"/>
          <w:sz w:val="22"/>
          <w:lang w:val="en-NZ" w:eastAsia="en-NZ"/>
        </w:rPr>
      </w:pPr>
      <w:r w:rsidRPr="00B82C81">
        <w:rPr>
          <w:rFonts w:ascii="Georgia" w:hAnsi="Georgia"/>
          <w:noProof/>
          <w:color w:val="auto"/>
        </w:rPr>
        <w:t>Appendix 1: Evidence-based behaviour change techniques for increasing healthy eating and physical activity</w:t>
      </w:r>
      <w:r w:rsidRPr="00B82C81">
        <w:rPr>
          <w:rFonts w:ascii="Georgia" w:hAnsi="Georgia"/>
          <w:noProof/>
          <w:color w:val="auto"/>
        </w:rPr>
        <w:tab/>
      </w:r>
      <w:r w:rsidRPr="00B82C81">
        <w:rPr>
          <w:rFonts w:ascii="Georgia" w:hAnsi="Georgia"/>
          <w:noProof/>
          <w:color w:val="auto"/>
        </w:rPr>
        <w:fldChar w:fldCharType="begin"/>
      </w:r>
      <w:r w:rsidRPr="00B82C81">
        <w:rPr>
          <w:rFonts w:ascii="Georgia" w:hAnsi="Georgia"/>
          <w:noProof/>
          <w:color w:val="auto"/>
        </w:rPr>
        <w:instrText xml:space="preserve"> PAGEREF _Toc465944124 \h </w:instrText>
      </w:r>
      <w:r w:rsidRPr="00B82C81">
        <w:rPr>
          <w:rFonts w:ascii="Georgia" w:hAnsi="Georgia"/>
          <w:noProof/>
          <w:color w:val="auto"/>
        </w:rPr>
      </w:r>
      <w:r w:rsidRPr="00B82C81">
        <w:rPr>
          <w:rFonts w:ascii="Georgia" w:hAnsi="Georgia"/>
          <w:noProof/>
          <w:color w:val="auto"/>
        </w:rPr>
        <w:fldChar w:fldCharType="separate"/>
      </w:r>
      <w:r w:rsidRPr="00B82C81">
        <w:rPr>
          <w:rFonts w:ascii="Georgia" w:hAnsi="Georgia"/>
          <w:noProof/>
          <w:color w:val="auto"/>
        </w:rPr>
        <w:t>40</w:t>
      </w:r>
      <w:r w:rsidRPr="00B82C81">
        <w:rPr>
          <w:rFonts w:ascii="Georgia" w:hAnsi="Georgia"/>
          <w:noProof/>
          <w:color w:val="auto"/>
        </w:rPr>
        <w:fldChar w:fldCharType="end"/>
      </w:r>
    </w:p>
    <w:p w:rsidR="00905EEF" w:rsidRPr="009949B9" w:rsidRDefault="00B50FC5" w:rsidP="00905EEF">
      <w:pPr>
        <w:spacing w:line="360" w:lineRule="auto"/>
        <w:rPr>
          <w:rFonts w:ascii="Georgia" w:eastAsiaTheme="majorEastAsia" w:hAnsi="Georgia" w:cstheme="majorBidi"/>
          <w:b/>
          <w:bCs/>
          <w:color w:val="auto"/>
          <w:sz w:val="32"/>
          <w:szCs w:val="32"/>
          <w:lang w:val="en-GB"/>
        </w:rPr>
      </w:pPr>
      <w:r w:rsidRPr="00B82C81">
        <w:rPr>
          <w:rFonts w:ascii="Georgia" w:hAnsi="Georgia"/>
          <w:color w:val="auto"/>
          <w:lang w:val="en-GB"/>
        </w:rPr>
        <w:fldChar w:fldCharType="end"/>
      </w:r>
      <w:r w:rsidR="00905EEF" w:rsidRPr="009949B9">
        <w:rPr>
          <w:rFonts w:ascii="Georgia" w:hAnsi="Georgia"/>
          <w:color w:val="auto"/>
          <w:lang w:val="en-GB"/>
        </w:rPr>
        <w:br w:type="page"/>
      </w:r>
    </w:p>
    <w:p w:rsidR="00905EEF" w:rsidRPr="009949B9" w:rsidRDefault="00673D90" w:rsidP="00034C96">
      <w:pPr>
        <w:pStyle w:val="Heading1"/>
      </w:pPr>
      <w:bookmarkStart w:id="3" w:name="_Toc465944107"/>
      <w:r w:rsidRPr="009949B9">
        <w:t>Overview</w:t>
      </w:r>
      <w:bookmarkEnd w:id="3"/>
    </w:p>
    <w:p w:rsidR="00905EEF" w:rsidRPr="009949B9" w:rsidRDefault="00905EEF" w:rsidP="00905EEF">
      <w:pPr>
        <w:pStyle w:val="NoSpacing"/>
        <w:rPr>
          <w:color w:val="auto"/>
          <w:lang w:val="en-GB"/>
        </w:rPr>
      </w:pPr>
      <w:r w:rsidRPr="009949B9">
        <w:rPr>
          <w:color w:val="auto"/>
          <w:lang w:val="en-GB"/>
        </w:rPr>
        <w:t>This purpose of this document is to summarise the findings of the pre</w:t>
      </w:r>
      <w:r w:rsidR="00E31CB2" w:rsidRPr="009949B9">
        <w:rPr>
          <w:color w:val="auto"/>
          <w:lang w:val="en-GB"/>
        </w:rPr>
        <w:t>-</w:t>
      </w:r>
      <w:r w:rsidRPr="009949B9">
        <w:rPr>
          <w:color w:val="auto"/>
          <w:lang w:val="en-GB"/>
        </w:rPr>
        <w:t>diabetes</w:t>
      </w:r>
      <w:r w:rsidR="00392292" w:rsidRPr="009949B9">
        <w:rPr>
          <w:color w:val="auto"/>
          <w:lang w:val="en-GB"/>
        </w:rPr>
        <w:t xml:space="preserve"> </w:t>
      </w:r>
      <w:r w:rsidRPr="009949B9">
        <w:rPr>
          <w:color w:val="auto"/>
          <w:lang w:val="en-GB"/>
        </w:rPr>
        <w:t>and self-management pilot projects</w:t>
      </w:r>
      <w:r w:rsidR="007F7AA8" w:rsidRPr="009949B9">
        <w:rPr>
          <w:color w:val="auto"/>
          <w:lang w:val="en-GB"/>
        </w:rPr>
        <w:t xml:space="preserve"> that</w:t>
      </w:r>
      <w:r w:rsidR="008D1694" w:rsidRPr="009949B9">
        <w:rPr>
          <w:color w:val="auto"/>
          <w:lang w:val="en-GB"/>
        </w:rPr>
        <w:t xml:space="preserve"> were undertaken to test a range of different approaches</w:t>
      </w:r>
      <w:r w:rsidR="009949B9">
        <w:rPr>
          <w:color w:val="auto"/>
          <w:lang w:val="en-GB"/>
        </w:rPr>
        <w:t xml:space="preserve">. Also, </w:t>
      </w:r>
      <w:r w:rsidR="00D14AE5" w:rsidRPr="009949B9">
        <w:rPr>
          <w:color w:val="auto"/>
          <w:lang w:val="en-GB"/>
        </w:rPr>
        <w:t xml:space="preserve">to </w:t>
      </w:r>
      <w:r w:rsidR="00392292" w:rsidRPr="009949B9">
        <w:rPr>
          <w:color w:val="auto"/>
          <w:lang w:val="en-GB"/>
        </w:rPr>
        <w:t>provide</w:t>
      </w:r>
      <w:r w:rsidRPr="009949B9">
        <w:rPr>
          <w:color w:val="auto"/>
          <w:lang w:val="en-GB"/>
        </w:rPr>
        <w:t xml:space="preserve"> </w:t>
      </w:r>
      <w:r w:rsidR="008D1694" w:rsidRPr="009949B9">
        <w:rPr>
          <w:color w:val="auto"/>
          <w:lang w:val="en-GB"/>
        </w:rPr>
        <w:t xml:space="preserve">information </w:t>
      </w:r>
      <w:r w:rsidRPr="009949B9">
        <w:rPr>
          <w:color w:val="auto"/>
          <w:lang w:val="en-GB"/>
        </w:rPr>
        <w:t xml:space="preserve">that </w:t>
      </w:r>
      <w:r w:rsidR="008C67B2" w:rsidRPr="009949B9">
        <w:rPr>
          <w:color w:val="auto"/>
          <w:lang w:val="en-GB"/>
        </w:rPr>
        <w:t xml:space="preserve">may </w:t>
      </w:r>
      <w:r w:rsidRPr="009949B9">
        <w:rPr>
          <w:color w:val="auto"/>
          <w:lang w:val="en-GB"/>
        </w:rPr>
        <w:t xml:space="preserve">be used by </w:t>
      </w:r>
      <w:r w:rsidR="00F45722" w:rsidRPr="009949B9">
        <w:rPr>
          <w:color w:val="auto"/>
          <w:lang w:val="en-GB"/>
        </w:rPr>
        <w:t>D</w:t>
      </w:r>
      <w:r w:rsidRPr="009949B9">
        <w:rPr>
          <w:color w:val="auto"/>
          <w:lang w:val="en-GB"/>
        </w:rPr>
        <w:t xml:space="preserve">istrict </w:t>
      </w:r>
      <w:r w:rsidR="00F45722" w:rsidRPr="009949B9">
        <w:rPr>
          <w:color w:val="auto"/>
          <w:lang w:val="en-GB"/>
        </w:rPr>
        <w:t>H</w:t>
      </w:r>
      <w:r w:rsidRPr="009949B9">
        <w:rPr>
          <w:color w:val="auto"/>
          <w:lang w:val="en-GB"/>
        </w:rPr>
        <w:t>ealth Boards (DHBs) and Primary Health Organisations (PHOs) to implement, monitor and refine programmes aimed to prevent diabetes and manage long-term conditions</w:t>
      </w:r>
      <w:r w:rsidR="00673D90" w:rsidRPr="009949B9">
        <w:rPr>
          <w:color w:val="auto"/>
          <w:lang w:val="en-GB"/>
        </w:rPr>
        <w:t>.</w:t>
      </w:r>
      <w:r w:rsidR="008D1694" w:rsidRPr="009949B9">
        <w:rPr>
          <w:color w:val="auto"/>
          <w:lang w:val="en-GB"/>
        </w:rPr>
        <w:t xml:space="preserve"> </w:t>
      </w:r>
      <w:r w:rsidR="00D14AE5" w:rsidRPr="009949B9">
        <w:rPr>
          <w:color w:val="auto"/>
          <w:lang w:val="en-GB"/>
        </w:rPr>
        <w:t>O</w:t>
      </w:r>
      <w:r w:rsidR="008D1694" w:rsidRPr="009949B9">
        <w:rPr>
          <w:color w:val="auto"/>
          <w:lang w:val="en-GB"/>
        </w:rPr>
        <w:t>rganisations should</w:t>
      </w:r>
      <w:r w:rsidR="00D14AE5" w:rsidRPr="009949B9">
        <w:rPr>
          <w:color w:val="auto"/>
          <w:lang w:val="en-GB"/>
        </w:rPr>
        <w:t>, however,</w:t>
      </w:r>
      <w:r w:rsidR="008D1694" w:rsidRPr="009949B9">
        <w:rPr>
          <w:color w:val="auto"/>
          <w:lang w:val="en-GB"/>
        </w:rPr>
        <w:t xml:space="preserve"> take care in interpreting the findings of these projects (eg</w:t>
      </w:r>
      <w:r w:rsidR="009949B9">
        <w:rPr>
          <w:color w:val="auto"/>
          <w:lang w:val="en-GB"/>
        </w:rPr>
        <w:t>, the</w:t>
      </w:r>
      <w:r w:rsidR="008D1694" w:rsidRPr="009949B9">
        <w:rPr>
          <w:color w:val="auto"/>
          <w:lang w:val="en-GB"/>
        </w:rPr>
        <w:t xml:space="preserve"> clinical significance of the changes and methodological </w:t>
      </w:r>
      <w:r w:rsidR="00284841" w:rsidRPr="009949B9">
        <w:rPr>
          <w:color w:val="auto"/>
          <w:lang w:val="en-GB"/>
        </w:rPr>
        <w:t>limitations</w:t>
      </w:r>
      <w:r w:rsidR="008D1694" w:rsidRPr="009949B9">
        <w:rPr>
          <w:color w:val="auto"/>
          <w:lang w:val="en-GB"/>
        </w:rPr>
        <w:t>)</w:t>
      </w:r>
      <w:r w:rsidR="009949B9">
        <w:rPr>
          <w:color w:val="auto"/>
          <w:lang w:val="en-GB"/>
        </w:rPr>
        <w:t>,</w:t>
      </w:r>
      <w:r w:rsidR="008D1694" w:rsidRPr="009949B9">
        <w:rPr>
          <w:color w:val="auto"/>
          <w:lang w:val="en-GB"/>
        </w:rPr>
        <w:t xml:space="preserve"> and consider the affordability at any scale for their population and the opportunity cost of investing in such programmes. </w:t>
      </w:r>
    </w:p>
    <w:p w:rsidR="00905EEF" w:rsidRPr="009949B9" w:rsidRDefault="00905EEF" w:rsidP="009949B9">
      <w:pPr>
        <w:spacing w:before="120" w:after="120" w:line="264" w:lineRule="auto"/>
        <w:rPr>
          <w:rFonts w:ascii="Georgia" w:hAnsi="Georgia"/>
          <w:b/>
          <w:color w:val="auto"/>
          <w:sz w:val="40"/>
          <w:szCs w:val="40"/>
          <w:lang w:val="en-GB"/>
        </w:rPr>
      </w:pPr>
      <w:r w:rsidRPr="009949B9">
        <w:rPr>
          <w:rFonts w:ascii="Georgia" w:hAnsi="Georgia"/>
          <w:b/>
          <w:color w:val="auto"/>
          <w:sz w:val="40"/>
          <w:szCs w:val="40"/>
          <w:lang w:val="en-GB"/>
        </w:rPr>
        <w:t>Objectives</w:t>
      </w:r>
    </w:p>
    <w:p w:rsidR="00905EEF" w:rsidRPr="009949B9" w:rsidRDefault="00905EEF" w:rsidP="00392292">
      <w:pPr>
        <w:pStyle w:val="NoSpacing"/>
        <w:rPr>
          <w:color w:val="auto"/>
          <w:lang w:val="en-GB"/>
        </w:rPr>
      </w:pPr>
      <w:r w:rsidRPr="009949B9">
        <w:rPr>
          <w:color w:val="auto"/>
          <w:lang w:val="en-GB"/>
        </w:rPr>
        <w:t>The main objectives of this report are to:</w:t>
      </w:r>
    </w:p>
    <w:p w:rsidR="00905EEF" w:rsidRPr="009949B9" w:rsidRDefault="00F45722" w:rsidP="00C408F2">
      <w:pPr>
        <w:pStyle w:val="ListParagraph"/>
        <w:numPr>
          <w:ilvl w:val="0"/>
          <w:numId w:val="34"/>
        </w:numPr>
        <w:rPr>
          <w:color w:val="auto"/>
        </w:rPr>
      </w:pPr>
      <w:r w:rsidRPr="009949B9">
        <w:rPr>
          <w:color w:val="auto"/>
        </w:rPr>
        <w:t>s</w:t>
      </w:r>
      <w:r w:rsidR="00905EEF" w:rsidRPr="009949B9">
        <w:rPr>
          <w:color w:val="auto"/>
        </w:rPr>
        <w:t xml:space="preserve">ummarise the </w:t>
      </w:r>
      <w:r w:rsidR="00673D90" w:rsidRPr="009949B9">
        <w:rPr>
          <w:color w:val="auto"/>
        </w:rPr>
        <w:t>results</w:t>
      </w:r>
      <w:r w:rsidR="00905EEF" w:rsidRPr="009949B9">
        <w:rPr>
          <w:color w:val="auto"/>
        </w:rPr>
        <w:t xml:space="preserve"> of each of the projects</w:t>
      </w:r>
    </w:p>
    <w:p w:rsidR="00905EEF" w:rsidRPr="009949B9" w:rsidRDefault="00F45722" w:rsidP="00C408F2">
      <w:pPr>
        <w:pStyle w:val="ListParagraph"/>
        <w:numPr>
          <w:ilvl w:val="0"/>
          <w:numId w:val="34"/>
        </w:numPr>
        <w:rPr>
          <w:color w:val="auto"/>
        </w:rPr>
      </w:pPr>
      <w:r w:rsidRPr="009949B9">
        <w:rPr>
          <w:color w:val="auto"/>
        </w:rPr>
        <w:t>d</w:t>
      </w:r>
      <w:r w:rsidR="00905EEF" w:rsidRPr="009949B9">
        <w:rPr>
          <w:color w:val="auto"/>
        </w:rPr>
        <w:t>escribe the key barriers and facilitators to implementation</w:t>
      </w:r>
    </w:p>
    <w:p w:rsidR="00905EEF" w:rsidRPr="009949B9" w:rsidRDefault="00F45722" w:rsidP="00C408F2">
      <w:pPr>
        <w:pStyle w:val="ListParagraph"/>
        <w:numPr>
          <w:ilvl w:val="0"/>
          <w:numId w:val="34"/>
        </w:numPr>
        <w:rPr>
          <w:color w:val="auto"/>
        </w:rPr>
      </w:pPr>
      <w:r w:rsidRPr="009949B9">
        <w:rPr>
          <w:color w:val="auto"/>
        </w:rPr>
        <w:t>p</w:t>
      </w:r>
      <w:r w:rsidR="00673D90" w:rsidRPr="009949B9">
        <w:rPr>
          <w:color w:val="auto"/>
        </w:rPr>
        <w:t>rovide</w:t>
      </w:r>
      <w:r w:rsidR="00905EEF" w:rsidRPr="009949B9">
        <w:rPr>
          <w:color w:val="auto"/>
        </w:rPr>
        <w:t xml:space="preserve"> advice that can be used by DHBs and PHOs to implement, monitor and refine programmes aimed to prevent diabetes and manage long-term conditions</w:t>
      </w:r>
      <w:r w:rsidRPr="009949B9">
        <w:rPr>
          <w:color w:val="auto"/>
        </w:rPr>
        <w:t>.</w:t>
      </w:r>
    </w:p>
    <w:p w:rsidR="00905EEF" w:rsidRPr="009949B9" w:rsidRDefault="00905EEF" w:rsidP="005E29FA">
      <w:pPr>
        <w:spacing w:before="120" w:after="120" w:line="264" w:lineRule="auto"/>
        <w:rPr>
          <w:rFonts w:ascii="Georgia" w:hAnsi="Georgia"/>
          <w:b/>
          <w:color w:val="auto"/>
          <w:sz w:val="22"/>
          <w:lang w:val="en-GB"/>
        </w:rPr>
      </w:pPr>
      <w:r w:rsidRPr="005E29FA">
        <w:rPr>
          <w:rFonts w:ascii="Georgia" w:hAnsi="Georgia"/>
          <w:b/>
          <w:color w:val="auto"/>
          <w:sz w:val="40"/>
          <w:szCs w:val="40"/>
          <w:lang w:val="en-GB"/>
        </w:rPr>
        <w:t>Sections</w:t>
      </w:r>
    </w:p>
    <w:p w:rsidR="00905EEF" w:rsidRPr="009949B9" w:rsidRDefault="00DB75DA" w:rsidP="00673D90">
      <w:pPr>
        <w:pStyle w:val="NoSpacing"/>
        <w:rPr>
          <w:color w:val="auto"/>
          <w:lang w:val="en-GB"/>
        </w:rPr>
      </w:pPr>
      <w:r w:rsidRPr="009949B9">
        <w:rPr>
          <w:color w:val="auto"/>
          <w:lang w:val="en-GB"/>
        </w:rPr>
        <w:t>The report is separated into three</w:t>
      </w:r>
      <w:r w:rsidR="00905EEF" w:rsidRPr="009949B9">
        <w:rPr>
          <w:color w:val="auto"/>
          <w:lang w:val="en-GB"/>
        </w:rPr>
        <w:t xml:space="preserve"> sections</w:t>
      </w:r>
      <w:r w:rsidR="00390CE4" w:rsidRPr="009949B9">
        <w:rPr>
          <w:color w:val="auto"/>
          <w:lang w:val="en-GB"/>
        </w:rPr>
        <w:t xml:space="preserve">, </w:t>
      </w:r>
      <w:r w:rsidR="00770B63" w:rsidRPr="009949B9">
        <w:rPr>
          <w:color w:val="auto"/>
          <w:lang w:val="en-GB"/>
        </w:rPr>
        <w:t>covering each of</w:t>
      </w:r>
      <w:r w:rsidR="00390CE4" w:rsidRPr="009949B9">
        <w:rPr>
          <w:color w:val="auto"/>
          <w:lang w:val="en-GB"/>
        </w:rPr>
        <w:t xml:space="preserve"> the objectives</w:t>
      </w:r>
      <w:r w:rsidR="00905EEF" w:rsidRPr="009949B9">
        <w:rPr>
          <w:color w:val="auto"/>
          <w:lang w:val="en-GB"/>
        </w:rPr>
        <w:t xml:space="preserve">. </w:t>
      </w:r>
      <w:r w:rsidRPr="009949B9">
        <w:rPr>
          <w:color w:val="auto"/>
          <w:lang w:val="en-GB"/>
        </w:rPr>
        <w:t>To help provide some context to this report, t</w:t>
      </w:r>
      <w:r w:rsidR="00673D90" w:rsidRPr="009949B9">
        <w:rPr>
          <w:color w:val="auto"/>
          <w:lang w:val="en-GB"/>
        </w:rPr>
        <w:t xml:space="preserve">he first </w:t>
      </w:r>
      <w:r w:rsidR="00905EEF" w:rsidRPr="009949B9">
        <w:rPr>
          <w:color w:val="auto"/>
          <w:lang w:val="en-GB"/>
        </w:rPr>
        <w:t xml:space="preserve">summarises the diabetes innovation </w:t>
      </w:r>
      <w:r w:rsidR="00673D90" w:rsidRPr="009949B9">
        <w:rPr>
          <w:color w:val="auto"/>
          <w:lang w:val="en-GB"/>
        </w:rPr>
        <w:t>and</w:t>
      </w:r>
      <w:r w:rsidR="00905EEF" w:rsidRPr="009949B9">
        <w:rPr>
          <w:color w:val="auto"/>
          <w:lang w:val="en-GB"/>
        </w:rPr>
        <w:t xml:space="preserve"> self-management and shared care projects. </w:t>
      </w:r>
      <w:r w:rsidR="00673D90" w:rsidRPr="009949B9">
        <w:rPr>
          <w:color w:val="auto"/>
          <w:lang w:val="en-GB"/>
        </w:rPr>
        <w:t>The second summarise</w:t>
      </w:r>
      <w:r w:rsidRPr="009949B9">
        <w:rPr>
          <w:color w:val="auto"/>
          <w:lang w:val="en-GB"/>
        </w:rPr>
        <w:t>s</w:t>
      </w:r>
      <w:r w:rsidR="00673D90" w:rsidRPr="009949B9">
        <w:rPr>
          <w:color w:val="auto"/>
          <w:lang w:val="en-GB"/>
        </w:rPr>
        <w:t xml:space="preserve"> the</w:t>
      </w:r>
      <w:r w:rsidR="00905EEF" w:rsidRPr="009949B9">
        <w:rPr>
          <w:color w:val="auto"/>
          <w:lang w:val="en-GB"/>
        </w:rPr>
        <w:t xml:space="preserve"> key barriers and facilitators to implementation for both </w:t>
      </w:r>
      <w:r w:rsidRPr="009949B9">
        <w:rPr>
          <w:color w:val="auto"/>
          <w:lang w:val="en-GB"/>
        </w:rPr>
        <w:t>groups of projects, and the third sets out some advice and considerations for implementing future projects.</w:t>
      </w: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pPr>
      <w:r w:rsidRPr="009949B9">
        <w:rPr>
          <w:rFonts w:ascii="Georgia" w:hAnsi="Georgia"/>
          <w:color w:val="auto"/>
          <w:lang w:val="en-GB"/>
        </w:rPr>
        <w:br w:type="page"/>
      </w:r>
    </w:p>
    <w:p w:rsidR="00905EEF" w:rsidRPr="005E29FA" w:rsidRDefault="00905EEF" w:rsidP="00034C96">
      <w:pPr>
        <w:pStyle w:val="Heading1"/>
      </w:pPr>
      <w:bookmarkStart w:id="4" w:name="_Toc465944108"/>
      <w:r w:rsidRPr="005E29FA">
        <w:t xml:space="preserve">Section 1: </w:t>
      </w:r>
      <w:r w:rsidR="00673D90" w:rsidRPr="005E29FA">
        <w:t>Summary of projects</w:t>
      </w:r>
      <w:bookmarkEnd w:id="4"/>
    </w:p>
    <w:p w:rsidR="00905EEF" w:rsidRPr="00034C96" w:rsidRDefault="005E29FA" w:rsidP="00034C96">
      <w:pPr>
        <w:pStyle w:val="Heading2"/>
      </w:pPr>
      <w:bookmarkStart w:id="5" w:name="_Toc465944109"/>
      <w:r w:rsidRPr="00034C96">
        <w:t>(</w:t>
      </w:r>
      <w:r w:rsidR="00EB68FD" w:rsidRPr="00034C96">
        <w:t>1</w:t>
      </w:r>
      <w:r w:rsidRPr="00034C96">
        <w:t>)</w:t>
      </w:r>
      <w:r w:rsidR="00EB68FD" w:rsidRPr="00034C96">
        <w:t xml:space="preserve"> </w:t>
      </w:r>
      <w:r w:rsidR="00673D90" w:rsidRPr="00034C96">
        <w:t>Diabetes innovation fund projects</w:t>
      </w:r>
      <w:bookmarkEnd w:id="5"/>
    </w:p>
    <w:p w:rsidR="00905EEF" w:rsidRPr="009949B9" w:rsidRDefault="00905EEF" w:rsidP="005322FB">
      <w:pPr>
        <w:pStyle w:val="NoSpacing"/>
        <w:rPr>
          <w:color w:val="auto"/>
          <w:lang w:val="en-GB"/>
        </w:rPr>
      </w:pPr>
      <w:r w:rsidRPr="009949B9">
        <w:rPr>
          <w:color w:val="auto"/>
          <w:lang w:val="en-GB"/>
        </w:rPr>
        <w:t xml:space="preserve">Evidence from randomised controlled trials indicates that </w:t>
      </w:r>
      <w:r w:rsidR="00F45722" w:rsidRPr="009949B9">
        <w:rPr>
          <w:color w:val="auto"/>
          <w:lang w:val="en-GB"/>
        </w:rPr>
        <w:t xml:space="preserve">the risk of progression </w:t>
      </w:r>
      <w:r w:rsidR="00460C72">
        <w:rPr>
          <w:color w:val="auto"/>
          <w:lang w:val="en-GB"/>
        </w:rPr>
        <w:t>from</w:t>
      </w:r>
      <w:r w:rsidR="00F45722" w:rsidRPr="009949B9">
        <w:rPr>
          <w:color w:val="auto"/>
          <w:lang w:val="en-GB"/>
        </w:rPr>
        <w:t xml:space="preserve"> pre-</w:t>
      </w:r>
      <w:r w:rsidRPr="009949B9">
        <w:rPr>
          <w:color w:val="auto"/>
          <w:lang w:val="en-GB"/>
        </w:rPr>
        <w:t>diabetes (HbA1c i</w:t>
      </w:r>
      <w:r w:rsidR="00F45722" w:rsidRPr="009949B9">
        <w:rPr>
          <w:color w:val="auto"/>
          <w:lang w:val="en-GB"/>
        </w:rPr>
        <w:t>n the range 41-49 mmol/mol) to t</w:t>
      </w:r>
      <w:r w:rsidRPr="009949B9">
        <w:rPr>
          <w:color w:val="auto"/>
          <w:lang w:val="en-GB"/>
        </w:rPr>
        <w:t>ype 2 diabetes can be substantially reduced through lifestyle modification (increased physical activity and improved nutrition). In September 2013</w:t>
      </w:r>
      <w:r w:rsidR="00F45722" w:rsidRPr="009949B9">
        <w:rPr>
          <w:color w:val="auto"/>
          <w:lang w:val="en-GB"/>
        </w:rPr>
        <w:t>,</w:t>
      </w:r>
      <w:r w:rsidRPr="009949B9">
        <w:rPr>
          <w:color w:val="auto"/>
          <w:lang w:val="en-GB"/>
        </w:rPr>
        <w:t xml:space="preserve"> the Ministry of Health (the Ministry) sought proposals from organisations that could contribute to a Green Prescription (GRx) service tailored to better meet the needs of patien</w:t>
      </w:r>
      <w:r w:rsidR="00F45722" w:rsidRPr="009949B9">
        <w:rPr>
          <w:color w:val="auto"/>
          <w:lang w:val="en-GB"/>
        </w:rPr>
        <w:t>ts at risk of, or living with, t</w:t>
      </w:r>
      <w:r w:rsidRPr="009949B9">
        <w:rPr>
          <w:color w:val="auto"/>
          <w:lang w:val="en-GB"/>
        </w:rPr>
        <w:t>ype 2 diabetes.</w:t>
      </w:r>
    </w:p>
    <w:p w:rsidR="00905EEF" w:rsidRPr="009949B9" w:rsidRDefault="00EB68FD" w:rsidP="00EB68FD">
      <w:pPr>
        <w:pStyle w:val="NoSpacing"/>
        <w:rPr>
          <w:color w:val="auto"/>
          <w:lang w:val="en-GB"/>
        </w:rPr>
      </w:pPr>
      <w:r w:rsidRPr="009949B9">
        <w:rPr>
          <w:color w:val="auto"/>
          <w:lang w:val="en-GB"/>
        </w:rPr>
        <w:t xml:space="preserve">There were four </w:t>
      </w:r>
      <w:r w:rsidR="00AE0550" w:rsidRPr="009949B9">
        <w:rPr>
          <w:color w:val="auto"/>
          <w:lang w:val="en-GB"/>
        </w:rPr>
        <w:t>projects</w:t>
      </w:r>
      <w:r w:rsidR="00460C72">
        <w:rPr>
          <w:color w:val="auto"/>
          <w:lang w:val="en-GB"/>
        </w:rPr>
        <w:t>,</w:t>
      </w:r>
      <w:r w:rsidR="00AE0550" w:rsidRPr="009949B9">
        <w:rPr>
          <w:color w:val="auto"/>
          <w:lang w:val="en-GB"/>
        </w:rPr>
        <w:t xml:space="preserve"> whose programmes and results are described below and </w:t>
      </w:r>
      <w:r w:rsidR="00AE0550" w:rsidRPr="00B82C81">
        <w:rPr>
          <w:color w:val="auto"/>
          <w:lang w:val="en-GB"/>
        </w:rPr>
        <w:t>summarised in</w:t>
      </w:r>
      <w:r w:rsidRPr="00B82C81">
        <w:rPr>
          <w:color w:val="auto"/>
          <w:lang w:val="en-GB"/>
        </w:rPr>
        <w:t xml:space="preserve"> </w:t>
      </w:r>
      <w:r w:rsidR="00905EEF" w:rsidRPr="00B82C81">
        <w:rPr>
          <w:color w:val="auto"/>
          <w:lang w:val="en-GB"/>
        </w:rPr>
        <w:t>Table 1</w:t>
      </w:r>
      <w:r w:rsidRPr="00B82C81">
        <w:rPr>
          <w:color w:val="auto"/>
          <w:lang w:val="en-GB"/>
        </w:rPr>
        <w:t xml:space="preserve"> (page</w:t>
      </w:r>
      <w:r w:rsidR="00322F78" w:rsidRPr="00B82C81">
        <w:rPr>
          <w:color w:val="auto"/>
          <w:lang w:val="en-GB"/>
        </w:rPr>
        <w:t>s 1</w:t>
      </w:r>
      <w:r w:rsidR="00B82C81" w:rsidRPr="00B82C81">
        <w:rPr>
          <w:color w:val="auto"/>
          <w:lang w:val="en-GB"/>
        </w:rPr>
        <w:t>4</w:t>
      </w:r>
      <w:r w:rsidR="00322F78" w:rsidRPr="00B82C81">
        <w:rPr>
          <w:color w:val="auto"/>
          <w:lang w:val="en-GB"/>
        </w:rPr>
        <w:t>-1</w:t>
      </w:r>
      <w:r w:rsidR="00B82C81" w:rsidRPr="00B82C81">
        <w:rPr>
          <w:color w:val="auto"/>
          <w:lang w:val="en-GB"/>
        </w:rPr>
        <w:t>5</w:t>
      </w:r>
      <w:r w:rsidR="00322F78" w:rsidRPr="00B82C81">
        <w:rPr>
          <w:color w:val="auto"/>
          <w:lang w:val="en-GB"/>
        </w:rPr>
        <w:t>)</w:t>
      </w:r>
      <w:r w:rsidR="00AE0550" w:rsidRPr="00B82C81">
        <w:rPr>
          <w:color w:val="auto"/>
          <w:lang w:val="en-GB"/>
        </w:rPr>
        <w:t>.</w:t>
      </w:r>
    </w:p>
    <w:p w:rsidR="00905EEF" w:rsidRPr="009949B9" w:rsidRDefault="00905EEF" w:rsidP="00034C96">
      <w:pPr>
        <w:pStyle w:val="Heading3"/>
      </w:pPr>
      <w:bookmarkStart w:id="6" w:name="_Toc465944110"/>
      <w:r w:rsidRPr="005E29FA">
        <w:t>Harbour Sport</w:t>
      </w:r>
      <w:bookmarkEnd w:id="6"/>
    </w:p>
    <w:p w:rsidR="00905EEF" w:rsidRPr="009949B9" w:rsidRDefault="00905EEF" w:rsidP="00EB68FD">
      <w:pPr>
        <w:pStyle w:val="NoSpacing"/>
        <w:rPr>
          <w:color w:val="auto"/>
          <w:lang w:val="en-GB"/>
        </w:rPr>
      </w:pPr>
      <w:r w:rsidRPr="009949B9">
        <w:rPr>
          <w:color w:val="auto"/>
          <w:lang w:val="en-GB"/>
        </w:rPr>
        <w:t xml:space="preserve">The Choose Change project examined an innovative delivery model to improve GRx best practice in the </w:t>
      </w:r>
      <w:r w:rsidR="00F45722" w:rsidRPr="009949B9">
        <w:rPr>
          <w:color w:val="auto"/>
          <w:lang w:val="en-GB"/>
        </w:rPr>
        <w:t>management of pre-diabetes and t</w:t>
      </w:r>
      <w:r w:rsidRPr="009949B9">
        <w:rPr>
          <w:color w:val="auto"/>
          <w:lang w:val="en-GB"/>
        </w:rPr>
        <w:t>ype 2 diabetes in at-risk target populations. The primary objectives were to:</w:t>
      </w:r>
    </w:p>
    <w:p w:rsidR="00905EEF" w:rsidRPr="009949B9" w:rsidRDefault="00F45722" w:rsidP="00C408F2">
      <w:pPr>
        <w:pStyle w:val="ListParagraph"/>
        <w:numPr>
          <w:ilvl w:val="0"/>
          <w:numId w:val="40"/>
        </w:numPr>
        <w:rPr>
          <w:color w:val="auto"/>
        </w:rPr>
      </w:pPr>
      <w:r w:rsidRPr="009949B9">
        <w:rPr>
          <w:color w:val="auto"/>
        </w:rPr>
        <w:t>t</w:t>
      </w:r>
      <w:r w:rsidR="00905EEF" w:rsidRPr="009949B9">
        <w:rPr>
          <w:color w:val="auto"/>
        </w:rPr>
        <w:t>est the effectiveness of a coordinated multi-disciplinary, multi-ethnic approach</w:t>
      </w:r>
      <w:r w:rsidR="007D34FE" w:rsidRPr="009949B9">
        <w:rPr>
          <w:color w:val="auto"/>
        </w:rPr>
        <w:t>,</w:t>
      </w:r>
      <w:r w:rsidR="00905EEF" w:rsidRPr="009949B9">
        <w:rPr>
          <w:color w:val="auto"/>
        </w:rPr>
        <w:t xml:space="preserve"> including psychologist and dietitian input</w:t>
      </w:r>
      <w:r w:rsidR="00460C72">
        <w:rPr>
          <w:color w:val="auto"/>
        </w:rPr>
        <w:t>,</w:t>
      </w:r>
      <w:r w:rsidR="00905EEF" w:rsidRPr="009949B9">
        <w:rPr>
          <w:color w:val="auto"/>
        </w:rPr>
        <w:t xml:space="preserve"> in</w:t>
      </w:r>
      <w:r w:rsidR="00460C72">
        <w:rPr>
          <w:color w:val="auto"/>
        </w:rPr>
        <w:t xml:space="preserve"> the</w:t>
      </w:r>
      <w:r w:rsidR="00905EEF" w:rsidRPr="009949B9">
        <w:rPr>
          <w:color w:val="auto"/>
        </w:rPr>
        <w:t xml:space="preserve"> control and manage</w:t>
      </w:r>
      <w:r w:rsidRPr="009949B9">
        <w:rPr>
          <w:color w:val="auto"/>
        </w:rPr>
        <w:t>ment of pre</w:t>
      </w:r>
      <w:r w:rsidR="00460C72">
        <w:rPr>
          <w:color w:val="auto"/>
        </w:rPr>
        <w:t>-</w:t>
      </w:r>
      <w:r w:rsidRPr="009949B9">
        <w:rPr>
          <w:color w:val="auto"/>
        </w:rPr>
        <w:t xml:space="preserve"> and type 2 diabetes</w:t>
      </w:r>
    </w:p>
    <w:p w:rsidR="00905EEF" w:rsidRPr="009949B9" w:rsidRDefault="00F45722" w:rsidP="00C408F2">
      <w:pPr>
        <w:pStyle w:val="ListParagraph"/>
        <w:numPr>
          <w:ilvl w:val="0"/>
          <w:numId w:val="40"/>
        </w:numPr>
        <w:rPr>
          <w:color w:val="auto"/>
        </w:rPr>
      </w:pPr>
      <w:r w:rsidRPr="009949B9">
        <w:rPr>
          <w:color w:val="auto"/>
        </w:rPr>
        <w:t>r</w:t>
      </w:r>
      <w:r w:rsidR="00905EEF" w:rsidRPr="009949B9">
        <w:rPr>
          <w:color w:val="auto"/>
        </w:rPr>
        <w:t xml:space="preserve">educe HbA1c in people with pre and </w:t>
      </w:r>
      <w:r w:rsidRPr="009949B9">
        <w:rPr>
          <w:color w:val="auto"/>
        </w:rPr>
        <w:t>t</w:t>
      </w:r>
      <w:r w:rsidR="00905EEF" w:rsidRPr="009949B9">
        <w:rPr>
          <w:color w:val="auto"/>
        </w:rPr>
        <w:t>ype 2 diabetes into normal ranges</w:t>
      </w:r>
      <w:r w:rsidR="00460C72">
        <w:rPr>
          <w:color w:val="auto"/>
        </w:rPr>
        <w:t>,</w:t>
      </w:r>
      <w:r w:rsidR="00905EEF" w:rsidRPr="009949B9">
        <w:rPr>
          <w:color w:val="auto"/>
        </w:rPr>
        <w:t xml:space="preserve"> and improve biometric measures (waist circumference, weight, BMI) wi</w:t>
      </w:r>
      <w:r w:rsidR="00E06CDC" w:rsidRPr="009949B9">
        <w:rPr>
          <w:color w:val="auto"/>
        </w:rPr>
        <w:t>th evidence of sustainable life</w:t>
      </w:r>
      <w:r w:rsidR="00905EEF" w:rsidRPr="009949B9">
        <w:rPr>
          <w:color w:val="auto"/>
        </w:rPr>
        <w:t>style changes occurring.</w:t>
      </w:r>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A37C5F">
      <w:pPr>
        <w:pStyle w:val="NoSpacing"/>
        <w:rPr>
          <w:color w:val="auto"/>
          <w:lang w:val="en-GB"/>
        </w:rPr>
      </w:pPr>
      <w:r w:rsidRPr="009949B9">
        <w:rPr>
          <w:color w:val="auto"/>
          <w:lang w:val="en-GB"/>
        </w:rPr>
        <w:t>The programme was delivered by four regional sports trusts who each targeted one high risk ethnic group; Counties Manukau Sport (Pacifi</w:t>
      </w:r>
      <w:r w:rsidR="00DA3187">
        <w:rPr>
          <w:color w:val="auto"/>
          <w:lang w:val="en-GB"/>
        </w:rPr>
        <w:t>c), Harbour Sport (NZ European/O</w:t>
      </w:r>
      <w:r w:rsidRPr="009949B9">
        <w:rPr>
          <w:color w:val="auto"/>
          <w:lang w:val="en-GB"/>
        </w:rPr>
        <w:t>ther), Sport Auckland (South Asian) and Sport Waitakere (Māori). The intervention consisted of:</w:t>
      </w:r>
    </w:p>
    <w:p w:rsidR="00905EEF" w:rsidRPr="009949B9" w:rsidRDefault="00E06CDC" w:rsidP="00C408F2">
      <w:pPr>
        <w:pStyle w:val="ListParagraph"/>
        <w:rPr>
          <w:color w:val="auto"/>
        </w:rPr>
      </w:pPr>
      <w:r w:rsidRPr="009949B9">
        <w:rPr>
          <w:color w:val="auto"/>
        </w:rPr>
        <w:t>w</w:t>
      </w:r>
      <w:r w:rsidR="00905EEF" w:rsidRPr="009949B9">
        <w:rPr>
          <w:color w:val="auto"/>
        </w:rPr>
        <w:t>eekly consultations with a Healthy Li</w:t>
      </w:r>
      <w:r w:rsidR="005F72D7" w:rsidRPr="009949B9">
        <w:rPr>
          <w:color w:val="auto"/>
        </w:rPr>
        <w:t>festyle Coordinator for the first 12 weeks</w:t>
      </w:r>
      <w:r w:rsidR="00905EEF" w:rsidRPr="009949B9">
        <w:rPr>
          <w:color w:val="auto"/>
        </w:rPr>
        <w:t xml:space="preserve">, reducing to fortnightly </w:t>
      </w:r>
      <w:r w:rsidR="005F72D7" w:rsidRPr="009949B9">
        <w:rPr>
          <w:color w:val="auto"/>
        </w:rPr>
        <w:t>visits for weeks 13-24</w:t>
      </w:r>
      <w:r w:rsidR="00905EEF" w:rsidRPr="009949B9">
        <w:rPr>
          <w:color w:val="auto"/>
        </w:rPr>
        <w:t>. Consultations included goal setting and biometri</w:t>
      </w:r>
      <w:r w:rsidRPr="009949B9">
        <w:rPr>
          <w:color w:val="auto"/>
        </w:rPr>
        <w:t>c measures</w:t>
      </w:r>
    </w:p>
    <w:p w:rsidR="00905EEF" w:rsidRPr="009949B9" w:rsidRDefault="00905EEF" w:rsidP="00C408F2">
      <w:pPr>
        <w:pStyle w:val="ListParagraph"/>
        <w:rPr>
          <w:color w:val="auto"/>
        </w:rPr>
      </w:pPr>
      <w:r w:rsidRPr="009949B9">
        <w:rPr>
          <w:color w:val="auto"/>
        </w:rPr>
        <w:t>1:1 dietitian consulta</w:t>
      </w:r>
      <w:r w:rsidR="00E06CDC" w:rsidRPr="009949B9">
        <w:rPr>
          <w:color w:val="auto"/>
        </w:rPr>
        <w:t>tions and nutritional workshops</w:t>
      </w:r>
    </w:p>
    <w:p w:rsidR="00905EEF" w:rsidRPr="009949B9" w:rsidRDefault="00905EEF" w:rsidP="00C408F2">
      <w:pPr>
        <w:pStyle w:val="ListParagraph"/>
        <w:rPr>
          <w:color w:val="auto"/>
        </w:rPr>
      </w:pPr>
      <w:r w:rsidRPr="009949B9">
        <w:rPr>
          <w:color w:val="auto"/>
        </w:rPr>
        <w:t>1:1 psychology consu</w:t>
      </w:r>
      <w:r w:rsidR="00E06CDC" w:rsidRPr="009949B9">
        <w:rPr>
          <w:color w:val="auto"/>
        </w:rPr>
        <w:t>ltations or group psychotherapy</w:t>
      </w:r>
    </w:p>
    <w:p w:rsidR="00905EEF" w:rsidRPr="009949B9" w:rsidRDefault="00E06CDC" w:rsidP="00C408F2">
      <w:pPr>
        <w:pStyle w:val="ListParagraph"/>
        <w:rPr>
          <w:color w:val="auto"/>
        </w:rPr>
      </w:pPr>
      <w:r w:rsidRPr="009949B9">
        <w:rPr>
          <w:color w:val="auto"/>
        </w:rPr>
        <w:t>w</w:t>
      </w:r>
      <w:r w:rsidR="00905EEF" w:rsidRPr="009949B9">
        <w:rPr>
          <w:color w:val="auto"/>
        </w:rPr>
        <w:t>eekly exercise options, for example: low impact circuit classes, aqua and bolly aerobics, walking groups, boxing classes, sports activities, gym workouts and hydrotherapy.</w:t>
      </w:r>
    </w:p>
    <w:p w:rsidR="00905EEF" w:rsidRPr="009949B9" w:rsidRDefault="00905EEF" w:rsidP="00A37C5F">
      <w:pPr>
        <w:pStyle w:val="NoSpacing"/>
        <w:rPr>
          <w:color w:val="auto"/>
          <w:lang w:val="en-GB"/>
        </w:rPr>
      </w:pPr>
      <w:r w:rsidRPr="009949B9">
        <w:rPr>
          <w:color w:val="auto"/>
          <w:lang w:val="en-GB"/>
        </w:rPr>
        <w:t>A</w:t>
      </w:r>
      <w:r w:rsidR="002E6248" w:rsidRPr="009949B9">
        <w:rPr>
          <w:color w:val="auto"/>
          <w:lang w:val="en-GB"/>
        </w:rPr>
        <w:t xml:space="preserve"> full-time Healthy Lifestyle Co</w:t>
      </w:r>
      <w:r w:rsidRPr="009949B9">
        <w:rPr>
          <w:color w:val="auto"/>
          <w:lang w:val="en-GB"/>
        </w:rPr>
        <w:t xml:space="preserve">ordinator was employed at each site, with </w:t>
      </w:r>
      <w:r w:rsidR="00DA3187">
        <w:rPr>
          <w:color w:val="auto"/>
          <w:lang w:val="en-GB"/>
        </w:rPr>
        <w:t>dietetic</w:t>
      </w:r>
      <w:r w:rsidRPr="009949B9">
        <w:rPr>
          <w:color w:val="auto"/>
          <w:lang w:val="en-GB"/>
        </w:rPr>
        <w:t xml:space="preserve"> and psychology expertise cont</w:t>
      </w:r>
      <w:r w:rsidR="00446E45" w:rsidRPr="009949B9">
        <w:rPr>
          <w:color w:val="auto"/>
          <w:lang w:val="en-GB"/>
        </w:rPr>
        <w:t>r</w:t>
      </w:r>
      <w:r w:rsidRPr="009949B9">
        <w:rPr>
          <w:color w:val="auto"/>
          <w:lang w:val="en-GB"/>
        </w:rPr>
        <w:t>acted as required.</w:t>
      </w:r>
    </w:p>
    <w:p w:rsidR="00905EEF" w:rsidRPr="009949B9" w:rsidRDefault="00905EEF" w:rsidP="00A37C5F">
      <w:pPr>
        <w:pStyle w:val="NoSpacing"/>
        <w:rPr>
          <w:color w:val="auto"/>
          <w:lang w:val="en-GB"/>
        </w:rPr>
      </w:pPr>
      <w:r w:rsidRPr="009949B9">
        <w:rPr>
          <w:color w:val="auto"/>
          <w:lang w:val="en-GB"/>
        </w:rPr>
        <w:t>The programme utilised the three key components (food, activity and behavioural support) recommended by the Clinical Guidelines for Weight Management in New Zealand Adults</w:t>
      </w:r>
      <w:r w:rsidR="00C44BE2" w:rsidRPr="009949B9">
        <w:rPr>
          <w:color w:val="auto"/>
          <w:lang w:val="en-GB"/>
        </w:rPr>
        <w:t>.</w:t>
      </w:r>
      <w:r w:rsidR="00B50FC5" w:rsidRPr="009949B9">
        <w:rPr>
          <w:color w:val="auto"/>
          <w:lang w:val="en-GB"/>
        </w:rPr>
        <w:fldChar w:fldCharType="begin"/>
      </w:r>
      <w:r w:rsidR="00506D4C" w:rsidRPr="009949B9">
        <w:rPr>
          <w:color w:val="auto"/>
          <w:lang w:val="en-GB"/>
        </w:rPr>
        <w:instrText xml:space="preserve"> ADDIN ZOTERO_ITEM CSL_CITATION {"citationID":"1cse448tlr","properties":{"formattedCitation":"{\\rtf \\super 1\\nosupersub{}}","plainCitation":"1"},"citationItems":[{"id":5430,"uris":["http://zotero.org/users/1878547/items/842IM7FW"],"uri":["http://zotero.org/users/1878547/items/842IM7FW"],"itemData":{"id":5430,"type":"article","title":"Clinical Guidelines for Weight Management in New Zealand Adults","publisher":"Ministry of Health","abstract":"The Ministry of Health commissioned the development of the Guidelines in 2008 for the management of overweight and obese adults, children and young people, with a focus on Māori, Pacific and South Asian populations.","URL":"http://www.health.govt.nz/publication/clinical-guidelines-weight-management-new-zealand-adults","author":[{"family":"Ministry of Health","given":""}],"issued":{"date-parts":[["2009"]]},"accessed":{"date-parts":[["2015",12,8]]}}}],"schema":"https://github.com/citation-style-language/schema/raw/master/csl-citation.json"} </w:instrText>
      </w:r>
      <w:r w:rsidR="00B50FC5" w:rsidRPr="009949B9">
        <w:rPr>
          <w:color w:val="auto"/>
          <w:lang w:val="en-GB"/>
        </w:rPr>
        <w:fldChar w:fldCharType="separate"/>
      </w:r>
      <w:r w:rsidR="00506D4C" w:rsidRPr="009949B9">
        <w:rPr>
          <w:rFonts w:cs="Arial"/>
          <w:color w:val="auto"/>
          <w:szCs w:val="24"/>
          <w:vertAlign w:val="superscript"/>
          <w:lang w:val="en-GB"/>
        </w:rPr>
        <w:t>1</w:t>
      </w:r>
      <w:r w:rsidR="00B50FC5" w:rsidRPr="009949B9">
        <w:rPr>
          <w:color w:val="auto"/>
          <w:lang w:val="en-GB"/>
        </w:rPr>
        <w:fldChar w:fldCharType="end"/>
      </w:r>
      <w:r w:rsidRPr="009949B9">
        <w:rPr>
          <w:color w:val="auto"/>
          <w:lang w:val="en-GB"/>
        </w:rPr>
        <w:t xml:space="preserve"> A psychological component was included to address some of the psychological reasons for eating, and to assist with health behaviour change.</w:t>
      </w:r>
    </w:p>
    <w:p w:rsidR="00905EEF" w:rsidRPr="009949B9" w:rsidRDefault="00905EEF" w:rsidP="00905EEF">
      <w:pPr>
        <w:pStyle w:val="Heading4"/>
        <w:rPr>
          <w:color w:val="auto"/>
          <w:lang w:val="en-GB"/>
        </w:rPr>
      </w:pPr>
      <w:r w:rsidRPr="009949B9">
        <w:rPr>
          <w:color w:val="auto"/>
          <w:lang w:val="en-GB"/>
        </w:rPr>
        <w:t>Participants</w:t>
      </w:r>
    </w:p>
    <w:p w:rsidR="00905EEF" w:rsidRPr="009949B9" w:rsidRDefault="00905EEF" w:rsidP="00A37C5F">
      <w:pPr>
        <w:pStyle w:val="NoSpacing"/>
        <w:rPr>
          <w:color w:val="auto"/>
          <w:lang w:val="en-GB"/>
        </w:rPr>
      </w:pPr>
      <w:r w:rsidRPr="009949B9">
        <w:rPr>
          <w:color w:val="auto"/>
          <w:lang w:val="en-GB"/>
        </w:rPr>
        <w:t>Participants were recruited from primary care and lists from GRx providers (regional sports trusts). At one site (Harbour Sport)</w:t>
      </w:r>
      <w:r w:rsidR="002E6248" w:rsidRPr="009949B9">
        <w:rPr>
          <w:color w:val="auto"/>
          <w:lang w:val="en-GB"/>
        </w:rPr>
        <w:t xml:space="preserve">, promotion to </w:t>
      </w:r>
      <w:r w:rsidR="00DA3187">
        <w:rPr>
          <w:color w:val="auto"/>
          <w:lang w:val="en-GB"/>
        </w:rPr>
        <w:t>general practitioners (</w:t>
      </w:r>
      <w:r w:rsidR="002E6248" w:rsidRPr="009949B9">
        <w:rPr>
          <w:color w:val="auto"/>
          <w:lang w:val="en-GB"/>
        </w:rPr>
        <w:t>GPs</w:t>
      </w:r>
      <w:r w:rsidR="00DA3187">
        <w:rPr>
          <w:color w:val="auto"/>
          <w:lang w:val="en-GB"/>
        </w:rPr>
        <w:t>)</w:t>
      </w:r>
      <w:r w:rsidR="002E6248" w:rsidRPr="009949B9">
        <w:rPr>
          <w:color w:val="auto"/>
          <w:lang w:val="en-GB"/>
        </w:rPr>
        <w:t xml:space="preserve"> and practice</w:t>
      </w:r>
      <w:r w:rsidRPr="009949B9">
        <w:rPr>
          <w:color w:val="auto"/>
          <w:lang w:val="en-GB"/>
        </w:rPr>
        <w:t xml:space="preserve"> nurses (PNs) was seen as the most successful approach. However</w:t>
      </w:r>
      <w:r w:rsidR="00DA3187">
        <w:rPr>
          <w:color w:val="auto"/>
          <w:lang w:val="en-GB"/>
        </w:rPr>
        <w:t>,</w:t>
      </w:r>
      <w:r w:rsidRPr="009949B9">
        <w:rPr>
          <w:color w:val="auto"/>
          <w:lang w:val="en-GB"/>
        </w:rPr>
        <w:t xml:space="preserve"> it took time to develop relationships with GPs/PNs. A media release and article was provided for additional marketing and advertising. The key facilitators in recruiting participants were calls and visits to GPs/PNs</w:t>
      </w:r>
      <w:r w:rsidR="002E6248" w:rsidRPr="009949B9">
        <w:rPr>
          <w:color w:val="auto"/>
          <w:lang w:val="en-GB"/>
        </w:rPr>
        <w:t>,</w:t>
      </w:r>
      <w:r w:rsidRPr="009949B9">
        <w:rPr>
          <w:color w:val="auto"/>
          <w:lang w:val="en-GB"/>
        </w:rPr>
        <w:t xml:space="preserve"> as well as reminders and feedback. At one site (Counties Manukau Sport)</w:t>
      </w:r>
      <w:r w:rsidR="002E6248" w:rsidRPr="009949B9">
        <w:rPr>
          <w:color w:val="auto"/>
          <w:lang w:val="en-GB"/>
        </w:rPr>
        <w:t>,</w:t>
      </w:r>
      <w:r w:rsidRPr="009949B9">
        <w:rPr>
          <w:color w:val="auto"/>
          <w:lang w:val="en-GB"/>
        </w:rPr>
        <w:t xml:space="preserve"> extensive promotional activity was undertaken to try and increase referrals of Pacific people to the programme. </w:t>
      </w:r>
    </w:p>
    <w:p w:rsidR="00905EEF" w:rsidRPr="009949B9" w:rsidRDefault="00905EEF" w:rsidP="00A37C5F">
      <w:pPr>
        <w:pStyle w:val="NoSpacing"/>
        <w:rPr>
          <w:color w:val="auto"/>
          <w:lang w:val="en-GB"/>
        </w:rPr>
      </w:pPr>
      <w:r w:rsidRPr="009949B9">
        <w:rPr>
          <w:color w:val="auto"/>
          <w:lang w:val="en-GB"/>
        </w:rPr>
        <w:t xml:space="preserve">Not all people enrolled into the programme were motivated or ready to change their lifestyle. </w:t>
      </w:r>
      <w:r w:rsidR="00255435" w:rsidRPr="009949B9">
        <w:rPr>
          <w:color w:val="auto"/>
        </w:rPr>
        <w:t xml:space="preserve">Due to the intensive nature of the programme, the aim was to accept only highly motivated individuals onto the programme. </w:t>
      </w:r>
      <w:r w:rsidR="001A6F39">
        <w:rPr>
          <w:color w:val="auto"/>
        </w:rPr>
        <w:t>The enrolment of people motivated or ready to change their lifestyle improved over the duration of the programme, except for the South Auckland programme which focussed on Pacific peoples. The need to reach enrolment targets was seen as a contributing factor for enrolling people who were not ready to make lifestyle changes.</w:t>
      </w:r>
    </w:p>
    <w:p w:rsidR="00905EEF" w:rsidRPr="009949B9" w:rsidRDefault="00905EEF" w:rsidP="00A37C5F">
      <w:pPr>
        <w:pStyle w:val="NoSpacing"/>
        <w:rPr>
          <w:color w:val="auto"/>
          <w:lang w:val="en-GB"/>
        </w:rPr>
      </w:pPr>
      <w:r w:rsidRPr="009949B9">
        <w:rPr>
          <w:color w:val="auto"/>
          <w:lang w:val="en-GB"/>
        </w:rPr>
        <w:t xml:space="preserve">A total of 331 people with pre- or </w:t>
      </w:r>
      <w:r w:rsidR="002E6248" w:rsidRPr="009949B9">
        <w:rPr>
          <w:color w:val="auto"/>
          <w:lang w:val="en-GB"/>
        </w:rPr>
        <w:t>t</w:t>
      </w:r>
      <w:r w:rsidRPr="009949B9">
        <w:rPr>
          <w:color w:val="auto"/>
          <w:lang w:val="en-GB"/>
        </w:rPr>
        <w:t>ype 2 diabetes were enrolled</w:t>
      </w:r>
      <w:r w:rsidR="00AA72B5" w:rsidRPr="009949B9">
        <w:rPr>
          <w:color w:val="auto"/>
          <w:lang w:val="en-GB"/>
        </w:rPr>
        <w:t xml:space="preserve"> (the number of people who were invited to take part was not available in the report)</w:t>
      </w:r>
      <w:r w:rsidRPr="009949B9">
        <w:rPr>
          <w:color w:val="auto"/>
          <w:lang w:val="en-GB"/>
        </w:rPr>
        <w:t xml:space="preserve">. The majority </w:t>
      </w:r>
      <w:r w:rsidR="00DA3187">
        <w:rPr>
          <w:color w:val="auto"/>
          <w:lang w:val="en-GB"/>
        </w:rPr>
        <w:t xml:space="preserve">of participants </w:t>
      </w:r>
      <w:r w:rsidRPr="009949B9">
        <w:rPr>
          <w:color w:val="auto"/>
          <w:lang w:val="en-GB"/>
        </w:rPr>
        <w:t>(79</w:t>
      </w:r>
      <w:r w:rsidR="00973820">
        <w:rPr>
          <w:color w:val="auto"/>
          <w:lang w:val="en-GB"/>
        </w:rPr>
        <w:t xml:space="preserve"> percent</w:t>
      </w:r>
      <w:r w:rsidRPr="009949B9">
        <w:rPr>
          <w:color w:val="auto"/>
          <w:lang w:val="en-GB"/>
        </w:rPr>
        <w:t xml:space="preserve">) were aged 50+ </w:t>
      </w:r>
      <w:r w:rsidR="002E6248" w:rsidRPr="009949B9">
        <w:rPr>
          <w:color w:val="auto"/>
          <w:lang w:val="en-GB"/>
        </w:rPr>
        <w:t xml:space="preserve">years </w:t>
      </w:r>
      <w:r w:rsidRPr="009949B9">
        <w:rPr>
          <w:color w:val="auto"/>
          <w:lang w:val="en-GB"/>
        </w:rPr>
        <w:t>and 63</w:t>
      </w:r>
      <w:r w:rsidR="00973820">
        <w:rPr>
          <w:color w:val="auto"/>
          <w:lang w:val="en-GB"/>
        </w:rPr>
        <w:t xml:space="preserve"> percent</w:t>
      </w:r>
      <w:r w:rsidRPr="009949B9">
        <w:rPr>
          <w:color w:val="auto"/>
          <w:lang w:val="en-GB"/>
        </w:rPr>
        <w:t xml:space="preserve"> </w:t>
      </w:r>
      <w:r w:rsidR="002E6248" w:rsidRPr="009949B9">
        <w:rPr>
          <w:color w:val="auto"/>
          <w:lang w:val="en-GB"/>
        </w:rPr>
        <w:t xml:space="preserve">were </w:t>
      </w:r>
      <w:r w:rsidRPr="009949B9">
        <w:rPr>
          <w:color w:val="auto"/>
          <w:lang w:val="en-GB"/>
        </w:rPr>
        <w:t>female. The total cost of the programme (exclu</w:t>
      </w:r>
      <w:r w:rsidR="00322F78" w:rsidRPr="009949B9">
        <w:rPr>
          <w:color w:val="auto"/>
          <w:lang w:val="en-GB"/>
        </w:rPr>
        <w:t>ding the evaluation) was $480,28</w:t>
      </w:r>
      <w:r w:rsidRPr="009949B9">
        <w:rPr>
          <w:color w:val="auto"/>
          <w:lang w:val="en-GB"/>
        </w:rPr>
        <w:t>0, giving a cost per enrolled participant of $1,451.</w:t>
      </w:r>
    </w:p>
    <w:p w:rsidR="00905EEF" w:rsidRPr="009949B9" w:rsidRDefault="00905EEF" w:rsidP="00905EEF">
      <w:pPr>
        <w:pStyle w:val="Heading4"/>
        <w:rPr>
          <w:color w:val="auto"/>
          <w:lang w:val="en-GB"/>
        </w:rPr>
      </w:pPr>
      <w:r w:rsidRPr="009949B9">
        <w:rPr>
          <w:color w:val="auto"/>
          <w:lang w:val="en-GB"/>
        </w:rPr>
        <w:t>Outcomes</w:t>
      </w:r>
    </w:p>
    <w:p w:rsidR="00905EEF" w:rsidRPr="009949B9" w:rsidRDefault="00905EEF" w:rsidP="00A37C5F">
      <w:pPr>
        <w:pStyle w:val="NoSpacing"/>
        <w:rPr>
          <w:rFonts w:cs="Lato"/>
          <w:color w:val="auto"/>
          <w:lang w:val="en-GB"/>
        </w:rPr>
      </w:pPr>
      <w:r w:rsidRPr="009949B9">
        <w:rPr>
          <w:color w:val="auto"/>
          <w:lang w:val="en-GB"/>
        </w:rPr>
        <w:t xml:space="preserve">The main outcomes were changes in: HbA1c, weight, waist circumference, fat mass, muscle mass, physical activity levels and blood pressure at 12 and 24 weeks. </w:t>
      </w:r>
      <w:r w:rsidRPr="009949B9">
        <w:rPr>
          <w:rFonts w:cs="Lato"/>
          <w:color w:val="auto"/>
          <w:lang w:val="en-GB"/>
        </w:rPr>
        <w:t>A Bioelectrical Impedance Analysis (BIA) machine was used to measure fat and muscle mass and percentage.</w:t>
      </w:r>
    </w:p>
    <w:p w:rsidR="00905EEF" w:rsidRPr="009949B9" w:rsidRDefault="00905EEF" w:rsidP="00A37C5F">
      <w:pPr>
        <w:pStyle w:val="NoSpacing"/>
        <w:rPr>
          <w:color w:val="auto"/>
          <w:lang w:val="en-GB"/>
        </w:rPr>
      </w:pPr>
      <w:r w:rsidRPr="009949B9">
        <w:rPr>
          <w:color w:val="auto"/>
          <w:lang w:val="en-GB"/>
        </w:rPr>
        <w:t xml:space="preserve">A total of 287 </w:t>
      </w:r>
      <w:r w:rsidR="00B1165E" w:rsidRPr="009949B9">
        <w:rPr>
          <w:color w:val="auto"/>
          <w:lang w:val="en-GB"/>
        </w:rPr>
        <w:t xml:space="preserve">participants </w:t>
      </w:r>
      <w:r w:rsidRPr="009949B9">
        <w:rPr>
          <w:color w:val="auto"/>
          <w:lang w:val="en-GB"/>
        </w:rPr>
        <w:t>(87</w:t>
      </w:r>
      <w:r w:rsidR="00973820">
        <w:rPr>
          <w:color w:val="auto"/>
          <w:lang w:val="en-GB"/>
        </w:rPr>
        <w:t xml:space="preserve"> percent</w:t>
      </w:r>
      <w:r w:rsidRPr="009949B9">
        <w:rPr>
          <w:color w:val="auto"/>
          <w:lang w:val="en-GB"/>
        </w:rPr>
        <w:t>) complet</w:t>
      </w:r>
      <w:r w:rsidR="00B1165E" w:rsidRPr="009949B9">
        <w:rPr>
          <w:color w:val="auto"/>
          <w:lang w:val="en-GB"/>
        </w:rPr>
        <w:t>ed</w:t>
      </w:r>
      <w:r w:rsidRPr="009949B9">
        <w:rPr>
          <w:color w:val="auto"/>
          <w:lang w:val="en-GB"/>
        </w:rPr>
        <w:t xml:space="preserve"> the intensive stage (week 1-12).</w:t>
      </w:r>
      <w:r w:rsidR="001A56CC" w:rsidRPr="009949B9">
        <w:rPr>
          <w:color w:val="auto"/>
          <w:lang w:val="en-GB"/>
        </w:rPr>
        <w:t xml:space="preserve"> </w:t>
      </w:r>
      <w:r w:rsidRPr="009949B9">
        <w:rPr>
          <w:color w:val="auto"/>
          <w:lang w:val="en-GB"/>
        </w:rPr>
        <w:t>This is a high completion rate for a healthy lifestyle intervention.</w:t>
      </w:r>
    </w:p>
    <w:p w:rsidR="00905EEF" w:rsidRPr="009949B9" w:rsidRDefault="001A6F39" w:rsidP="00A37C5F">
      <w:pPr>
        <w:pStyle w:val="NoSpacing"/>
        <w:rPr>
          <w:color w:val="auto"/>
          <w:lang w:val="en-GB"/>
        </w:rPr>
      </w:pPr>
      <w:r>
        <w:rPr>
          <w:color w:val="auto"/>
          <w:lang w:val="en-GB"/>
        </w:rPr>
        <w:t>In total,</w:t>
      </w:r>
      <w:r w:rsidR="00905EEF" w:rsidRPr="009949B9">
        <w:rPr>
          <w:color w:val="auto"/>
          <w:lang w:val="en-GB"/>
        </w:rPr>
        <w:t xml:space="preserve"> 78</w:t>
      </w:r>
      <w:r w:rsidR="00973820">
        <w:rPr>
          <w:color w:val="auto"/>
          <w:lang w:val="en-GB"/>
        </w:rPr>
        <w:t xml:space="preserve"> percent</w:t>
      </w:r>
      <w:r w:rsidR="00905EEF" w:rsidRPr="009949B9">
        <w:rPr>
          <w:color w:val="auto"/>
          <w:lang w:val="en-GB"/>
        </w:rPr>
        <w:t xml:space="preserve"> and 80</w:t>
      </w:r>
      <w:r w:rsidR="00973820">
        <w:rPr>
          <w:color w:val="auto"/>
          <w:lang w:val="en-GB"/>
        </w:rPr>
        <w:t xml:space="preserve"> percent</w:t>
      </w:r>
      <w:r w:rsidR="00905EEF" w:rsidRPr="009949B9">
        <w:rPr>
          <w:color w:val="auto"/>
          <w:lang w:val="en-GB"/>
        </w:rPr>
        <w:t xml:space="preserve"> of participants reduced their HbA1c at 12 and 24 weeks</w:t>
      </w:r>
      <w:r w:rsidR="00D73FE9" w:rsidRPr="009949B9">
        <w:rPr>
          <w:color w:val="auto"/>
          <w:lang w:val="en-GB"/>
        </w:rPr>
        <w:t>,</w:t>
      </w:r>
      <w:r w:rsidR="00905EEF" w:rsidRPr="009949B9">
        <w:rPr>
          <w:color w:val="auto"/>
          <w:lang w:val="en-GB"/>
        </w:rPr>
        <w:t xml:space="preserve"> respectively. However</w:t>
      </w:r>
      <w:r w:rsidR="00A16854" w:rsidRPr="009949B9">
        <w:rPr>
          <w:color w:val="auto"/>
          <w:lang w:val="en-GB"/>
        </w:rPr>
        <w:t>, it is important to note that</w:t>
      </w:r>
      <w:r>
        <w:rPr>
          <w:color w:val="auto"/>
          <w:lang w:val="en-GB"/>
        </w:rPr>
        <w:t>:</w:t>
      </w:r>
      <w:r w:rsidR="00905EEF" w:rsidRPr="009949B9">
        <w:rPr>
          <w:color w:val="auto"/>
          <w:lang w:val="en-GB"/>
        </w:rPr>
        <w:t xml:space="preserve"> </w:t>
      </w:r>
      <w:r w:rsidR="004254AA" w:rsidRPr="009949B9">
        <w:rPr>
          <w:color w:val="auto"/>
          <w:lang w:val="en-GB"/>
        </w:rPr>
        <w:t xml:space="preserve">(a) </w:t>
      </w:r>
      <w:r w:rsidR="00905EEF" w:rsidRPr="009949B9">
        <w:rPr>
          <w:color w:val="auto"/>
          <w:lang w:val="en-GB"/>
        </w:rPr>
        <w:t>th</w:t>
      </w:r>
      <w:r w:rsidR="00BE2682">
        <w:rPr>
          <w:color w:val="auto"/>
          <w:lang w:val="en-GB"/>
        </w:rPr>
        <w:t>is</w:t>
      </w:r>
      <w:r w:rsidR="00905EEF" w:rsidRPr="009949B9">
        <w:rPr>
          <w:color w:val="auto"/>
          <w:lang w:val="en-GB"/>
        </w:rPr>
        <w:t xml:space="preserve"> data represent</w:t>
      </w:r>
      <w:r w:rsidR="00BE2682">
        <w:rPr>
          <w:color w:val="auto"/>
          <w:lang w:val="en-GB"/>
        </w:rPr>
        <w:t>s</w:t>
      </w:r>
      <w:r w:rsidR="00905EEF" w:rsidRPr="009949B9">
        <w:rPr>
          <w:color w:val="auto"/>
          <w:lang w:val="en-GB"/>
        </w:rPr>
        <w:t xml:space="preserve"> only around half of participants (54</w:t>
      </w:r>
      <w:r w:rsidR="00973820">
        <w:rPr>
          <w:color w:val="auto"/>
          <w:lang w:val="en-GB"/>
        </w:rPr>
        <w:t xml:space="preserve"> percent</w:t>
      </w:r>
      <w:r w:rsidR="00905EEF" w:rsidRPr="009949B9">
        <w:rPr>
          <w:color w:val="auto"/>
          <w:lang w:val="en-GB"/>
        </w:rPr>
        <w:t xml:space="preserve"> and 49</w:t>
      </w:r>
      <w:r w:rsidR="00973820">
        <w:rPr>
          <w:color w:val="auto"/>
          <w:lang w:val="en-GB"/>
        </w:rPr>
        <w:t xml:space="preserve"> percent</w:t>
      </w:r>
      <w:r w:rsidR="00905EEF" w:rsidRPr="009949B9">
        <w:rPr>
          <w:color w:val="auto"/>
          <w:lang w:val="en-GB"/>
        </w:rPr>
        <w:t xml:space="preserve"> a</w:t>
      </w:r>
      <w:r w:rsidR="004254AA" w:rsidRPr="009949B9">
        <w:rPr>
          <w:color w:val="auto"/>
          <w:lang w:val="en-GB"/>
        </w:rPr>
        <w:t>t 12 and 24 weeks respectively)</w:t>
      </w:r>
      <w:r>
        <w:rPr>
          <w:color w:val="auto"/>
          <w:lang w:val="en-GB"/>
        </w:rPr>
        <w:t>;</w:t>
      </w:r>
      <w:r w:rsidR="004254AA" w:rsidRPr="009949B9">
        <w:rPr>
          <w:color w:val="auto"/>
          <w:lang w:val="en-GB"/>
        </w:rPr>
        <w:t xml:space="preserve"> and (b) data from those with</w:t>
      </w:r>
      <w:r w:rsidR="00905EEF" w:rsidRPr="009949B9">
        <w:rPr>
          <w:color w:val="auto"/>
          <w:lang w:val="en-GB"/>
        </w:rPr>
        <w:t xml:space="preserve"> pre-diabetes </w:t>
      </w:r>
      <w:r w:rsidR="00BE2682">
        <w:rPr>
          <w:color w:val="auto"/>
          <w:lang w:val="en-GB"/>
        </w:rPr>
        <w:t>is</w:t>
      </w:r>
      <w:r w:rsidR="00905EEF" w:rsidRPr="009949B9">
        <w:rPr>
          <w:color w:val="auto"/>
          <w:lang w:val="en-GB"/>
        </w:rPr>
        <w:t xml:space="preserve"> combined with</w:t>
      </w:r>
      <w:r w:rsidR="004254AA" w:rsidRPr="009949B9">
        <w:rPr>
          <w:color w:val="auto"/>
          <w:lang w:val="en-GB"/>
        </w:rPr>
        <w:t xml:space="preserve"> data from those with</w:t>
      </w:r>
      <w:r>
        <w:rPr>
          <w:color w:val="auto"/>
          <w:lang w:val="en-GB"/>
        </w:rPr>
        <w:t xml:space="preserve"> type 2</w:t>
      </w:r>
      <w:r w:rsidR="004254AA" w:rsidRPr="009949B9">
        <w:rPr>
          <w:color w:val="auto"/>
          <w:lang w:val="en-GB"/>
        </w:rPr>
        <w:t xml:space="preserve"> </w:t>
      </w:r>
      <w:r w:rsidR="00905EEF" w:rsidRPr="009949B9">
        <w:rPr>
          <w:color w:val="auto"/>
          <w:lang w:val="en-GB"/>
        </w:rPr>
        <w:t xml:space="preserve">diabetes. </w:t>
      </w:r>
      <w:r>
        <w:rPr>
          <w:color w:val="auto"/>
          <w:lang w:val="en-GB"/>
        </w:rPr>
        <w:t>M</w:t>
      </w:r>
      <w:r w:rsidR="00D73FE9" w:rsidRPr="009949B9">
        <w:rPr>
          <w:color w:val="auto"/>
          <w:lang w:val="en-GB"/>
        </w:rPr>
        <w:t>ean HbA1c in people with t</w:t>
      </w:r>
      <w:r w:rsidR="00905EEF" w:rsidRPr="009949B9">
        <w:rPr>
          <w:color w:val="auto"/>
          <w:lang w:val="en-GB"/>
        </w:rPr>
        <w:t>ype 2 diabetes decreased from around 62 mmol/mol at baseline to 55 mmol/mol, which suggests that the programme got close to delivering the required outcomes. For participants with pre-diabetes</w:t>
      </w:r>
      <w:r w:rsidR="00D73FE9" w:rsidRPr="009949B9">
        <w:rPr>
          <w:color w:val="auto"/>
          <w:lang w:val="en-GB"/>
        </w:rPr>
        <w:t>,</w:t>
      </w:r>
      <w:r w:rsidR="00905EEF" w:rsidRPr="009949B9">
        <w:rPr>
          <w:color w:val="auto"/>
          <w:lang w:val="en-GB"/>
        </w:rPr>
        <w:t xml:space="preserve"> the mean HbA1c levels decreased from around 44 mmol/mol to 42 mmol/mol (ie</w:t>
      </w:r>
      <w:r>
        <w:rPr>
          <w:color w:val="auto"/>
          <w:lang w:val="en-GB"/>
        </w:rPr>
        <w:t>,</w:t>
      </w:r>
      <w:r w:rsidR="00905EEF" w:rsidRPr="009949B9">
        <w:rPr>
          <w:color w:val="auto"/>
          <w:lang w:val="en-GB"/>
        </w:rPr>
        <w:t xml:space="preserve"> just missing the target of &lt; 41 mmol/mol). </w:t>
      </w:r>
    </w:p>
    <w:p w:rsidR="00905EEF" w:rsidRPr="009949B9" w:rsidRDefault="001A6F39" w:rsidP="00A37C5F">
      <w:pPr>
        <w:pStyle w:val="NoSpacing"/>
        <w:rPr>
          <w:rFonts w:cs="Arial"/>
          <w:color w:val="auto"/>
          <w:lang w:val="en-GB"/>
        </w:rPr>
      </w:pPr>
      <w:r>
        <w:rPr>
          <w:rFonts w:cs="Arial"/>
          <w:color w:val="auto"/>
          <w:lang w:val="en-GB"/>
        </w:rPr>
        <w:t>At 52 weeks, HbA1c was measured in s</w:t>
      </w:r>
      <w:r w:rsidR="0053256E" w:rsidRPr="009949B9">
        <w:rPr>
          <w:rFonts w:cs="Arial"/>
          <w:color w:val="auto"/>
          <w:lang w:val="en-GB"/>
        </w:rPr>
        <w:t>ubsamples of 89 people with pre-diabetes (62</w:t>
      </w:r>
      <w:r w:rsidR="00973820">
        <w:rPr>
          <w:rFonts w:cs="Arial"/>
          <w:color w:val="auto"/>
          <w:lang w:val="en-GB"/>
        </w:rPr>
        <w:t xml:space="preserve"> percent</w:t>
      </w:r>
      <w:r w:rsidR="0053256E" w:rsidRPr="009949B9">
        <w:rPr>
          <w:rFonts w:cs="Arial"/>
          <w:color w:val="auto"/>
          <w:lang w:val="en-GB"/>
        </w:rPr>
        <w:t xml:space="preserve"> of the original sample) and 65 people with</w:t>
      </w:r>
      <w:r>
        <w:rPr>
          <w:rFonts w:cs="Arial"/>
          <w:color w:val="auto"/>
          <w:lang w:val="en-GB"/>
        </w:rPr>
        <w:t xml:space="preserve"> type 2</w:t>
      </w:r>
      <w:r w:rsidR="0053256E" w:rsidRPr="009949B9">
        <w:rPr>
          <w:rFonts w:cs="Arial"/>
          <w:color w:val="auto"/>
          <w:lang w:val="en-GB"/>
        </w:rPr>
        <w:t xml:space="preserve"> diabetes (39</w:t>
      </w:r>
      <w:r w:rsidR="00973820">
        <w:rPr>
          <w:rFonts w:cs="Arial"/>
          <w:color w:val="auto"/>
          <w:lang w:val="en-GB"/>
        </w:rPr>
        <w:t xml:space="preserve"> percent</w:t>
      </w:r>
      <w:r w:rsidR="0053256E" w:rsidRPr="009949B9">
        <w:rPr>
          <w:rFonts w:cs="Arial"/>
          <w:color w:val="auto"/>
          <w:lang w:val="en-GB"/>
        </w:rPr>
        <w:t>)</w:t>
      </w:r>
      <w:r w:rsidR="00D72CDA" w:rsidRPr="009949B9">
        <w:rPr>
          <w:rFonts w:cs="Arial"/>
          <w:color w:val="auto"/>
          <w:lang w:val="en-GB"/>
        </w:rPr>
        <w:t>.</w:t>
      </w:r>
      <w:r w:rsidR="00BB40CD" w:rsidRPr="009949B9">
        <w:rPr>
          <w:rFonts w:cs="Arial"/>
          <w:color w:val="auto"/>
          <w:lang w:val="en-GB"/>
        </w:rPr>
        <w:t xml:space="preserve"> Those with pre-diabetes showed a mean reduction of 3.6 mmol/mol </w:t>
      </w:r>
      <w:r>
        <w:rPr>
          <w:rFonts w:cs="Arial"/>
          <w:color w:val="auto"/>
          <w:lang w:val="en-GB"/>
        </w:rPr>
        <w:t>between</w:t>
      </w:r>
      <w:r w:rsidRPr="009949B9">
        <w:rPr>
          <w:rFonts w:cs="Arial"/>
          <w:color w:val="auto"/>
          <w:lang w:val="en-GB"/>
        </w:rPr>
        <w:t xml:space="preserve"> baseline </w:t>
      </w:r>
      <w:r>
        <w:rPr>
          <w:rFonts w:cs="Arial"/>
          <w:color w:val="auto"/>
          <w:lang w:val="en-GB"/>
        </w:rPr>
        <w:t>and</w:t>
      </w:r>
      <w:r w:rsidRPr="009949B9">
        <w:rPr>
          <w:rFonts w:cs="Arial"/>
          <w:color w:val="auto"/>
          <w:lang w:val="en-GB"/>
        </w:rPr>
        <w:t xml:space="preserve"> 52 weeks </w:t>
      </w:r>
      <w:r w:rsidR="00BB40CD" w:rsidRPr="009949B9">
        <w:rPr>
          <w:rFonts w:cs="Arial"/>
          <w:color w:val="auto"/>
          <w:lang w:val="en-GB"/>
        </w:rPr>
        <w:t>(from 44.2 to 40.6 mmol/mol), with 48</w:t>
      </w:r>
      <w:r w:rsidR="00973820">
        <w:rPr>
          <w:rFonts w:cs="Arial"/>
          <w:color w:val="auto"/>
          <w:lang w:val="en-GB"/>
        </w:rPr>
        <w:t xml:space="preserve"> percent</w:t>
      </w:r>
      <w:r w:rsidR="00BB40CD" w:rsidRPr="009949B9">
        <w:rPr>
          <w:rFonts w:cs="Arial"/>
          <w:color w:val="auto"/>
          <w:lang w:val="en-GB"/>
        </w:rPr>
        <w:t xml:space="preserve"> of the sample showing HbA1c levels of less tha</w:t>
      </w:r>
      <w:r w:rsidR="008967E7" w:rsidRPr="009949B9">
        <w:rPr>
          <w:rFonts w:cs="Arial"/>
          <w:color w:val="auto"/>
          <w:lang w:val="en-GB"/>
        </w:rPr>
        <w:t>n</w:t>
      </w:r>
      <w:r w:rsidR="00BB40CD" w:rsidRPr="009949B9">
        <w:rPr>
          <w:rFonts w:cs="Arial"/>
          <w:color w:val="auto"/>
          <w:lang w:val="en-GB"/>
        </w:rPr>
        <w:t xml:space="preserve"> 41 mmol/mol. </w:t>
      </w:r>
      <w:r>
        <w:rPr>
          <w:rFonts w:cs="Arial"/>
          <w:color w:val="auto"/>
          <w:lang w:val="en-GB"/>
        </w:rPr>
        <w:t>T</w:t>
      </w:r>
      <w:r w:rsidR="00BB40CD" w:rsidRPr="009949B9">
        <w:rPr>
          <w:rFonts w:cs="Arial"/>
          <w:color w:val="auto"/>
          <w:lang w:val="en-GB"/>
        </w:rPr>
        <w:t xml:space="preserve">hose with </w:t>
      </w:r>
      <w:r>
        <w:rPr>
          <w:rFonts w:cs="Arial"/>
          <w:color w:val="auto"/>
          <w:lang w:val="en-GB"/>
        </w:rPr>
        <w:t>type 2 diabetes showed</w:t>
      </w:r>
      <w:r w:rsidR="00BB40CD" w:rsidRPr="009949B9">
        <w:rPr>
          <w:rFonts w:cs="Arial"/>
          <w:color w:val="auto"/>
          <w:lang w:val="en-GB"/>
        </w:rPr>
        <w:t xml:space="preserve"> a mean reduction of 6.9 mmol/mol</w:t>
      </w:r>
      <w:r>
        <w:rPr>
          <w:rFonts w:cs="Arial"/>
          <w:color w:val="auto"/>
          <w:lang w:val="en-GB"/>
        </w:rPr>
        <w:t xml:space="preserve"> between baseline and 52 weeks</w:t>
      </w:r>
      <w:r w:rsidR="00BB40CD" w:rsidRPr="009949B9">
        <w:rPr>
          <w:rFonts w:cs="Arial"/>
          <w:color w:val="auto"/>
          <w:lang w:val="en-GB"/>
        </w:rPr>
        <w:t xml:space="preserve"> (from 66.6 to 59.7 mmol/mol)</w:t>
      </w:r>
      <w:r>
        <w:rPr>
          <w:rFonts w:cs="Arial"/>
          <w:color w:val="auto"/>
          <w:lang w:val="en-GB"/>
        </w:rPr>
        <w:t xml:space="preserve">, </w:t>
      </w:r>
      <w:r w:rsidR="00BB40CD" w:rsidRPr="009949B9">
        <w:rPr>
          <w:rFonts w:cs="Arial"/>
          <w:color w:val="auto"/>
          <w:lang w:val="en-GB"/>
        </w:rPr>
        <w:t>with 49</w:t>
      </w:r>
      <w:r w:rsidR="00973820">
        <w:rPr>
          <w:rFonts w:cs="Arial"/>
          <w:color w:val="auto"/>
          <w:lang w:val="en-GB"/>
        </w:rPr>
        <w:t xml:space="preserve"> percent</w:t>
      </w:r>
      <w:r w:rsidR="00BB40CD" w:rsidRPr="009949B9">
        <w:rPr>
          <w:rFonts w:cs="Arial"/>
          <w:color w:val="auto"/>
          <w:lang w:val="en-GB"/>
        </w:rPr>
        <w:t xml:space="preserve"> of the sample achieving a level of less than 55 mmol/mol.</w:t>
      </w:r>
    </w:p>
    <w:p w:rsidR="00905EEF" w:rsidRPr="009949B9" w:rsidRDefault="00905EEF" w:rsidP="00A37C5F">
      <w:pPr>
        <w:pStyle w:val="NoSpacing"/>
        <w:rPr>
          <w:color w:val="auto"/>
          <w:lang w:val="en-GB"/>
        </w:rPr>
      </w:pPr>
      <w:r w:rsidRPr="009949B9">
        <w:rPr>
          <w:color w:val="auto"/>
          <w:lang w:val="en-GB"/>
        </w:rPr>
        <w:t>At 24 weeks</w:t>
      </w:r>
      <w:r w:rsidR="001A6F39">
        <w:rPr>
          <w:color w:val="auto"/>
          <w:lang w:val="en-GB"/>
        </w:rPr>
        <w:t>,</w:t>
      </w:r>
      <w:r w:rsidRPr="009949B9">
        <w:rPr>
          <w:color w:val="auto"/>
          <w:lang w:val="en-GB"/>
        </w:rPr>
        <w:t xml:space="preserve"> 81</w:t>
      </w:r>
      <w:r w:rsidR="00973820">
        <w:rPr>
          <w:color w:val="auto"/>
          <w:lang w:val="en-GB"/>
        </w:rPr>
        <w:t xml:space="preserve"> percent</w:t>
      </w:r>
      <w:r w:rsidRPr="009949B9">
        <w:rPr>
          <w:color w:val="auto"/>
          <w:lang w:val="en-GB"/>
        </w:rPr>
        <w:t xml:space="preserve"> </w:t>
      </w:r>
      <w:r w:rsidR="00B1165E" w:rsidRPr="009949B9">
        <w:rPr>
          <w:color w:val="auto"/>
          <w:lang w:val="en-GB"/>
        </w:rPr>
        <w:t xml:space="preserve">of participants </w:t>
      </w:r>
      <w:r w:rsidRPr="009949B9">
        <w:rPr>
          <w:color w:val="auto"/>
          <w:lang w:val="en-GB"/>
        </w:rPr>
        <w:t>showed a reduction in blood pressure, 71</w:t>
      </w:r>
      <w:r w:rsidR="00973820">
        <w:rPr>
          <w:color w:val="auto"/>
          <w:lang w:val="en-GB"/>
        </w:rPr>
        <w:t xml:space="preserve"> percent</w:t>
      </w:r>
      <w:r w:rsidRPr="009949B9">
        <w:rPr>
          <w:color w:val="auto"/>
          <w:lang w:val="en-GB"/>
        </w:rPr>
        <w:t xml:space="preserve"> showed decreased fat mass and 89</w:t>
      </w:r>
      <w:r w:rsidR="00973820">
        <w:rPr>
          <w:color w:val="auto"/>
          <w:lang w:val="en-GB"/>
        </w:rPr>
        <w:t xml:space="preserve"> percent</w:t>
      </w:r>
      <w:r w:rsidRPr="009949B9">
        <w:rPr>
          <w:color w:val="auto"/>
          <w:lang w:val="en-GB"/>
        </w:rPr>
        <w:t xml:space="preserve"> reported increased physical activity. </w:t>
      </w:r>
    </w:p>
    <w:p w:rsidR="00905EEF" w:rsidRPr="009949B9" w:rsidRDefault="00905EEF" w:rsidP="00A37C5F">
      <w:pPr>
        <w:pStyle w:val="NoSpacing"/>
        <w:rPr>
          <w:color w:val="auto"/>
          <w:lang w:val="en-GB"/>
        </w:rPr>
      </w:pPr>
      <w:r w:rsidRPr="009949B9">
        <w:rPr>
          <w:color w:val="auto"/>
          <w:lang w:val="en-GB"/>
        </w:rPr>
        <w:t>Weights and waist measurements were missing for the majority (57</w:t>
      </w:r>
      <w:r w:rsidR="00973820">
        <w:rPr>
          <w:color w:val="auto"/>
          <w:lang w:val="en-GB"/>
        </w:rPr>
        <w:t xml:space="preserve"> percent</w:t>
      </w:r>
      <w:r w:rsidRPr="009949B9">
        <w:rPr>
          <w:color w:val="auto"/>
          <w:lang w:val="en-GB"/>
        </w:rPr>
        <w:t>) of participants at follow-up</w:t>
      </w:r>
      <w:r w:rsidR="00D23087" w:rsidRPr="009949B9">
        <w:rPr>
          <w:color w:val="auto"/>
          <w:lang w:val="en-GB"/>
        </w:rPr>
        <w:t xml:space="preserve">, so caution needs to be applied to the interpretation of these </w:t>
      </w:r>
      <w:r w:rsidR="00A43C9A" w:rsidRPr="009949B9">
        <w:rPr>
          <w:color w:val="auto"/>
          <w:lang w:val="en-GB"/>
        </w:rPr>
        <w:t>results</w:t>
      </w:r>
      <w:r w:rsidRPr="009949B9">
        <w:rPr>
          <w:color w:val="auto"/>
          <w:lang w:val="en-GB"/>
        </w:rPr>
        <w:t>. For the subsample of 52 people with pre-diabetes</w:t>
      </w:r>
      <w:r w:rsidR="00456101" w:rsidRPr="009949B9">
        <w:rPr>
          <w:color w:val="auto"/>
          <w:lang w:val="en-GB"/>
        </w:rPr>
        <w:t>,</w:t>
      </w:r>
      <w:r w:rsidRPr="009949B9">
        <w:rPr>
          <w:color w:val="auto"/>
          <w:lang w:val="en-GB"/>
        </w:rPr>
        <w:t xml:space="preserve"> mean</w:t>
      </w:r>
      <w:r w:rsidR="00C82987" w:rsidRPr="009949B9">
        <w:rPr>
          <w:color w:val="auto"/>
          <w:lang w:val="en-GB"/>
        </w:rPr>
        <w:t xml:space="preserve"> weight loss at 24 weeks</w:t>
      </w:r>
      <w:r w:rsidRPr="009949B9">
        <w:rPr>
          <w:color w:val="auto"/>
          <w:lang w:val="en-GB"/>
        </w:rPr>
        <w:t xml:space="preserve"> was around 2.7 kg, and for those with diabetes (</w:t>
      </w:r>
      <w:r w:rsidR="00B1165E" w:rsidRPr="009949B9">
        <w:rPr>
          <w:color w:val="auto"/>
          <w:lang w:val="en-GB"/>
        </w:rPr>
        <w:t>n</w:t>
      </w:r>
      <w:r w:rsidRPr="009949B9">
        <w:rPr>
          <w:color w:val="auto"/>
          <w:lang w:val="en-GB"/>
        </w:rPr>
        <w:t>=</w:t>
      </w:r>
      <w:r w:rsidR="001A6F39">
        <w:rPr>
          <w:color w:val="auto"/>
          <w:lang w:val="en-GB"/>
        </w:rPr>
        <w:t>90) this was around 1.6 kg. It wa</w:t>
      </w:r>
      <w:r w:rsidRPr="009949B9">
        <w:rPr>
          <w:color w:val="auto"/>
          <w:lang w:val="en-GB"/>
        </w:rPr>
        <w:t>s reported that 40</w:t>
      </w:r>
      <w:r w:rsidR="00973820">
        <w:rPr>
          <w:color w:val="auto"/>
          <w:lang w:val="en-GB"/>
        </w:rPr>
        <w:t xml:space="preserve"> percent</w:t>
      </w:r>
      <w:r w:rsidRPr="009949B9">
        <w:rPr>
          <w:color w:val="auto"/>
          <w:lang w:val="en-GB"/>
        </w:rPr>
        <w:t xml:space="preserve"> of participants lost &gt; 5</w:t>
      </w:r>
      <w:r w:rsidR="00973820">
        <w:rPr>
          <w:color w:val="auto"/>
          <w:lang w:val="en-GB"/>
        </w:rPr>
        <w:t xml:space="preserve"> percent</w:t>
      </w:r>
      <w:r w:rsidRPr="009949B9">
        <w:rPr>
          <w:color w:val="auto"/>
          <w:lang w:val="en-GB"/>
        </w:rPr>
        <w:t xml:space="preserve"> of their baseline fat mass.</w:t>
      </w:r>
    </w:p>
    <w:p w:rsidR="00905EEF" w:rsidRPr="009949B9" w:rsidRDefault="00905EEF" w:rsidP="00A37C5F">
      <w:pPr>
        <w:pStyle w:val="NoSpacing"/>
        <w:rPr>
          <w:color w:val="auto"/>
          <w:lang w:val="en-GB"/>
        </w:rPr>
      </w:pPr>
      <w:r w:rsidRPr="009949B9">
        <w:rPr>
          <w:color w:val="auto"/>
          <w:lang w:val="en-GB"/>
        </w:rPr>
        <w:t>Overall</w:t>
      </w:r>
      <w:r w:rsidR="001A6F39">
        <w:rPr>
          <w:color w:val="auto"/>
          <w:lang w:val="en-GB"/>
        </w:rPr>
        <w:t>,</w:t>
      </w:r>
      <w:r w:rsidRPr="009949B9">
        <w:rPr>
          <w:color w:val="auto"/>
          <w:lang w:val="en-GB"/>
        </w:rPr>
        <w:t xml:space="preserve"> there was an increase in agreement scores across all domains of the Health Perception Questionnaire. Of the partic</w:t>
      </w:r>
      <w:r w:rsidR="00B1165E" w:rsidRPr="009949B9">
        <w:rPr>
          <w:color w:val="auto"/>
          <w:lang w:val="en-GB"/>
        </w:rPr>
        <w:t>ipants that provided feedback (n</w:t>
      </w:r>
      <w:r w:rsidRPr="009949B9">
        <w:rPr>
          <w:color w:val="auto"/>
          <w:lang w:val="en-GB"/>
        </w:rPr>
        <w:t>=188)</w:t>
      </w:r>
      <w:r w:rsidR="00B1165E" w:rsidRPr="009949B9">
        <w:rPr>
          <w:color w:val="auto"/>
          <w:lang w:val="en-GB"/>
        </w:rPr>
        <w:t>,</w:t>
      </w:r>
      <w:r w:rsidRPr="009949B9">
        <w:rPr>
          <w:color w:val="auto"/>
          <w:lang w:val="en-GB"/>
        </w:rPr>
        <w:t xml:space="preserve"> the majority (95</w:t>
      </w:r>
      <w:r w:rsidR="00973820">
        <w:rPr>
          <w:color w:val="auto"/>
          <w:lang w:val="en-GB"/>
        </w:rPr>
        <w:t xml:space="preserve"> percent</w:t>
      </w:r>
      <w:r w:rsidRPr="009949B9">
        <w:rPr>
          <w:color w:val="auto"/>
          <w:lang w:val="en-GB"/>
        </w:rPr>
        <w:t>) found the weekly consultations useful. The least useful component of the programme was the psychological support, although this was sti</w:t>
      </w:r>
      <w:r w:rsidR="00B1165E" w:rsidRPr="009949B9">
        <w:rPr>
          <w:color w:val="auto"/>
          <w:lang w:val="en-GB"/>
        </w:rPr>
        <w:t>ll seen as useful by 74</w:t>
      </w:r>
      <w:r w:rsidR="00973820">
        <w:rPr>
          <w:color w:val="auto"/>
          <w:lang w:val="en-GB"/>
        </w:rPr>
        <w:t xml:space="preserve"> percent</w:t>
      </w:r>
      <w:r w:rsidR="00B1165E" w:rsidRPr="009949B9">
        <w:rPr>
          <w:color w:val="auto"/>
          <w:lang w:val="en-GB"/>
        </w:rPr>
        <w:t xml:space="preserve"> of</w:t>
      </w:r>
      <w:r w:rsidRPr="009949B9">
        <w:rPr>
          <w:color w:val="auto"/>
          <w:lang w:val="en-GB"/>
        </w:rPr>
        <w:t xml:space="preserve"> participants.</w:t>
      </w:r>
    </w:p>
    <w:p w:rsidR="00905EEF" w:rsidRPr="009949B9" w:rsidRDefault="00905EEF" w:rsidP="00A37C5F">
      <w:pPr>
        <w:pStyle w:val="NoSpacing"/>
        <w:rPr>
          <w:color w:val="auto"/>
          <w:lang w:val="en-GB"/>
        </w:rPr>
      </w:pPr>
      <w:r w:rsidRPr="009949B9">
        <w:rPr>
          <w:color w:val="auto"/>
          <w:lang w:val="en-GB"/>
        </w:rPr>
        <w:t>Factors that were important in implementation included:</w:t>
      </w:r>
    </w:p>
    <w:p w:rsidR="00905EEF" w:rsidRPr="009949B9" w:rsidRDefault="00456101" w:rsidP="00C408F2">
      <w:pPr>
        <w:pStyle w:val="ListParagraph"/>
        <w:numPr>
          <w:ilvl w:val="0"/>
          <w:numId w:val="37"/>
        </w:numPr>
        <w:rPr>
          <w:color w:val="auto"/>
        </w:rPr>
      </w:pPr>
      <w:r w:rsidRPr="009949B9">
        <w:rPr>
          <w:color w:val="auto"/>
        </w:rPr>
        <w:t>t</w:t>
      </w:r>
      <w:r w:rsidR="00905EEF" w:rsidRPr="009949B9">
        <w:rPr>
          <w:color w:val="auto"/>
        </w:rPr>
        <w:t>he holistic nature of the Choose Change Project</w:t>
      </w:r>
    </w:p>
    <w:p w:rsidR="00905EEF" w:rsidRPr="009949B9" w:rsidRDefault="00456101" w:rsidP="00C408F2">
      <w:pPr>
        <w:pStyle w:val="ListParagraph"/>
        <w:numPr>
          <w:ilvl w:val="0"/>
          <w:numId w:val="37"/>
        </w:numPr>
        <w:rPr>
          <w:color w:val="auto"/>
        </w:rPr>
      </w:pPr>
      <w:r w:rsidRPr="009949B9">
        <w:rPr>
          <w:color w:val="auto"/>
        </w:rPr>
        <w:t>d</w:t>
      </w:r>
      <w:r w:rsidR="00905EEF" w:rsidRPr="009949B9">
        <w:rPr>
          <w:color w:val="auto"/>
        </w:rPr>
        <w:t>elivery of the programme in areas of high-risk populations</w:t>
      </w:r>
    </w:p>
    <w:p w:rsidR="00905EEF" w:rsidRPr="009949B9" w:rsidRDefault="00456101" w:rsidP="00C408F2">
      <w:pPr>
        <w:pStyle w:val="ListParagraph"/>
        <w:numPr>
          <w:ilvl w:val="0"/>
          <w:numId w:val="37"/>
        </w:numPr>
        <w:rPr>
          <w:color w:val="auto"/>
        </w:rPr>
      </w:pPr>
      <w:r w:rsidRPr="009949B9">
        <w:rPr>
          <w:color w:val="auto"/>
        </w:rPr>
        <w:t>t</w:t>
      </w:r>
      <w:r w:rsidR="00905EEF" w:rsidRPr="009949B9">
        <w:rPr>
          <w:color w:val="auto"/>
        </w:rPr>
        <w:t>he organi</w:t>
      </w:r>
      <w:r w:rsidR="001A6F39">
        <w:rPr>
          <w:color w:val="auto"/>
        </w:rPr>
        <w:t>s</w:t>
      </w:r>
      <w:r w:rsidR="00905EEF" w:rsidRPr="009949B9">
        <w:rPr>
          <w:color w:val="auto"/>
        </w:rPr>
        <w:t>ational capacity of the regional sports trusts meant that additional resource could be p</w:t>
      </w:r>
      <w:r w:rsidRPr="009949B9">
        <w:rPr>
          <w:color w:val="auto"/>
        </w:rPr>
        <w:t>rovided in times of high demand</w:t>
      </w:r>
    </w:p>
    <w:p w:rsidR="00905EEF" w:rsidRPr="009949B9" w:rsidRDefault="00456101" w:rsidP="00C408F2">
      <w:pPr>
        <w:pStyle w:val="ListParagraph"/>
        <w:numPr>
          <w:ilvl w:val="0"/>
          <w:numId w:val="37"/>
        </w:numPr>
        <w:rPr>
          <w:color w:val="auto"/>
        </w:rPr>
      </w:pPr>
      <w:r w:rsidRPr="009949B9">
        <w:rPr>
          <w:color w:val="auto"/>
        </w:rPr>
        <w:t>s</w:t>
      </w:r>
      <w:r w:rsidR="00905EEF" w:rsidRPr="009949B9">
        <w:rPr>
          <w:color w:val="auto"/>
        </w:rPr>
        <w:t>trong</w:t>
      </w:r>
      <w:r w:rsidRPr="009949B9">
        <w:rPr>
          <w:color w:val="auto"/>
        </w:rPr>
        <w:t xml:space="preserve"> connections with the community</w:t>
      </w:r>
    </w:p>
    <w:p w:rsidR="00905EEF" w:rsidRPr="009949B9" w:rsidRDefault="00456101" w:rsidP="00C408F2">
      <w:pPr>
        <w:pStyle w:val="ListParagraph"/>
        <w:numPr>
          <w:ilvl w:val="0"/>
          <w:numId w:val="37"/>
        </w:numPr>
        <w:rPr>
          <w:color w:val="auto"/>
        </w:rPr>
      </w:pPr>
      <w:r w:rsidRPr="009949B9">
        <w:rPr>
          <w:color w:val="auto"/>
        </w:rPr>
        <w:t>good relationships with leisure c</w:t>
      </w:r>
      <w:r w:rsidR="00905EEF" w:rsidRPr="009949B9">
        <w:rPr>
          <w:color w:val="auto"/>
        </w:rPr>
        <w:t xml:space="preserve">entres and </w:t>
      </w:r>
      <w:r w:rsidRPr="009949B9">
        <w:rPr>
          <w:color w:val="auto"/>
        </w:rPr>
        <w:t>g</w:t>
      </w:r>
      <w:r w:rsidR="00905EEF" w:rsidRPr="009949B9">
        <w:rPr>
          <w:color w:val="auto"/>
        </w:rPr>
        <w:t>yms</w:t>
      </w:r>
    </w:p>
    <w:p w:rsidR="00905EEF" w:rsidRPr="009949B9" w:rsidRDefault="00456101" w:rsidP="00C408F2">
      <w:pPr>
        <w:pStyle w:val="ListParagraph"/>
        <w:numPr>
          <w:ilvl w:val="0"/>
          <w:numId w:val="37"/>
        </w:numPr>
        <w:rPr>
          <w:color w:val="auto"/>
        </w:rPr>
      </w:pPr>
      <w:r w:rsidRPr="009949B9">
        <w:rPr>
          <w:color w:val="auto"/>
        </w:rPr>
        <w:t>p</w:t>
      </w:r>
      <w:r w:rsidR="00905EEF" w:rsidRPr="009949B9">
        <w:rPr>
          <w:color w:val="auto"/>
        </w:rPr>
        <w:t>rov</w:t>
      </w:r>
      <w:r w:rsidR="000150A1">
        <w:rPr>
          <w:color w:val="auto"/>
        </w:rPr>
        <w:t>ision of a range of options for physical activity</w:t>
      </w:r>
    </w:p>
    <w:p w:rsidR="00905EEF" w:rsidRPr="009949B9" w:rsidRDefault="00456101" w:rsidP="00C408F2">
      <w:pPr>
        <w:pStyle w:val="ListParagraph"/>
        <w:numPr>
          <w:ilvl w:val="0"/>
          <w:numId w:val="37"/>
        </w:numPr>
        <w:rPr>
          <w:color w:val="auto"/>
        </w:rPr>
      </w:pPr>
      <w:r w:rsidRPr="009949B9">
        <w:rPr>
          <w:color w:val="auto"/>
        </w:rPr>
        <w:t>c</w:t>
      </w:r>
      <w:r w:rsidR="00905EEF" w:rsidRPr="009949B9">
        <w:rPr>
          <w:color w:val="auto"/>
        </w:rPr>
        <w:t>onsiderable flexibility for participants in consultation times (early mornings, evenings, weekends)</w:t>
      </w:r>
    </w:p>
    <w:p w:rsidR="00905EEF" w:rsidRPr="009949B9" w:rsidRDefault="00456101" w:rsidP="00C408F2">
      <w:pPr>
        <w:pStyle w:val="ListParagraph"/>
        <w:numPr>
          <w:ilvl w:val="0"/>
          <w:numId w:val="37"/>
        </w:numPr>
        <w:rPr>
          <w:color w:val="auto"/>
        </w:rPr>
      </w:pPr>
      <w:r w:rsidRPr="009949B9">
        <w:rPr>
          <w:color w:val="auto"/>
        </w:rPr>
        <w:t>h</w:t>
      </w:r>
      <w:r w:rsidR="00905EEF" w:rsidRPr="009949B9">
        <w:rPr>
          <w:color w:val="auto"/>
        </w:rPr>
        <w:t>ome visits</w:t>
      </w:r>
      <w:r w:rsidRPr="009949B9">
        <w:rPr>
          <w:color w:val="auto"/>
        </w:rPr>
        <w:t>,</w:t>
      </w:r>
      <w:r w:rsidR="00905EEF" w:rsidRPr="009949B9">
        <w:rPr>
          <w:color w:val="auto"/>
        </w:rPr>
        <w:t xml:space="preserve"> if needed</w:t>
      </w:r>
    </w:p>
    <w:p w:rsidR="00905EEF" w:rsidRPr="009949B9" w:rsidRDefault="00456101" w:rsidP="00C408F2">
      <w:pPr>
        <w:pStyle w:val="ListParagraph"/>
        <w:numPr>
          <w:ilvl w:val="0"/>
          <w:numId w:val="37"/>
        </w:numPr>
        <w:rPr>
          <w:color w:val="auto"/>
        </w:rPr>
      </w:pPr>
      <w:r w:rsidRPr="009949B9">
        <w:rPr>
          <w:color w:val="auto"/>
        </w:rPr>
        <w:t>p</w:t>
      </w:r>
      <w:r w:rsidR="00905EEF" w:rsidRPr="009949B9">
        <w:rPr>
          <w:color w:val="auto"/>
        </w:rPr>
        <w:t>rovi</w:t>
      </w:r>
      <w:r w:rsidRPr="009949B9">
        <w:rPr>
          <w:color w:val="auto"/>
        </w:rPr>
        <w:t>sion of</w:t>
      </w:r>
      <w:r w:rsidR="00905EEF" w:rsidRPr="009949B9">
        <w:rPr>
          <w:color w:val="auto"/>
        </w:rPr>
        <w:t xml:space="preserve"> transport to and from </w:t>
      </w:r>
      <w:r w:rsidR="000150A1">
        <w:rPr>
          <w:color w:val="auto"/>
        </w:rPr>
        <w:t>physical activity</w:t>
      </w:r>
      <w:r w:rsidR="00905EEF" w:rsidRPr="009949B9">
        <w:rPr>
          <w:color w:val="auto"/>
        </w:rPr>
        <w:t xml:space="preserve"> sessions </w:t>
      </w:r>
    </w:p>
    <w:p w:rsidR="00905EEF" w:rsidRPr="009949B9" w:rsidRDefault="00456101" w:rsidP="00C408F2">
      <w:pPr>
        <w:pStyle w:val="ListParagraph"/>
        <w:numPr>
          <w:ilvl w:val="0"/>
          <w:numId w:val="37"/>
        </w:numPr>
        <w:rPr>
          <w:color w:val="auto"/>
        </w:rPr>
      </w:pPr>
      <w:r w:rsidRPr="009949B9">
        <w:rPr>
          <w:color w:val="auto"/>
        </w:rPr>
        <w:t>f</w:t>
      </w:r>
      <w:r w:rsidR="00905EEF" w:rsidRPr="009949B9">
        <w:rPr>
          <w:color w:val="auto"/>
        </w:rPr>
        <w:t xml:space="preserve">acilitated financial support through WINZ for some participants to pay for extra psychology sessions or gym fees </w:t>
      </w:r>
    </w:p>
    <w:p w:rsidR="00905EEF" w:rsidRPr="009949B9" w:rsidRDefault="00905EEF" w:rsidP="00905EEF">
      <w:pPr>
        <w:pStyle w:val="Heading4"/>
        <w:rPr>
          <w:color w:val="auto"/>
          <w:lang w:val="en-GB"/>
        </w:rPr>
      </w:pPr>
      <w:r w:rsidRPr="009949B9">
        <w:rPr>
          <w:color w:val="auto"/>
          <w:lang w:val="en-GB"/>
        </w:rPr>
        <w:t>Summary</w:t>
      </w:r>
    </w:p>
    <w:p w:rsidR="00905EEF" w:rsidRPr="009949B9" w:rsidRDefault="00905EEF" w:rsidP="00A37C5F">
      <w:pPr>
        <w:pStyle w:val="NoSpacing"/>
        <w:rPr>
          <w:color w:val="auto"/>
          <w:lang w:val="en-GB"/>
        </w:rPr>
      </w:pPr>
      <w:r w:rsidRPr="009949B9">
        <w:rPr>
          <w:color w:val="auto"/>
          <w:lang w:val="en-GB"/>
        </w:rPr>
        <w:t>The programme had very good retention rates (87</w:t>
      </w:r>
      <w:r w:rsidR="00973820">
        <w:rPr>
          <w:color w:val="auto"/>
          <w:lang w:val="en-GB"/>
        </w:rPr>
        <w:t xml:space="preserve"> percent</w:t>
      </w:r>
      <w:r w:rsidRPr="009949B9">
        <w:rPr>
          <w:color w:val="auto"/>
          <w:lang w:val="en-GB"/>
        </w:rPr>
        <w:t>) to the 12-week follow-up. There are indicators that the programme was effective and had a positive impact on many participants. However</w:t>
      </w:r>
      <w:r w:rsidR="00456101" w:rsidRPr="009949B9">
        <w:rPr>
          <w:color w:val="auto"/>
          <w:lang w:val="en-GB"/>
        </w:rPr>
        <w:t>,</w:t>
      </w:r>
      <w:r w:rsidRPr="009949B9">
        <w:rPr>
          <w:color w:val="auto"/>
          <w:lang w:val="en-GB"/>
        </w:rPr>
        <w:t xml:space="preserve"> it is difficult to fully appraise the effectiveness (in terms of reduction in HbA1c </w:t>
      </w:r>
      <w:r w:rsidR="000150A1">
        <w:rPr>
          <w:color w:val="auto"/>
          <w:lang w:val="en-GB"/>
        </w:rPr>
        <w:t xml:space="preserve">or weight) using the data that </w:t>
      </w:r>
      <w:r w:rsidR="00BE2682">
        <w:rPr>
          <w:color w:val="auto"/>
          <w:lang w:val="en-GB"/>
        </w:rPr>
        <w:t>was</w:t>
      </w:r>
      <w:r w:rsidRPr="009949B9">
        <w:rPr>
          <w:color w:val="auto"/>
          <w:lang w:val="en-GB"/>
        </w:rPr>
        <w:t xml:space="preserve"> provided. There appears to be a signific</w:t>
      </w:r>
      <w:r w:rsidR="00456101" w:rsidRPr="009949B9">
        <w:rPr>
          <w:color w:val="auto"/>
          <w:lang w:val="en-GB"/>
        </w:rPr>
        <w:t>ant amount of missing data (eg,</w:t>
      </w:r>
      <w:r w:rsidRPr="009949B9">
        <w:rPr>
          <w:color w:val="auto"/>
          <w:lang w:val="en-GB"/>
        </w:rPr>
        <w:t xml:space="preserve"> of the 287 </w:t>
      </w:r>
      <w:r w:rsidR="00456101" w:rsidRPr="009949B9">
        <w:rPr>
          <w:color w:val="auto"/>
          <w:lang w:val="en-GB"/>
        </w:rPr>
        <w:t xml:space="preserve">participants </w:t>
      </w:r>
      <w:r w:rsidRPr="009949B9">
        <w:rPr>
          <w:color w:val="auto"/>
          <w:lang w:val="en-GB"/>
        </w:rPr>
        <w:t>that completed the 12-week intensive programme, only 180 (63</w:t>
      </w:r>
      <w:r w:rsidR="00973820">
        <w:rPr>
          <w:color w:val="auto"/>
          <w:lang w:val="en-GB"/>
        </w:rPr>
        <w:t xml:space="preserve"> percent</w:t>
      </w:r>
      <w:r w:rsidRPr="009949B9">
        <w:rPr>
          <w:color w:val="auto"/>
          <w:lang w:val="en-GB"/>
        </w:rPr>
        <w:t xml:space="preserve">) provided a follow-up blood test). The evaluation provides an excellent summary of the barriers and facilitators to establishing and running a programme aimed at lowering HbA1c and improving a healthy lifestyle. </w:t>
      </w:r>
    </w:p>
    <w:p w:rsidR="00905EEF" w:rsidRPr="009949B9" w:rsidRDefault="00905EEF" w:rsidP="00A37C5F">
      <w:pPr>
        <w:pStyle w:val="NoSpacing"/>
        <w:rPr>
          <w:color w:val="auto"/>
          <w:lang w:val="en-GB"/>
        </w:rPr>
      </w:pPr>
      <w:r w:rsidRPr="009949B9">
        <w:rPr>
          <w:color w:val="auto"/>
          <w:lang w:val="en-GB"/>
        </w:rPr>
        <w:t>Further analyses of the data would be useful</w:t>
      </w:r>
      <w:r w:rsidR="00456101" w:rsidRPr="009949B9">
        <w:rPr>
          <w:color w:val="auto"/>
          <w:lang w:val="en-GB"/>
        </w:rPr>
        <w:t xml:space="preserve"> to determine the effectiveness</w:t>
      </w:r>
      <w:r w:rsidRPr="009949B9">
        <w:rPr>
          <w:color w:val="auto"/>
          <w:lang w:val="en-GB"/>
        </w:rPr>
        <w:t xml:space="preserve"> of this project in reducing HbA1c in people with pre- and </w:t>
      </w:r>
      <w:r w:rsidR="00456101" w:rsidRPr="009949B9">
        <w:rPr>
          <w:color w:val="auto"/>
          <w:lang w:val="en-GB"/>
        </w:rPr>
        <w:t>t</w:t>
      </w:r>
      <w:r w:rsidRPr="009949B9">
        <w:rPr>
          <w:color w:val="auto"/>
          <w:lang w:val="en-GB"/>
        </w:rPr>
        <w:t>ype 2 diabetes. The project does</w:t>
      </w:r>
      <w:r w:rsidR="000150A1">
        <w:rPr>
          <w:color w:val="auto"/>
          <w:lang w:val="en-GB"/>
        </w:rPr>
        <w:t>,</w:t>
      </w:r>
      <w:r w:rsidRPr="009949B9">
        <w:rPr>
          <w:color w:val="auto"/>
          <w:lang w:val="en-GB"/>
        </w:rPr>
        <w:t xml:space="preserve"> however</w:t>
      </w:r>
      <w:r w:rsidR="000150A1">
        <w:rPr>
          <w:color w:val="auto"/>
          <w:lang w:val="en-GB"/>
        </w:rPr>
        <w:t>,</w:t>
      </w:r>
      <w:r w:rsidRPr="009949B9">
        <w:rPr>
          <w:color w:val="auto"/>
          <w:lang w:val="en-GB"/>
        </w:rPr>
        <w:t xml:space="preserve"> contribute significantly to our understanding of implementing these types of programmes.</w:t>
      </w:r>
    </w:p>
    <w:p w:rsidR="00905EEF" w:rsidRPr="00034C96" w:rsidRDefault="00905EEF" w:rsidP="00034C96">
      <w:pPr>
        <w:pStyle w:val="Heading3"/>
      </w:pPr>
      <w:bookmarkStart w:id="7" w:name="_Toc465944111"/>
      <w:r w:rsidRPr="00034C96">
        <w:t>Sport Bay of Plenty</w:t>
      </w:r>
      <w:bookmarkEnd w:id="7"/>
    </w:p>
    <w:p w:rsidR="00905EEF" w:rsidRPr="009949B9" w:rsidRDefault="00905EEF" w:rsidP="00FF5AC1">
      <w:pPr>
        <w:pStyle w:val="NoSpacing"/>
        <w:rPr>
          <w:color w:val="auto"/>
          <w:lang w:val="en-GB"/>
        </w:rPr>
      </w:pPr>
      <w:r w:rsidRPr="009949B9">
        <w:rPr>
          <w:color w:val="auto"/>
          <w:lang w:val="en-GB"/>
        </w:rPr>
        <w:t xml:space="preserve">The objectives of this programme were to connect those </w:t>
      </w:r>
      <w:r w:rsidR="00C82987" w:rsidRPr="009949B9">
        <w:rPr>
          <w:color w:val="auto"/>
          <w:lang w:val="en-GB"/>
        </w:rPr>
        <w:t xml:space="preserve">people </w:t>
      </w:r>
      <w:r w:rsidRPr="009949B9">
        <w:rPr>
          <w:color w:val="auto"/>
          <w:lang w:val="en-GB"/>
        </w:rPr>
        <w:t>identif</w:t>
      </w:r>
      <w:r w:rsidR="00C82987" w:rsidRPr="009949B9">
        <w:rPr>
          <w:color w:val="auto"/>
          <w:lang w:val="en-GB"/>
        </w:rPr>
        <w:t>ied with pre-diabetes</w:t>
      </w:r>
      <w:r w:rsidRPr="009949B9">
        <w:rPr>
          <w:color w:val="auto"/>
          <w:lang w:val="en-GB"/>
        </w:rPr>
        <w:t xml:space="preserve"> with information, education</w:t>
      </w:r>
      <w:r w:rsidR="000150A1">
        <w:rPr>
          <w:color w:val="auto"/>
          <w:lang w:val="en-GB"/>
        </w:rPr>
        <w:t xml:space="preserve">, </w:t>
      </w:r>
      <w:r w:rsidRPr="009949B9">
        <w:rPr>
          <w:color w:val="auto"/>
          <w:lang w:val="en-GB"/>
        </w:rPr>
        <w:t>nutrition and physical activity to reduce the</w:t>
      </w:r>
      <w:r w:rsidR="000150A1">
        <w:rPr>
          <w:color w:val="auto"/>
          <w:lang w:val="en-GB"/>
        </w:rPr>
        <w:t>ir</w:t>
      </w:r>
      <w:r w:rsidRPr="009949B9">
        <w:rPr>
          <w:color w:val="auto"/>
          <w:lang w:val="en-GB"/>
        </w:rPr>
        <w:t xml:space="preserve"> risk of progression to</w:t>
      </w:r>
      <w:r w:rsidR="000150A1">
        <w:rPr>
          <w:color w:val="auto"/>
          <w:lang w:val="en-GB"/>
        </w:rPr>
        <w:t xml:space="preserve"> type 2</w:t>
      </w:r>
      <w:r w:rsidRPr="009949B9">
        <w:rPr>
          <w:color w:val="auto"/>
          <w:lang w:val="en-GB"/>
        </w:rPr>
        <w:t xml:space="preserve"> diabetes.</w:t>
      </w:r>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FF5AC1">
      <w:pPr>
        <w:pStyle w:val="NoSpacing"/>
        <w:rPr>
          <w:color w:val="auto"/>
          <w:lang w:val="en-GB"/>
        </w:rPr>
      </w:pPr>
      <w:r w:rsidRPr="009949B9">
        <w:rPr>
          <w:color w:val="auto"/>
          <w:lang w:val="en-GB"/>
        </w:rPr>
        <w:t xml:space="preserve">Advisors supported </w:t>
      </w:r>
      <w:r w:rsidR="000150A1">
        <w:rPr>
          <w:color w:val="auto"/>
          <w:lang w:val="en-GB"/>
        </w:rPr>
        <w:t>participants</w:t>
      </w:r>
      <w:r w:rsidRPr="009949B9">
        <w:rPr>
          <w:color w:val="auto"/>
          <w:lang w:val="en-GB"/>
        </w:rPr>
        <w:t xml:space="preserve"> to set and achieve nutrition and physical activity related goals. Nutrition educational sessions were offered</w:t>
      </w:r>
      <w:r w:rsidR="00456101" w:rsidRPr="009949B9">
        <w:rPr>
          <w:color w:val="auto"/>
          <w:lang w:val="en-GB"/>
        </w:rPr>
        <w:t>,</w:t>
      </w:r>
      <w:r w:rsidRPr="009949B9">
        <w:rPr>
          <w:color w:val="auto"/>
          <w:lang w:val="en-GB"/>
        </w:rPr>
        <w:t xml:space="preserve"> includ</w:t>
      </w:r>
      <w:r w:rsidR="00456101" w:rsidRPr="009949B9">
        <w:rPr>
          <w:color w:val="auto"/>
          <w:lang w:val="en-GB"/>
        </w:rPr>
        <w:t>ing a nutritional workshop, one-</w:t>
      </w:r>
      <w:r w:rsidRPr="009949B9">
        <w:rPr>
          <w:color w:val="auto"/>
          <w:lang w:val="en-GB"/>
        </w:rPr>
        <w:t>on</w:t>
      </w:r>
      <w:r w:rsidR="00456101" w:rsidRPr="009949B9">
        <w:rPr>
          <w:color w:val="auto"/>
          <w:lang w:val="en-GB"/>
        </w:rPr>
        <w:t>-</w:t>
      </w:r>
      <w:r w:rsidRPr="009949B9">
        <w:rPr>
          <w:color w:val="auto"/>
          <w:lang w:val="en-GB"/>
        </w:rPr>
        <w:t xml:space="preserve">one session with a </w:t>
      </w:r>
      <w:r w:rsidR="00456101" w:rsidRPr="009949B9">
        <w:rPr>
          <w:color w:val="auto"/>
          <w:lang w:val="en-GB"/>
        </w:rPr>
        <w:t>dietitian and two h</w:t>
      </w:r>
      <w:r w:rsidRPr="009949B9">
        <w:rPr>
          <w:color w:val="auto"/>
          <w:lang w:val="en-GB"/>
        </w:rPr>
        <w:t xml:space="preserve">ealthy cooking classes. </w:t>
      </w:r>
      <w:r w:rsidR="000150A1">
        <w:rPr>
          <w:color w:val="auto"/>
          <w:lang w:val="en-GB"/>
        </w:rPr>
        <w:t>Participants</w:t>
      </w:r>
      <w:r w:rsidRPr="009949B9">
        <w:rPr>
          <w:color w:val="auto"/>
          <w:lang w:val="en-GB"/>
        </w:rPr>
        <w:t xml:space="preserve"> were offered new options</w:t>
      </w:r>
      <w:r w:rsidR="00A1138C" w:rsidRPr="009949B9">
        <w:rPr>
          <w:color w:val="auto"/>
          <w:lang w:val="en-GB"/>
        </w:rPr>
        <w:t xml:space="preserve"> for increasing physical activity</w:t>
      </w:r>
      <w:r w:rsidRPr="009949B9">
        <w:rPr>
          <w:color w:val="auto"/>
          <w:lang w:val="en-GB"/>
        </w:rPr>
        <w:t xml:space="preserve"> and/or </w:t>
      </w:r>
      <w:r w:rsidR="000150A1">
        <w:rPr>
          <w:color w:val="auto"/>
          <w:lang w:val="en-GB"/>
        </w:rPr>
        <w:t xml:space="preserve">were </w:t>
      </w:r>
      <w:r w:rsidRPr="009949B9">
        <w:rPr>
          <w:color w:val="auto"/>
          <w:lang w:val="en-GB"/>
        </w:rPr>
        <w:t>linked to existing physical activity</w:t>
      </w:r>
      <w:r w:rsidR="002C14F5" w:rsidRPr="009949B9">
        <w:rPr>
          <w:color w:val="auto"/>
          <w:lang w:val="en-GB"/>
        </w:rPr>
        <w:t xml:space="preserve"> programmes</w:t>
      </w:r>
      <w:r w:rsidRPr="009949B9">
        <w:rPr>
          <w:color w:val="auto"/>
          <w:lang w:val="en-GB"/>
        </w:rPr>
        <w:t>.</w:t>
      </w:r>
    </w:p>
    <w:p w:rsidR="00905EEF" w:rsidRPr="009949B9" w:rsidRDefault="00905EEF" w:rsidP="00FF5AC1">
      <w:pPr>
        <w:pStyle w:val="NoSpacing"/>
        <w:rPr>
          <w:color w:val="auto"/>
          <w:lang w:val="en-GB"/>
        </w:rPr>
      </w:pPr>
      <w:r w:rsidRPr="009949B9">
        <w:rPr>
          <w:color w:val="auto"/>
          <w:lang w:val="en-GB"/>
        </w:rPr>
        <w:t>Monthly follow-up mee</w:t>
      </w:r>
      <w:r w:rsidR="00456101" w:rsidRPr="009949B9">
        <w:rPr>
          <w:color w:val="auto"/>
          <w:lang w:val="en-GB"/>
        </w:rPr>
        <w:t xml:space="preserve">tings were provided for up to six </w:t>
      </w:r>
      <w:r w:rsidRPr="009949B9">
        <w:rPr>
          <w:color w:val="auto"/>
          <w:lang w:val="en-GB"/>
        </w:rPr>
        <w:t xml:space="preserve">months, where advisors motivated and supported </w:t>
      </w:r>
      <w:r w:rsidR="00436363" w:rsidRPr="009949B9">
        <w:rPr>
          <w:color w:val="auto"/>
          <w:lang w:val="en-GB"/>
        </w:rPr>
        <w:t>participants</w:t>
      </w:r>
      <w:r w:rsidRPr="009949B9">
        <w:rPr>
          <w:color w:val="auto"/>
          <w:lang w:val="en-GB"/>
        </w:rPr>
        <w:t xml:space="preserve"> to a</w:t>
      </w:r>
      <w:r w:rsidR="000150A1">
        <w:rPr>
          <w:color w:val="auto"/>
          <w:lang w:val="en-GB"/>
        </w:rPr>
        <w:t>chieve their goals. Measures (blood pressure</w:t>
      </w:r>
      <w:r w:rsidRPr="009949B9">
        <w:rPr>
          <w:color w:val="auto"/>
          <w:lang w:val="en-GB"/>
        </w:rPr>
        <w:t xml:space="preserve">, weight and </w:t>
      </w:r>
      <w:r w:rsidR="000150A1">
        <w:rPr>
          <w:color w:val="auto"/>
          <w:lang w:val="en-GB"/>
        </w:rPr>
        <w:t>waist circumference</w:t>
      </w:r>
      <w:r w:rsidRPr="009949B9">
        <w:rPr>
          <w:color w:val="auto"/>
          <w:lang w:val="en-GB"/>
        </w:rPr>
        <w:t xml:space="preserve">) were taken at baseline and </w:t>
      </w:r>
      <w:r w:rsidR="000150A1">
        <w:rPr>
          <w:color w:val="auto"/>
          <w:lang w:val="en-GB"/>
        </w:rPr>
        <w:t>six</w:t>
      </w:r>
      <w:r w:rsidRPr="009949B9">
        <w:rPr>
          <w:color w:val="auto"/>
          <w:lang w:val="en-GB"/>
        </w:rPr>
        <w:t xml:space="preserve"> months.</w:t>
      </w:r>
    </w:p>
    <w:p w:rsidR="00905EEF" w:rsidRPr="009949B9" w:rsidRDefault="00905EEF" w:rsidP="00905EEF">
      <w:pPr>
        <w:pStyle w:val="Heading4"/>
        <w:rPr>
          <w:color w:val="auto"/>
          <w:lang w:val="en-GB"/>
        </w:rPr>
      </w:pPr>
      <w:r w:rsidRPr="009949B9">
        <w:rPr>
          <w:color w:val="auto"/>
          <w:lang w:val="en-GB"/>
        </w:rPr>
        <w:t>Participants</w:t>
      </w:r>
    </w:p>
    <w:p w:rsidR="00905EEF" w:rsidRPr="009949B9" w:rsidRDefault="00905EEF" w:rsidP="00FF5AC1">
      <w:pPr>
        <w:pStyle w:val="NoSpacing"/>
        <w:rPr>
          <w:color w:val="auto"/>
          <w:lang w:val="en-GB"/>
        </w:rPr>
      </w:pPr>
      <w:r w:rsidRPr="009949B9">
        <w:rPr>
          <w:color w:val="auto"/>
          <w:lang w:val="en-GB"/>
        </w:rPr>
        <w:t xml:space="preserve">Identification of pre-diabetes (HbA1c 41-49) took place in the Bay of Plenty GP practices via a blood test. Those identified </w:t>
      </w:r>
      <w:r w:rsidR="00436363" w:rsidRPr="009949B9">
        <w:rPr>
          <w:color w:val="auto"/>
          <w:lang w:val="en-GB"/>
        </w:rPr>
        <w:t xml:space="preserve">as having pre-diabetes </w:t>
      </w:r>
      <w:r w:rsidRPr="009949B9">
        <w:rPr>
          <w:color w:val="auto"/>
          <w:lang w:val="en-GB"/>
        </w:rPr>
        <w:t>were then referred by their GP practice to the project via a secure e-referral process</w:t>
      </w:r>
      <w:r w:rsidR="00436363" w:rsidRPr="009949B9">
        <w:rPr>
          <w:color w:val="auto"/>
          <w:lang w:val="en-GB"/>
        </w:rPr>
        <w:t>,</w:t>
      </w:r>
      <w:r w:rsidRPr="009949B9">
        <w:rPr>
          <w:color w:val="auto"/>
          <w:lang w:val="en-GB"/>
        </w:rPr>
        <w:t xml:space="preserve"> if available</w:t>
      </w:r>
      <w:r w:rsidR="00436363" w:rsidRPr="009949B9">
        <w:rPr>
          <w:color w:val="auto"/>
          <w:lang w:val="en-GB"/>
        </w:rPr>
        <w:t>,</w:t>
      </w:r>
      <w:r w:rsidRPr="009949B9">
        <w:rPr>
          <w:color w:val="auto"/>
          <w:lang w:val="en-GB"/>
        </w:rPr>
        <w:t xml:space="preserve"> or via a hand-written referral script.</w:t>
      </w:r>
    </w:p>
    <w:p w:rsidR="00905EEF" w:rsidRPr="009949B9" w:rsidRDefault="00905EEF" w:rsidP="00FF5AC1">
      <w:pPr>
        <w:pStyle w:val="NoSpacing"/>
        <w:rPr>
          <w:color w:val="auto"/>
          <w:lang w:val="en-GB"/>
        </w:rPr>
      </w:pPr>
      <w:r w:rsidRPr="009949B9">
        <w:rPr>
          <w:color w:val="auto"/>
          <w:lang w:val="en-GB"/>
        </w:rPr>
        <w:t>A total of 274 participants (68</w:t>
      </w:r>
      <w:r w:rsidR="00973820">
        <w:rPr>
          <w:color w:val="auto"/>
          <w:lang w:val="en-GB"/>
        </w:rPr>
        <w:t xml:space="preserve"> percent</w:t>
      </w:r>
      <w:r w:rsidRPr="009949B9">
        <w:rPr>
          <w:color w:val="auto"/>
          <w:lang w:val="en-GB"/>
        </w:rPr>
        <w:t xml:space="preserve"> female; 65</w:t>
      </w:r>
      <w:r w:rsidR="00973820">
        <w:rPr>
          <w:color w:val="auto"/>
          <w:lang w:val="en-GB"/>
        </w:rPr>
        <w:t xml:space="preserve"> percent</w:t>
      </w:r>
      <w:r w:rsidRPr="009949B9">
        <w:rPr>
          <w:color w:val="auto"/>
          <w:lang w:val="en-GB"/>
        </w:rPr>
        <w:t xml:space="preserve"> age 50+</w:t>
      </w:r>
      <w:r w:rsidR="00436363" w:rsidRPr="009949B9">
        <w:rPr>
          <w:color w:val="auto"/>
          <w:lang w:val="en-GB"/>
        </w:rPr>
        <w:t xml:space="preserve"> years</w:t>
      </w:r>
      <w:r w:rsidRPr="009949B9">
        <w:rPr>
          <w:color w:val="auto"/>
          <w:lang w:val="en-GB"/>
        </w:rPr>
        <w:t>; 50</w:t>
      </w:r>
      <w:r w:rsidR="00973820">
        <w:rPr>
          <w:color w:val="auto"/>
          <w:lang w:val="en-GB"/>
        </w:rPr>
        <w:t xml:space="preserve"> percent</w:t>
      </w:r>
      <w:r w:rsidRPr="009949B9">
        <w:rPr>
          <w:color w:val="auto"/>
          <w:lang w:val="en-GB"/>
        </w:rPr>
        <w:t xml:space="preserve"> Māori; 44</w:t>
      </w:r>
      <w:r w:rsidR="00973820">
        <w:rPr>
          <w:color w:val="auto"/>
          <w:lang w:val="en-GB"/>
        </w:rPr>
        <w:t xml:space="preserve"> percent</w:t>
      </w:r>
      <w:r w:rsidRPr="009949B9">
        <w:rPr>
          <w:color w:val="auto"/>
          <w:lang w:val="en-GB"/>
        </w:rPr>
        <w:t xml:space="preserve"> Pākehā) were referred</w:t>
      </w:r>
      <w:r w:rsidR="000150A1">
        <w:rPr>
          <w:color w:val="auto"/>
          <w:lang w:val="en-GB"/>
        </w:rPr>
        <w:t>,</w:t>
      </w:r>
      <w:r w:rsidRPr="009949B9">
        <w:rPr>
          <w:color w:val="auto"/>
          <w:lang w:val="en-GB"/>
        </w:rPr>
        <w:t xml:space="preserve"> and 174 (64</w:t>
      </w:r>
      <w:r w:rsidR="00973820">
        <w:rPr>
          <w:color w:val="auto"/>
          <w:lang w:val="en-GB"/>
        </w:rPr>
        <w:t xml:space="preserve"> percent</w:t>
      </w:r>
      <w:r w:rsidRPr="009949B9">
        <w:rPr>
          <w:color w:val="auto"/>
          <w:lang w:val="en-GB"/>
        </w:rPr>
        <w:t>) engaged in the programme. Only 6</w:t>
      </w:r>
      <w:r w:rsidR="00973820">
        <w:rPr>
          <w:color w:val="auto"/>
          <w:lang w:val="en-GB"/>
        </w:rPr>
        <w:t xml:space="preserve"> percent</w:t>
      </w:r>
      <w:r w:rsidRPr="009949B9">
        <w:rPr>
          <w:color w:val="auto"/>
          <w:lang w:val="en-GB"/>
        </w:rPr>
        <w:t xml:space="preserve"> declined the offer of support and the remainder could not be contacted. The total cost of the programme (excluding the evaluation) was $329,136, giving a cost per enrolled participant of $1,891.</w:t>
      </w:r>
    </w:p>
    <w:p w:rsidR="00905EEF" w:rsidRPr="009949B9" w:rsidRDefault="00905EEF" w:rsidP="00905EEF">
      <w:pPr>
        <w:pStyle w:val="Heading4"/>
        <w:rPr>
          <w:color w:val="auto"/>
          <w:lang w:val="en-GB"/>
        </w:rPr>
      </w:pPr>
      <w:r w:rsidRPr="009949B9">
        <w:rPr>
          <w:color w:val="auto"/>
          <w:lang w:val="en-GB"/>
        </w:rPr>
        <w:t>Outcomes</w:t>
      </w:r>
    </w:p>
    <w:p w:rsidR="00905EEF" w:rsidRPr="009949B9" w:rsidRDefault="00905EEF" w:rsidP="00FF5AC1">
      <w:pPr>
        <w:pStyle w:val="NoSpacing"/>
        <w:rPr>
          <w:color w:val="auto"/>
          <w:lang w:val="en-GB"/>
        </w:rPr>
      </w:pPr>
      <w:r w:rsidRPr="009949B9">
        <w:rPr>
          <w:color w:val="auto"/>
          <w:lang w:val="en-GB"/>
        </w:rPr>
        <w:t>The attendance of participants on the various programme component</w:t>
      </w:r>
      <w:r w:rsidR="00436363" w:rsidRPr="009949B9">
        <w:rPr>
          <w:color w:val="auto"/>
          <w:lang w:val="en-GB"/>
        </w:rPr>
        <w:t>s</w:t>
      </w:r>
      <w:r w:rsidRPr="009949B9">
        <w:rPr>
          <w:color w:val="auto"/>
          <w:lang w:val="en-GB"/>
        </w:rPr>
        <w:t xml:space="preserve"> was relatively good: 137 </w:t>
      </w:r>
      <w:r w:rsidR="00436363" w:rsidRPr="009949B9">
        <w:rPr>
          <w:color w:val="auto"/>
          <w:lang w:val="en-GB"/>
        </w:rPr>
        <w:t xml:space="preserve">participants </w:t>
      </w:r>
      <w:r w:rsidRPr="009949B9">
        <w:rPr>
          <w:color w:val="auto"/>
          <w:lang w:val="en-GB"/>
        </w:rPr>
        <w:t>(79</w:t>
      </w:r>
      <w:r w:rsidR="00973820">
        <w:rPr>
          <w:color w:val="auto"/>
          <w:lang w:val="en-GB"/>
        </w:rPr>
        <w:t xml:space="preserve"> percent</w:t>
      </w:r>
      <w:r w:rsidRPr="009949B9">
        <w:rPr>
          <w:color w:val="auto"/>
          <w:lang w:val="en-GB"/>
        </w:rPr>
        <w:t>) attended one of 25 cooking classes; 107</w:t>
      </w:r>
      <w:r w:rsidR="00436363" w:rsidRPr="009949B9">
        <w:rPr>
          <w:color w:val="auto"/>
          <w:lang w:val="en-GB"/>
        </w:rPr>
        <w:t xml:space="preserve"> participants</w:t>
      </w:r>
      <w:r w:rsidRPr="009949B9">
        <w:rPr>
          <w:color w:val="auto"/>
          <w:lang w:val="en-GB"/>
        </w:rPr>
        <w:t xml:space="preserve"> (61</w:t>
      </w:r>
      <w:r w:rsidR="00973820">
        <w:rPr>
          <w:color w:val="auto"/>
          <w:lang w:val="en-GB"/>
        </w:rPr>
        <w:t xml:space="preserve"> percent</w:t>
      </w:r>
      <w:r w:rsidRPr="009949B9">
        <w:rPr>
          <w:color w:val="auto"/>
          <w:lang w:val="en-GB"/>
        </w:rPr>
        <w:t>) attended one of 23 dietitian clinics; and 104 participants (60</w:t>
      </w:r>
      <w:r w:rsidR="00973820">
        <w:rPr>
          <w:color w:val="auto"/>
          <w:lang w:val="en-GB"/>
        </w:rPr>
        <w:t xml:space="preserve"> percent</w:t>
      </w:r>
      <w:r w:rsidRPr="009949B9">
        <w:rPr>
          <w:color w:val="auto"/>
          <w:lang w:val="en-GB"/>
        </w:rPr>
        <w:t>) attended one of 19 nutritional workshops. However</w:t>
      </w:r>
      <w:r w:rsidR="00436363" w:rsidRPr="009949B9">
        <w:rPr>
          <w:color w:val="auto"/>
          <w:lang w:val="en-GB"/>
        </w:rPr>
        <w:t>,</w:t>
      </w:r>
      <w:r w:rsidRPr="009949B9">
        <w:rPr>
          <w:color w:val="auto"/>
          <w:lang w:val="en-GB"/>
        </w:rPr>
        <w:t xml:space="preserve"> a lot of effort went into encouraging people to attend these sessions (</w:t>
      </w:r>
      <w:r w:rsidRPr="009949B9">
        <w:rPr>
          <w:i/>
          <w:color w:val="auto"/>
          <w:lang w:val="en-GB"/>
        </w:rPr>
        <w:t xml:space="preserve">“To get a client to a nutrition session could take up to </w:t>
      </w:r>
      <w:r w:rsidR="00973820">
        <w:rPr>
          <w:i/>
          <w:color w:val="auto"/>
          <w:lang w:val="en-GB"/>
        </w:rPr>
        <w:t>10</w:t>
      </w:r>
      <w:r w:rsidRPr="009949B9">
        <w:rPr>
          <w:i/>
          <w:color w:val="auto"/>
          <w:lang w:val="en-GB"/>
        </w:rPr>
        <w:t xml:space="preserve"> phone calls”</w:t>
      </w:r>
      <w:r w:rsidRPr="009949B9">
        <w:rPr>
          <w:color w:val="auto"/>
          <w:lang w:val="en-GB"/>
        </w:rPr>
        <w:t>).</w:t>
      </w:r>
    </w:p>
    <w:p w:rsidR="00905EEF" w:rsidRPr="009949B9" w:rsidRDefault="00905EEF" w:rsidP="00FF5AC1">
      <w:pPr>
        <w:pStyle w:val="NoSpacing"/>
        <w:rPr>
          <w:color w:val="auto"/>
          <w:lang w:val="en-GB"/>
        </w:rPr>
      </w:pPr>
      <w:r w:rsidRPr="009949B9">
        <w:rPr>
          <w:color w:val="auto"/>
          <w:lang w:val="en-GB"/>
        </w:rPr>
        <w:t>A total of 177 (102</w:t>
      </w:r>
      <w:r w:rsidR="00973820">
        <w:rPr>
          <w:color w:val="auto"/>
          <w:lang w:val="en-GB"/>
        </w:rPr>
        <w:t xml:space="preserve"> percent</w:t>
      </w:r>
      <w:r w:rsidRPr="009949B9">
        <w:rPr>
          <w:rStyle w:val="FootnoteReference"/>
          <w:color w:val="auto"/>
          <w:lang w:val="en-GB"/>
        </w:rPr>
        <w:footnoteReference w:id="1"/>
      </w:r>
      <w:r w:rsidRPr="009949B9">
        <w:rPr>
          <w:color w:val="auto"/>
          <w:lang w:val="en-GB"/>
        </w:rPr>
        <w:t xml:space="preserve">) participants provided HbA1c at </w:t>
      </w:r>
      <w:r w:rsidR="00436363" w:rsidRPr="009949B9">
        <w:rPr>
          <w:color w:val="auto"/>
          <w:lang w:val="en-GB"/>
        </w:rPr>
        <w:t>six</w:t>
      </w:r>
      <w:r w:rsidRPr="009949B9">
        <w:rPr>
          <w:color w:val="auto"/>
          <w:lang w:val="en-GB"/>
        </w:rPr>
        <w:t>-month follow-up. The majority of participants (66</w:t>
      </w:r>
      <w:r w:rsidR="00973820">
        <w:rPr>
          <w:color w:val="auto"/>
          <w:lang w:val="en-GB"/>
        </w:rPr>
        <w:t xml:space="preserve"> percent</w:t>
      </w:r>
      <w:r w:rsidRPr="009949B9">
        <w:rPr>
          <w:color w:val="auto"/>
          <w:lang w:val="en-GB"/>
        </w:rPr>
        <w:t>, N=117) showed a decrease from their baseline HbA1c measurement. Participants from Rotorua were less likely to show a reduction (49</w:t>
      </w:r>
      <w:r w:rsidR="00973820">
        <w:rPr>
          <w:color w:val="auto"/>
          <w:lang w:val="en-GB"/>
        </w:rPr>
        <w:t xml:space="preserve"> percent</w:t>
      </w:r>
      <w:r w:rsidRPr="009949B9">
        <w:rPr>
          <w:color w:val="auto"/>
          <w:lang w:val="en-GB"/>
        </w:rPr>
        <w:t>) than those from Western (70</w:t>
      </w:r>
      <w:r w:rsidR="00973820">
        <w:rPr>
          <w:color w:val="auto"/>
          <w:lang w:val="en-GB"/>
        </w:rPr>
        <w:t xml:space="preserve"> percent</w:t>
      </w:r>
      <w:r w:rsidRPr="009949B9">
        <w:rPr>
          <w:color w:val="auto"/>
          <w:lang w:val="en-GB"/>
        </w:rPr>
        <w:t>) and Eastern (75</w:t>
      </w:r>
      <w:r w:rsidR="00973820">
        <w:rPr>
          <w:color w:val="auto"/>
          <w:lang w:val="en-GB"/>
        </w:rPr>
        <w:t xml:space="preserve"> percent</w:t>
      </w:r>
      <w:r w:rsidRPr="009949B9">
        <w:rPr>
          <w:color w:val="auto"/>
          <w:lang w:val="en-GB"/>
        </w:rPr>
        <w:t>) Bay of P</w:t>
      </w:r>
      <w:r w:rsidR="00973820">
        <w:rPr>
          <w:color w:val="auto"/>
          <w:lang w:val="en-GB"/>
        </w:rPr>
        <w:t>lenty r</w:t>
      </w:r>
      <w:r w:rsidRPr="009949B9">
        <w:rPr>
          <w:color w:val="auto"/>
          <w:lang w:val="en-GB"/>
        </w:rPr>
        <w:t>egions.</w:t>
      </w:r>
    </w:p>
    <w:p w:rsidR="00905EEF" w:rsidRPr="009949B9" w:rsidRDefault="003F7DC5" w:rsidP="00FF5AC1">
      <w:pPr>
        <w:pStyle w:val="NoSpacing"/>
        <w:rPr>
          <w:color w:val="auto"/>
          <w:lang w:val="en-GB"/>
        </w:rPr>
      </w:pPr>
      <w:r w:rsidRPr="009949B9">
        <w:rPr>
          <w:color w:val="auto"/>
          <w:lang w:val="en-GB"/>
        </w:rPr>
        <w:t>Of those enrolled</w:t>
      </w:r>
      <w:r w:rsidR="00436363" w:rsidRPr="009949B9">
        <w:rPr>
          <w:color w:val="auto"/>
          <w:lang w:val="en-GB"/>
        </w:rPr>
        <w:t>,</w:t>
      </w:r>
      <w:r w:rsidRPr="009949B9">
        <w:rPr>
          <w:color w:val="auto"/>
          <w:lang w:val="en-GB"/>
        </w:rPr>
        <w:t xml:space="preserve"> </w:t>
      </w:r>
      <w:r w:rsidR="00905EEF" w:rsidRPr="009949B9">
        <w:rPr>
          <w:color w:val="auto"/>
          <w:lang w:val="en-GB"/>
        </w:rPr>
        <w:t xml:space="preserve">130 </w:t>
      </w:r>
      <w:r w:rsidR="00973820">
        <w:rPr>
          <w:color w:val="auto"/>
          <w:lang w:val="en-GB"/>
        </w:rPr>
        <w:t xml:space="preserve">participants </w:t>
      </w:r>
      <w:r w:rsidR="00905EEF" w:rsidRPr="009949B9">
        <w:rPr>
          <w:color w:val="auto"/>
          <w:lang w:val="en-GB"/>
        </w:rPr>
        <w:t>(75</w:t>
      </w:r>
      <w:r w:rsidR="00973820">
        <w:rPr>
          <w:color w:val="auto"/>
          <w:lang w:val="en-GB"/>
        </w:rPr>
        <w:t xml:space="preserve"> percent</w:t>
      </w:r>
      <w:r w:rsidR="00905EEF" w:rsidRPr="009949B9">
        <w:rPr>
          <w:color w:val="auto"/>
          <w:lang w:val="en-GB"/>
        </w:rPr>
        <w:t xml:space="preserve">) provided a weight measurement at </w:t>
      </w:r>
      <w:r w:rsidR="00436363" w:rsidRPr="009949B9">
        <w:rPr>
          <w:color w:val="auto"/>
          <w:lang w:val="en-GB"/>
        </w:rPr>
        <w:t>six</w:t>
      </w:r>
      <w:r w:rsidR="00905EEF" w:rsidRPr="009949B9">
        <w:rPr>
          <w:color w:val="auto"/>
          <w:lang w:val="en-GB"/>
        </w:rPr>
        <w:t xml:space="preserve">-month follow-up, with 51 </w:t>
      </w:r>
      <w:r w:rsidR="00436363" w:rsidRPr="009949B9">
        <w:rPr>
          <w:color w:val="auto"/>
          <w:lang w:val="en-GB"/>
        </w:rPr>
        <w:t xml:space="preserve">participants </w:t>
      </w:r>
      <w:r w:rsidR="00905EEF" w:rsidRPr="009949B9">
        <w:rPr>
          <w:color w:val="auto"/>
          <w:lang w:val="en-GB"/>
        </w:rPr>
        <w:t>(39</w:t>
      </w:r>
      <w:r w:rsidR="00973820">
        <w:rPr>
          <w:color w:val="auto"/>
          <w:lang w:val="en-GB"/>
        </w:rPr>
        <w:t xml:space="preserve"> percent</w:t>
      </w:r>
      <w:r w:rsidR="00905EEF" w:rsidRPr="009949B9">
        <w:rPr>
          <w:color w:val="auto"/>
          <w:lang w:val="en-GB"/>
        </w:rPr>
        <w:t xml:space="preserve">) losing at least 1.6kg of their baseline body weight. </w:t>
      </w:r>
    </w:p>
    <w:p w:rsidR="00905EEF" w:rsidRPr="009949B9" w:rsidRDefault="003F7DC5" w:rsidP="00FF5AC1">
      <w:pPr>
        <w:pStyle w:val="NoSpacing"/>
        <w:rPr>
          <w:color w:val="auto"/>
          <w:lang w:val="en-GB"/>
        </w:rPr>
      </w:pPr>
      <w:r w:rsidRPr="00973820">
        <w:rPr>
          <w:color w:val="auto"/>
          <w:lang w:val="en-GB"/>
        </w:rPr>
        <w:t>Ninety-two</w:t>
      </w:r>
      <w:r w:rsidR="00905EEF" w:rsidRPr="00973820">
        <w:rPr>
          <w:color w:val="auto"/>
          <w:lang w:val="en-GB"/>
        </w:rPr>
        <w:t xml:space="preserve"> </w:t>
      </w:r>
      <w:r w:rsidR="00973820" w:rsidRPr="00973820">
        <w:rPr>
          <w:color w:val="auto"/>
          <w:lang w:val="en-GB"/>
        </w:rPr>
        <w:t xml:space="preserve">participants </w:t>
      </w:r>
      <w:r w:rsidR="00905EEF" w:rsidRPr="00973820">
        <w:rPr>
          <w:color w:val="auto"/>
          <w:lang w:val="en-GB"/>
        </w:rPr>
        <w:t>(53</w:t>
      </w:r>
      <w:r w:rsidR="00973820" w:rsidRPr="00973820">
        <w:rPr>
          <w:color w:val="auto"/>
          <w:lang w:val="en-GB"/>
        </w:rPr>
        <w:t xml:space="preserve"> percent</w:t>
      </w:r>
      <w:r w:rsidR="00905EEF" w:rsidRPr="00973820">
        <w:rPr>
          <w:color w:val="auto"/>
          <w:lang w:val="en-GB"/>
        </w:rPr>
        <w:t xml:space="preserve">) </w:t>
      </w:r>
      <w:r w:rsidR="0034188F">
        <w:rPr>
          <w:color w:val="auto"/>
          <w:lang w:val="en-GB"/>
        </w:rPr>
        <w:t xml:space="preserve">provided blood pressure data. Of these, </w:t>
      </w:r>
      <w:r w:rsidR="00905EEF" w:rsidRPr="00973820">
        <w:rPr>
          <w:color w:val="auto"/>
          <w:lang w:val="en-GB"/>
        </w:rPr>
        <w:t>17</w:t>
      </w:r>
      <w:r w:rsidR="0034188F">
        <w:rPr>
          <w:color w:val="auto"/>
          <w:lang w:val="en-GB"/>
        </w:rPr>
        <w:t xml:space="preserve"> </w:t>
      </w:r>
      <w:r w:rsidR="00905EEF" w:rsidRPr="00973820">
        <w:rPr>
          <w:color w:val="auto"/>
          <w:lang w:val="en-GB"/>
        </w:rPr>
        <w:t>(18</w:t>
      </w:r>
      <w:r w:rsidR="00973820" w:rsidRPr="00973820">
        <w:rPr>
          <w:color w:val="auto"/>
          <w:lang w:val="en-GB"/>
        </w:rPr>
        <w:t xml:space="preserve"> percent</w:t>
      </w:r>
      <w:r w:rsidR="00905EEF" w:rsidRPr="00973820">
        <w:rPr>
          <w:color w:val="auto"/>
          <w:lang w:val="en-GB"/>
        </w:rPr>
        <w:t>) and 15</w:t>
      </w:r>
      <w:r w:rsidR="0034188F">
        <w:rPr>
          <w:color w:val="auto"/>
          <w:lang w:val="en-GB"/>
        </w:rPr>
        <w:t xml:space="preserve"> participants </w:t>
      </w:r>
      <w:r w:rsidR="00905EEF" w:rsidRPr="00973820">
        <w:rPr>
          <w:color w:val="auto"/>
          <w:lang w:val="en-GB"/>
        </w:rPr>
        <w:t>(16</w:t>
      </w:r>
      <w:r w:rsidR="00973820" w:rsidRPr="00973820">
        <w:rPr>
          <w:color w:val="auto"/>
          <w:lang w:val="en-GB"/>
        </w:rPr>
        <w:t xml:space="preserve"> percent</w:t>
      </w:r>
      <w:r w:rsidR="00905EEF" w:rsidRPr="00973820">
        <w:rPr>
          <w:color w:val="auto"/>
          <w:lang w:val="en-GB"/>
        </w:rPr>
        <w:t>) decreased their systolic and diastolic blood pressure by at least 11mmHg.</w:t>
      </w:r>
    </w:p>
    <w:p w:rsidR="00905EEF" w:rsidRPr="009949B9" w:rsidRDefault="00905EEF" w:rsidP="00FF5AC1">
      <w:pPr>
        <w:pStyle w:val="NoSpacing"/>
        <w:rPr>
          <w:color w:val="auto"/>
          <w:lang w:val="en-GB"/>
        </w:rPr>
      </w:pPr>
      <w:r w:rsidRPr="009949B9">
        <w:rPr>
          <w:color w:val="auto"/>
          <w:lang w:val="en-GB"/>
        </w:rPr>
        <w:t>There were also i</w:t>
      </w:r>
      <w:r w:rsidR="00A77069" w:rsidRPr="009949B9">
        <w:rPr>
          <w:color w:val="auto"/>
          <w:lang w:val="en-GB"/>
        </w:rPr>
        <w:t>mprovements in lipid profiles</w:t>
      </w:r>
      <w:r w:rsidR="0034188F">
        <w:rPr>
          <w:color w:val="auto"/>
          <w:lang w:val="en-GB"/>
        </w:rPr>
        <w:t>. The following shows</w:t>
      </w:r>
      <w:r w:rsidR="00A77069" w:rsidRPr="009949B9">
        <w:rPr>
          <w:color w:val="auto"/>
          <w:lang w:val="en-GB"/>
        </w:rPr>
        <w:t xml:space="preserve"> </w:t>
      </w:r>
      <w:r w:rsidR="0034188F">
        <w:rPr>
          <w:color w:val="auto"/>
          <w:lang w:val="en-GB"/>
        </w:rPr>
        <w:t>the number and percentage of participants whose results shifted from the abnormal to normal ranges</w:t>
      </w:r>
      <w:r w:rsidRPr="009949B9">
        <w:rPr>
          <w:color w:val="auto"/>
          <w:lang w:val="en-GB"/>
        </w:rPr>
        <w:t>:</w:t>
      </w:r>
    </w:p>
    <w:p w:rsidR="00905EEF" w:rsidRPr="009949B9" w:rsidRDefault="00905EEF" w:rsidP="00C408F2">
      <w:pPr>
        <w:pStyle w:val="ListParagraph"/>
        <w:numPr>
          <w:ilvl w:val="0"/>
          <w:numId w:val="38"/>
        </w:numPr>
        <w:rPr>
          <w:color w:val="auto"/>
        </w:rPr>
      </w:pPr>
      <w:r w:rsidRPr="009949B9">
        <w:rPr>
          <w:color w:val="auto"/>
        </w:rPr>
        <w:t>Cholesterol: 17</w:t>
      </w:r>
      <w:r w:rsidR="00973820">
        <w:rPr>
          <w:color w:val="auto"/>
        </w:rPr>
        <w:t xml:space="preserve"> percent</w:t>
      </w:r>
      <w:r w:rsidR="0034188F">
        <w:rPr>
          <w:color w:val="auto"/>
        </w:rPr>
        <w:t xml:space="preserve"> (n</w:t>
      </w:r>
      <w:r w:rsidRPr="009949B9">
        <w:rPr>
          <w:color w:val="auto"/>
        </w:rPr>
        <w:t>=12/70)</w:t>
      </w:r>
    </w:p>
    <w:p w:rsidR="00905EEF" w:rsidRPr="009949B9" w:rsidRDefault="00905EEF" w:rsidP="00C408F2">
      <w:pPr>
        <w:pStyle w:val="ListParagraph"/>
        <w:numPr>
          <w:ilvl w:val="0"/>
          <w:numId w:val="38"/>
        </w:numPr>
        <w:rPr>
          <w:color w:val="auto"/>
        </w:rPr>
      </w:pPr>
      <w:r w:rsidRPr="009949B9">
        <w:rPr>
          <w:color w:val="auto"/>
        </w:rPr>
        <w:t>Triglycerides: 20</w:t>
      </w:r>
      <w:r w:rsidR="00973820">
        <w:rPr>
          <w:color w:val="auto"/>
        </w:rPr>
        <w:t xml:space="preserve"> percent</w:t>
      </w:r>
      <w:r w:rsidRPr="009949B9">
        <w:rPr>
          <w:color w:val="auto"/>
        </w:rPr>
        <w:t xml:space="preserve"> (</w:t>
      </w:r>
      <w:r w:rsidR="0034188F">
        <w:rPr>
          <w:color w:val="auto"/>
        </w:rPr>
        <w:t>n</w:t>
      </w:r>
      <w:r w:rsidRPr="009949B9">
        <w:rPr>
          <w:color w:val="auto"/>
        </w:rPr>
        <w:t>=14/70)</w:t>
      </w:r>
    </w:p>
    <w:p w:rsidR="00905EEF" w:rsidRPr="009949B9" w:rsidRDefault="00905EEF" w:rsidP="00C408F2">
      <w:pPr>
        <w:pStyle w:val="ListParagraph"/>
        <w:numPr>
          <w:ilvl w:val="0"/>
          <w:numId w:val="38"/>
        </w:numPr>
        <w:rPr>
          <w:color w:val="auto"/>
        </w:rPr>
      </w:pPr>
      <w:r w:rsidRPr="009949B9">
        <w:rPr>
          <w:color w:val="auto"/>
        </w:rPr>
        <w:t>HDL cholesterol: 6</w:t>
      </w:r>
      <w:r w:rsidR="00973820">
        <w:rPr>
          <w:color w:val="auto"/>
        </w:rPr>
        <w:t xml:space="preserve"> percent</w:t>
      </w:r>
      <w:r w:rsidRPr="009949B9">
        <w:rPr>
          <w:color w:val="auto"/>
        </w:rPr>
        <w:t xml:space="preserve"> (</w:t>
      </w:r>
      <w:r w:rsidR="0034188F">
        <w:rPr>
          <w:color w:val="auto"/>
        </w:rPr>
        <w:t>n</w:t>
      </w:r>
      <w:r w:rsidRPr="009949B9">
        <w:rPr>
          <w:color w:val="auto"/>
        </w:rPr>
        <w:t>=4/70)</w:t>
      </w:r>
    </w:p>
    <w:p w:rsidR="00905EEF" w:rsidRPr="009949B9" w:rsidRDefault="00905EEF" w:rsidP="00C408F2">
      <w:pPr>
        <w:pStyle w:val="ListParagraph"/>
        <w:numPr>
          <w:ilvl w:val="0"/>
          <w:numId w:val="38"/>
        </w:numPr>
        <w:rPr>
          <w:color w:val="auto"/>
        </w:rPr>
      </w:pPr>
      <w:r w:rsidRPr="009949B9">
        <w:rPr>
          <w:color w:val="auto"/>
        </w:rPr>
        <w:t>LDL cholesterol: 13</w:t>
      </w:r>
      <w:r w:rsidR="00973820">
        <w:rPr>
          <w:color w:val="auto"/>
        </w:rPr>
        <w:t xml:space="preserve"> percent</w:t>
      </w:r>
      <w:r w:rsidRPr="009949B9">
        <w:rPr>
          <w:color w:val="auto"/>
        </w:rPr>
        <w:t xml:space="preserve"> (</w:t>
      </w:r>
      <w:r w:rsidR="0034188F">
        <w:rPr>
          <w:color w:val="auto"/>
        </w:rPr>
        <w:t>n=</w:t>
      </w:r>
      <w:r w:rsidRPr="009949B9">
        <w:rPr>
          <w:color w:val="auto"/>
        </w:rPr>
        <w:t>8/60)</w:t>
      </w:r>
    </w:p>
    <w:p w:rsidR="00905EEF" w:rsidRPr="009949B9" w:rsidRDefault="00905EEF" w:rsidP="00FF5AC1">
      <w:pPr>
        <w:pStyle w:val="NoSpacing"/>
        <w:rPr>
          <w:color w:val="auto"/>
          <w:sz w:val="23"/>
          <w:szCs w:val="23"/>
          <w:lang w:val="en-GB"/>
        </w:rPr>
      </w:pPr>
      <w:r w:rsidRPr="009949B9">
        <w:rPr>
          <w:color w:val="auto"/>
          <w:lang w:val="en-GB"/>
        </w:rPr>
        <w:t xml:space="preserve">Only seven </w:t>
      </w:r>
      <w:r w:rsidR="00A97778">
        <w:rPr>
          <w:color w:val="auto"/>
          <w:lang w:val="en-GB"/>
        </w:rPr>
        <w:t>participants</w:t>
      </w:r>
      <w:r w:rsidRPr="009949B9">
        <w:rPr>
          <w:color w:val="auto"/>
          <w:lang w:val="en-GB"/>
        </w:rPr>
        <w:t xml:space="preserve"> provided HbA1c data at 12-month follow-up. The average values at enrolment, 6 and 12 months were 44</w:t>
      </w:r>
      <w:r w:rsidR="0034188F">
        <w:rPr>
          <w:color w:val="auto"/>
          <w:lang w:val="en-GB"/>
        </w:rPr>
        <w:t xml:space="preserve"> mmol/mol</w:t>
      </w:r>
      <w:r w:rsidRPr="009949B9">
        <w:rPr>
          <w:color w:val="auto"/>
          <w:lang w:val="en-GB"/>
        </w:rPr>
        <w:t>, 39</w:t>
      </w:r>
      <w:r w:rsidR="0034188F">
        <w:rPr>
          <w:color w:val="auto"/>
          <w:lang w:val="en-GB"/>
        </w:rPr>
        <w:t xml:space="preserve"> mmol/mol</w:t>
      </w:r>
      <w:r w:rsidRPr="009949B9">
        <w:rPr>
          <w:color w:val="auto"/>
          <w:lang w:val="en-GB"/>
        </w:rPr>
        <w:t>, and 40 mmol/mol</w:t>
      </w:r>
      <w:r w:rsidR="0034188F">
        <w:rPr>
          <w:color w:val="auto"/>
          <w:lang w:val="en-GB"/>
        </w:rPr>
        <w:t>, respectively</w:t>
      </w:r>
      <w:r w:rsidR="00242435" w:rsidRPr="009949B9">
        <w:rPr>
          <w:color w:val="auto"/>
          <w:lang w:val="en-GB"/>
        </w:rPr>
        <w:t>.</w:t>
      </w:r>
      <w:r w:rsidRPr="009949B9">
        <w:rPr>
          <w:color w:val="auto"/>
          <w:lang w:val="en-GB"/>
        </w:rPr>
        <w:t xml:space="preserve"> </w:t>
      </w:r>
      <w:r w:rsidR="00242435" w:rsidRPr="009949B9">
        <w:rPr>
          <w:color w:val="auto"/>
          <w:lang w:val="en-GB"/>
        </w:rPr>
        <w:t>T</w:t>
      </w:r>
      <w:r w:rsidRPr="009949B9">
        <w:rPr>
          <w:color w:val="auto"/>
          <w:lang w:val="en-GB"/>
        </w:rPr>
        <w:t xml:space="preserve">he very small number </w:t>
      </w:r>
      <w:r w:rsidR="0034188F">
        <w:rPr>
          <w:color w:val="auto"/>
          <w:lang w:val="en-GB"/>
        </w:rPr>
        <w:t>of participants who provided follow-up samples m</w:t>
      </w:r>
      <w:r w:rsidRPr="009949B9">
        <w:rPr>
          <w:color w:val="auto"/>
          <w:lang w:val="en-GB"/>
        </w:rPr>
        <w:t xml:space="preserve">akes </w:t>
      </w:r>
      <w:r w:rsidR="00BE2682">
        <w:rPr>
          <w:color w:val="auto"/>
          <w:lang w:val="en-GB"/>
        </w:rPr>
        <w:t>this</w:t>
      </w:r>
      <w:r w:rsidRPr="009949B9">
        <w:rPr>
          <w:color w:val="auto"/>
          <w:lang w:val="en-GB"/>
        </w:rPr>
        <w:t xml:space="preserve"> data difficult to interpret.</w:t>
      </w:r>
    </w:p>
    <w:p w:rsidR="00905EEF" w:rsidRPr="009949B9" w:rsidRDefault="00905EEF" w:rsidP="00905EEF">
      <w:pPr>
        <w:pStyle w:val="Heading4"/>
        <w:rPr>
          <w:color w:val="auto"/>
          <w:lang w:val="en-GB"/>
        </w:rPr>
      </w:pPr>
      <w:r w:rsidRPr="009949B9">
        <w:rPr>
          <w:color w:val="auto"/>
          <w:lang w:val="en-GB"/>
        </w:rPr>
        <w:t>Summary</w:t>
      </w:r>
    </w:p>
    <w:p w:rsidR="00905EEF" w:rsidRPr="009949B9" w:rsidRDefault="00905EEF" w:rsidP="00FF5AC1">
      <w:pPr>
        <w:pStyle w:val="NoSpacing"/>
        <w:rPr>
          <w:color w:val="auto"/>
          <w:lang w:val="en-GB"/>
        </w:rPr>
      </w:pPr>
      <w:r w:rsidRPr="009949B9">
        <w:rPr>
          <w:color w:val="auto"/>
          <w:lang w:val="en-GB"/>
        </w:rPr>
        <w:t>This project provided less intensive support than others (</w:t>
      </w:r>
      <w:r w:rsidR="0034188F">
        <w:rPr>
          <w:color w:val="auto"/>
          <w:lang w:val="en-GB"/>
        </w:rPr>
        <w:t>eg, the</w:t>
      </w:r>
      <w:r w:rsidRPr="009949B9">
        <w:rPr>
          <w:color w:val="auto"/>
          <w:lang w:val="en-GB"/>
        </w:rPr>
        <w:t xml:space="preserve"> Choose Change </w:t>
      </w:r>
      <w:r w:rsidR="0034188F">
        <w:rPr>
          <w:color w:val="auto"/>
          <w:lang w:val="en-GB"/>
        </w:rPr>
        <w:t xml:space="preserve">project </w:t>
      </w:r>
      <w:r w:rsidRPr="009949B9">
        <w:rPr>
          <w:color w:val="auto"/>
          <w:lang w:val="en-GB"/>
        </w:rPr>
        <w:t>had weekly support for 12 weeks), but produced broadly similar results. The proportion of participa</w:t>
      </w:r>
      <w:r w:rsidR="0034188F">
        <w:rPr>
          <w:color w:val="auto"/>
          <w:lang w:val="en-GB"/>
        </w:rPr>
        <w:t>nts who reduced their HbA1c at six</w:t>
      </w:r>
      <w:r w:rsidRPr="009949B9">
        <w:rPr>
          <w:color w:val="auto"/>
          <w:lang w:val="en-GB"/>
        </w:rPr>
        <w:t xml:space="preserve"> months was lower than the proportion observed in the Choose Change </w:t>
      </w:r>
      <w:r w:rsidR="0034188F">
        <w:rPr>
          <w:color w:val="auto"/>
          <w:lang w:val="en-GB"/>
        </w:rPr>
        <w:t>project</w:t>
      </w:r>
      <w:r w:rsidRPr="009949B9">
        <w:rPr>
          <w:color w:val="auto"/>
          <w:lang w:val="en-GB"/>
        </w:rPr>
        <w:t xml:space="preserve"> (66</w:t>
      </w:r>
      <w:r w:rsidR="00973820">
        <w:rPr>
          <w:color w:val="auto"/>
          <w:lang w:val="en-GB"/>
        </w:rPr>
        <w:t xml:space="preserve"> percent</w:t>
      </w:r>
      <w:r w:rsidRPr="009949B9">
        <w:rPr>
          <w:color w:val="auto"/>
          <w:lang w:val="en-GB"/>
        </w:rPr>
        <w:t xml:space="preserve"> vs. 80</w:t>
      </w:r>
      <w:r w:rsidR="00973820">
        <w:rPr>
          <w:color w:val="auto"/>
          <w:lang w:val="en-GB"/>
        </w:rPr>
        <w:t xml:space="preserve"> percent</w:t>
      </w:r>
      <w:r w:rsidRPr="009949B9">
        <w:rPr>
          <w:color w:val="auto"/>
          <w:lang w:val="en-GB"/>
        </w:rPr>
        <w:t>), but this may have been because of differences in populations.</w:t>
      </w:r>
    </w:p>
    <w:p w:rsidR="00905EEF" w:rsidRPr="000C4038" w:rsidRDefault="00905EEF" w:rsidP="00034C96">
      <w:pPr>
        <w:pStyle w:val="Heading3"/>
      </w:pPr>
      <w:bookmarkStart w:id="8" w:name="_Toc465944112"/>
      <w:r w:rsidRPr="000C4038">
        <w:t>Sport Waikato, Gisborne- Tairawhiti and Taranaki</w:t>
      </w:r>
      <w:bookmarkEnd w:id="8"/>
    </w:p>
    <w:p w:rsidR="00905EEF" w:rsidRPr="009949B9" w:rsidRDefault="00883C5C" w:rsidP="00FF5AC1">
      <w:pPr>
        <w:pStyle w:val="NoSpacing"/>
        <w:rPr>
          <w:color w:val="auto"/>
          <w:lang w:val="en-GB"/>
        </w:rPr>
      </w:pPr>
      <w:r w:rsidRPr="009949B9">
        <w:rPr>
          <w:color w:val="auto"/>
          <w:lang w:val="en-GB"/>
        </w:rPr>
        <w:t>Energized Practices was</w:t>
      </w:r>
      <w:r w:rsidR="00905EEF" w:rsidRPr="009949B9">
        <w:rPr>
          <w:color w:val="auto"/>
          <w:lang w:val="en-GB"/>
        </w:rPr>
        <w:t xml:space="preserve"> a collaboration between Waikato, Taranaki and Gisborne/Tairawhiti </w:t>
      </w:r>
      <w:r w:rsidR="000C4038">
        <w:rPr>
          <w:color w:val="auto"/>
          <w:lang w:val="en-GB"/>
        </w:rPr>
        <w:t xml:space="preserve">regions, district health boards, </w:t>
      </w:r>
      <w:r w:rsidR="00905EEF" w:rsidRPr="009949B9">
        <w:rPr>
          <w:color w:val="auto"/>
          <w:lang w:val="en-GB"/>
        </w:rPr>
        <w:t>regional sports trusts, and Midlands Health Network (MHN). The project focus</w:t>
      </w:r>
      <w:r w:rsidR="000C4038">
        <w:rPr>
          <w:color w:val="auto"/>
          <w:lang w:val="en-GB"/>
        </w:rPr>
        <w:t>sed</w:t>
      </w:r>
      <w:r w:rsidR="00905EEF" w:rsidRPr="009949B9">
        <w:rPr>
          <w:color w:val="auto"/>
          <w:lang w:val="en-GB"/>
        </w:rPr>
        <w:t xml:space="preserve"> on the development of resources, systems and processes in these primary health practices to improv</w:t>
      </w:r>
      <w:r w:rsidR="000C4038">
        <w:rPr>
          <w:color w:val="auto"/>
          <w:lang w:val="en-GB"/>
        </w:rPr>
        <w:t>e</w:t>
      </w:r>
      <w:r w:rsidR="00905EEF" w:rsidRPr="009949B9">
        <w:rPr>
          <w:color w:val="auto"/>
          <w:lang w:val="en-GB"/>
        </w:rPr>
        <w:t xml:space="preserve"> healthy eating and healthy lifestyles</w:t>
      </w:r>
      <w:r w:rsidR="000C4038">
        <w:rPr>
          <w:color w:val="auto"/>
          <w:lang w:val="en-GB"/>
        </w:rPr>
        <w:t xml:space="preserve"> for patients</w:t>
      </w:r>
      <w:r w:rsidR="00905EEF" w:rsidRPr="009949B9">
        <w:rPr>
          <w:color w:val="auto"/>
          <w:lang w:val="en-GB"/>
        </w:rPr>
        <w:t>.</w:t>
      </w:r>
    </w:p>
    <w:p w:rsidR="00905EEF" w:rsidRPr="009949B9" w:rsidRDefault="00905EEF" w:rsidP="00FF5AC1">
      <w:pPr>
        <w:pStyle w:val="NoSpacing"/>
        <w:rPr>
          <w:rFonts w:cs="Arial"/>
          <w:color w:val="auto"/>
          <w:lang w:val="en-GB"/>
        </w:rPr>
      </w:pPr>
      <w:r w:rsidRPr="009949B9">
        <w:rPr>
          <w:color w:val="auto"/>
          <w:lang w:val="en-GB"/>
        </w:rPr>
        <w:t>The aim of the programme was to reduce the number of people wi</w:t>
      </w:r>
      <w:r w:rsidR="000C4038">
        <w:rPr>
          <w:color w:val="auto"/>
          <w:lang w:val="en-GB"/>
        </w:rPr>
        <w:t>th pre-diabetes progressing to t</w:t>
      </w:r>
      <w:r w:rsidRPr="009949B9">
        <w:rPr>
          <w:color w:val="auto"/>
          <w:lang w:val="en-GB"/>
        </w:rPr>
        <w:t>ype 2 diabetes</w:t>
      </w:r>
      <w:r w:rsidR="00883C5C" w:rsidRPr="009949B9">
        <w:rPr>
          <w:color w:val="auto"/>
          <w:lang w:val="en-GB"/>
        </w:rPr>
        <w:t>. This was to be</w:t>
      </w:r>
      <w:r w:rsidRPr="009949B9">
        <w:rPr>
          <w:color w:val="auto"/>
          <w:lang w:val="en-GB"/>
        </w:rPr>
        <w:t xml:space="preserve"> achieved by increasing the number of people receiving consistently high quality GRx support provided by GPs and PNs.</w:t>
      </w:r>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FF5AC1">
      <w:pPr>
        <w:pStyle w:val="NoSpacing"/>
        <w:rPr>
          <w:color w:val="auto"/>
          <w:lang w:val="en-GB"/>
        </w:rPr>
      </w:pPr>
      <w:r w:rsidRPr="009949B9">
        <w:rPr>
          <w:color w:val="auto"/>
          <w:lang w:val="en-GB"/>
        </w:rPr>
        <w:t xml:space="preserve">The programme </w:t>
      </w:r>
      <w:r w:rsidR="000C4038">
        <w:rPr>
          <w:color w:val="auto"/>
          <w:lang w:val="en-GB"/>
        </w:rPr>
        <w:t>sought</w:t>
      </w:r>
      <w:r w:rsidRPr="009949B9">
        <w:rPr>
          <w:color w:val="auto"/>
          <w:lang w:val="en-GB"/>
        </w:rPr>
        <w:t xml:space="preserve"> to offer GPs</w:t>
      </w:r>
      <w:r w:rsidR="000C4038">
        <w:rPr>
          <w:color w:val="auto"/>
          <w:lang w:val="en-GB"/>
        </w:rPr>
        <w:t xml:space="preserve"> and</w:t>
      </w:r>
      <w:r w:rsidR="00A97778">
        <w:rPr>
          <w:color w:val="auto"/>
          <w:lang w:val="en-GB"/>
        </w:rPr>
        <w:t xml:space="preserve"> </w:t>
      </w:r>
      <w:r w:rsidRPr="009949B9">
        <w:rPr>
          <w:color w:val="auto"/>
          <w:lang w:val="en-GB"/>
        </w:rPr>
        <w:t>PNs information, support, training, advice, resources and other activities to assist them in providing healthy lifestyle advice to patients (Lite GRx). In addition</w:t>
      </w:r>
      <w:r w:rsidR="000C4038">
        <w:rPr>
          <w:color w:val="auto"/>
          <w:lang w:val="en-GB"/>
        </w:rPr>
        <w:t>,</w:t>
      </w:r>
      <w:r w:rsidRPr="009949B9">
        <w:rPr>
          <w:color w:val="auto"/>
          <w:lang w:val="en-GB"/>
        </w:rPr>
        <w:t xml:space="preserve"> each practice established its own ‘</w:t>
      </w:r>
      <w:r w:rsidR="000C4038">
        <w:rPr>
          <w:color w:val="auto"/>
          <w:lang w:val="en-GB"/>
        </w:rPr>
        <w:t>l</w:t>
      </w:r>
      <w:r w:rsidRPr="009949B9">
        <w:rPr>
          <w:color w:val="auto"/>
          <w:lang w:val="en-GB"/>
        </w:rPr>
        <w:t xml:space="preserve">ifestyle </w:t>
      </w:r>
      <w:r w:rsidR="000C4038">
        <w:rPr>
          <w:color w:val="auto"/>
          <w:lang w:val="en-GB"/>
        </w:rPr>
        <w:t>c</w:t>
      </w:r>
      <w:r w:rsidRPr="009949B9">
        <w:rPr>
          <w:color w:val="auto"/>
          <w:lang w:val="en-GB"/>
        </w:rPr>
        <w:t>hampion’ (a member of the primary care team who was particularly motivated about the initiative) to help drive the implementation and sustainability.</w:t>
      </w:r>
      <w:r w:rsidR="000C4038">
        <w:rPr>
          <w:color w:val="auto"/>
          <w:lang w:val="en-GB"/>
        </w:rPr>
        <w:t xml:space="preserve"> </w:t>
      </w:r>
      <w:r w:rsidRPr="009949B9">
        <w:rPr>
          <w:color w:val="auto"/>
          <w:lang w:val="en-GB"/>
        </w:rPr>
        <w:t xml:space="preserve">‘Energizers’ were </w:t>
      </w:r>
      <w:r w:rsidR="000C4038">
        <w:rPr>
          <w:color w:val="auto"/>
          <w:lang w:val="en-GB"/>
        </w:rPr>
        <w:t xml:space="preserve">also </w:t>
      </w:r>
      <w:r w:rsidRPr="009949B9">
        <w:rPr>
          <w:color w:val="auto"/>
          <w:lang w:val="en-GB"/>
        </w:rPr>
        <w:t>employed to help drive change within practices</w:t>
      </w:r>
      <w:r w:rsidR="000C4038">
        <w:rPr>
          <w:color w:val="auto"/>
          <w:lang w:val="en-GB"/>
        </w:rPr>
        <w:t xml:space="preserve">, and </w:t>
      </w:r>
      <w:r w:rsidRPr="009949B9">
        <w:rPr>
          <w:color w:val="auto"/>
          <w:lang w:val="en-GB"/>
        </w:rPr>
        <w:t>‘</w:t>
      </w:r>
      <w:r w:rsidR="000C4038">
        <w:rPr>
          <w:color w:val="auto"/>
          <w:lang w:val="en-GB"/>
        </w:rPr>
        <w:t>engagers’ worked alongside e</w:t>
      </w:r>
      <w:r w:rsidRPr="009949B9">
        <w:rPr>
          <w:color w:val="auto"/>
          <w:lang w:val="en-GB"/>
        </w:rPr>
        <w:t>nergizers to pro</w:t>
      </w:r>
      <w:r w:rsidR="000C4038">
        <w:rPr>
          <w:color w:val="auto"/>
          <w:lang w:val="en-GB"/>
        </w:rPr>
        <w:t>mote the project and create buy-</w:t>
      </w:r>
      <w:r w:rsidRPr="009949B9">
        <w:rPr>
          <w:color w:val="auto"/>
          <w:lang w:val="en-GB"/>
        </w:rPr>
        <w:t>in from practices.</w:t>
      </w:r>
    </w:p>
    <w:p w:rsidR="00905EEF" w:rsidRPr="009949B9" w:rsidRDefault="00905EEF" w:rsidP="00905EEF">
      <w:pPr>
        <w:pStyle w:val="Heading4"/>
        <w:rPr>
          <w:color w:val="auto"/>
          <w:lang w:val="en-GB"/>
        </w:rPr>
      </w:pPr>
      <w:r w:rsidRPr="009949B9">
        <w:rPr>
          <w:color w:val="auto"/>
          <w:lang w:val="en-GB"/>
        </w:rPr>
        <w:t>Participants</w:t>
      </w:r>
    </w:p>
    <w:p w:rsidR="00905EEF" w:rsidRPr="009949B9" w:rsidRDefault="00905EEF" w:rsidP="00FF5AC1">
      <w:pPr>
        <w:pStyle w:val="NoSpacing"/>
        <w:rPr>
          <w:color w:val="auto"/>
          <w:lang w:val="en-GB"/>
        </w:rPr>
      </w:pPr>
      <w:r w:rsidRPr="009949B9">
        <w:rPr>
          <w:color w:val="auto"/>
          <w:lang w:val="en-GB"/>
        </w:rPr>
        <w:t>A total of 493 patients with pre-diabetes or</w:t>
      </w:r>
      <w:r w:rsidR="000C4038">
        <w:rPr>
          <w:color w:val="auto"/>
          <w:lang w:val="en-GB"/>
        </w:rPr>
        <w:t xml:space="preserve"> type 2</w:t>
      </w:r>
      <w:r w:rsidRPr="009949B9">
        <w:rPr>
          <w:color w:val="auto"/>
          <w:lang w:val="en-GB"/>
        </w:rPr>
        <w:t xml:space="preserve"> diabetes received lite GRx</w:t>
      </w:r>
      <w:r w:rsidR="00AA5594" w:rsidRPr="009949B9">
        <w:rPr>
          <w:color w:val="auto"/>
          <w:lang w:val="en-GB"/>
        </w:rPr>
        <w:t xml:space="preserve"> (it is not clear how many declined the offer of support)</w:t>
      </w:r>
      <w:r w:rsidRPr="009949B9">
        <w:rPr>
          <w:color w:val="auto"/>
          <w:lang w:val="en-GB"/>
        </w:rPr>
        <w:t>. Of these, 59</w:t>
      </w:r>
      <w:r w:rsidR="00973820">
        <w:rPr>
          <w:color w:val="auto"/>
          <w:lang w:val="en-GB"/>
        </w:rPr>
        <w:t xml:space="preserve"> percent</w:t>
      </w:r>
      <w:r w:rsidRPr="009949B9">
        <w:rPr>
          <w:color w:val="auto"/>
          <w:lang w:val="en-GB"/>
        </w:rPr>
        <w:t xml:space="preserve"> were female, 70</w:t>
      </w:r>
      <w:r w:rsidR="00973820">
        <w:rPr>
          <w:color w:val="auto"/>
          <w:lang w:val="en-GB"/>
        </w:rPr>
        <w:t xml:space="preserve"> percent</w:t>
      </w:r>
      <w:r w:rsidRPr="009949B9">
        <w:rPr>
          <w:color w:val="auto"/>
          <w:lang w:val="en-GB"/>
        </w:rPr>
        <w:t xml:space="preserve"> aged 50+</w:t>
      </w:r>
      <w:r w:rsidR="000C4038">
        <w:rPr>
          <w:color w:val="auto"/>
          <w:lang w:val="en-GB"/>
        </w:rPr>
        <w:t xml:space="preserve"> years</w:t>
      </w:r>
      <w:r w:rsidRPr="009949B9">
        <w:rPr>
          <w:color w:val="auto"/>
          <w:lang w:val="en-GB"/>
        </w:rPr>
        <w:t>, 60</w:t>
      </w:r>
      <w:r w:rsidR="00973820">
        <w:rPr>
          <w:color w:val="auto"/>
          <w:lang w:val="en-GB"/>
        </w:rPr>
        <w:t xml:space="preserve"> percent</w:t>
      </w:r>
      <w:r w:rsidRPr="009949B9">
        <w:rPr>
          <w:color w:val="auto"/>
          <w:lang w:val="en-GB"/>
        </w:rPr>
        <w:t xml:space="preserve"> NZ European, 29</w:t>
      </w:r>
      <w:r w:rsidR="00973820">
        <w:rPr>
          <w:color w:val="auto"/>
          <w:lang w:val="en-GB"/>
        </w:rPr>
        <w:t xml:space="preserve"> percent</w:t>
      </w:r>
      <w:r w:rsidRPr="009949B9">
        <w:rPr>
          <w:color w:val="auto"/>
          <w:lang w:val="en-GB"/>
        </w:rPr>
        <w:t xml:space="preserve"> Māori, and 2</w:t>
      </w:r>
      <w:r w:rsidR="00973820">
        <w:rPr>
          <w:color w:val="auto"/>
          <w:lang w:val="en-GB"/>
        </w:rPr>
        <w:t xml:space="preserve"> percent</w:t>
      </w:r>
      <w:r w:rsidRPr="009949B9">
        <w:rPr>
          <w:color w:val="auto"/>
          <w:lang w:val="en-GB"/>
        </w:rPr>
        <w:t xml:space="preserve"> Pacific. The majority (59</w:t>
      </w:r>
      <w:r w:rsidR="00973820">
        <w:rPr>
          <w:color w:val="auto"/>
          <w:lang w:val="en-GB"/>
        </w:rPr>
        <w:t xml:space="preserve"> percent</w:t>
      </w:r>
      <w:r w:rsidRPr="009949B9">
        <w:rPr>
          <w:color w:val="auto"/>
          <w:lang w:val="en-GB"/>
        </w:rPr>
        <w:t xml:space="preserve">) were diagnosed with </w:t>
      </w:r>
      <w:r w:rsidR="000C4038">
        <w:rPr>
          <w:color w:val="auto"/>
          <w:lang w:val="en-GB"/>
        </w:rPr>
        <w:t>t</w:t>
      </w:r>
      <w:r w:rsidRPr="009949B9">
        <w:rPr>
          <w:color w:val="auto"/>
          <w:lang w:val="en-GB"/>
        </w:rPr>
        <w:t>ype 2 diabetes and 41</w:t>
      </w:r>
      <w:r w:rsidR="00973820">
        <w:rPr>
          <w:color w:val="auto"/>
          <w:lang w:val="en-GB"/>
        </w:rPr>
        <w:t xml:space="preserve"> percent</w:t>
      </w:r>
      <w:r w:rsidRPr="009949B9">
        <w:rPr>
          <w:color w:val="auto"/>
          <w:lang w:val="en-GB"/>
        </w:rPr>
        <w:t xml:space="preserve"> had pre-diabetes.</w:t>
      </w:r>
    </w:p>
    <w:p w:rsidR="00905EEF" w:rsidRPr="009949B9" w:rsidRDefault="005D281D" w:rsidP="00FF5AC1">
      <w:pPr>
        <w:pStyle w:val="NoSpacing"/>
        <w:rPr>
          <w:color w:val="auto"/>
          <w:lang w:val="en-GB"/>
        </w:rPr>
      </w:pPr>
      <w:r w:rsidRPr="009949B9">
        <w:rPr>
          <w:color w:val="auto"/>
          <w:lang w:val="en-GB"/>
        </w:rPr>
        <w:t>The total cost of the programme (excluding the evaluation) was $</w:t>
      </w:r>
      <w:r w:rsidR="00DA02CD" w:rsidRPr="009949B9">
        <w:rPr>
          <w:color w:val="auto"/>
          <w:lang w:val="en-GB"/>
        </w:rPr>
        <w:t>430,000</w:t>
      </w:r>
      <w:r w:rsidRPr="009949B9">
        <w:rPr>
          <w:color w:val="auto"/>
          <w:lang w:val="en-GB"/>
        </w:rPr>
        <w:t>, giving a cost pe</w:t>
      </w:r>
      <w:r w:rsidR="00DA02CD" w:rsidRPr="009949B9">
        <w:rPr>
          <w:color w:val="auto"/>
          <w:lang w:val="en-GB"/>
        </w:rPr>
        <w:t>r enrolled participant of $872</w:t>
      </w:r>
      <w:r w:rsidRPr="009949B9">
        <w:rPr>
          <w:color w:val="auto"/>
          <w:lang w:val="en-GB"/>
        </w:rPr>
        <w:t>.</w:t>
      </w:r>
    </w:p>
    <w:p w:rsidR="00905EEF" w:rsidRPr="009949B9" w:rsidRDefault="00905EEF" w:rsidP="00905EEF">
      <w:pPr>
        <w:pStyle w:val="Heading4"/>
        <w:rPr>
          <w:color w:val="auto"/>
          <w:lang w:val="en-GB"/>
        </w:rPr>
      </w:pPr>
      <w:r w:rsidRPr="009949B9">
        <w:rPr>
          <w:color w:val="auto"/>
          <w:lang w:val="en-GB"/>
        </w:rPr>
        <w:t>Outcomes</w:t>
      </w:r>
    </w:p>
    <w:p w:rsidR="00905EEF" w:rsidRPr="009949B9" w:rsidRDefault="00905EEF" w:rsidP="00FF5AC1">
      <w:pPr>
        <w:pStyle w:val="NoSpacing"/>
        <w:rPr>
          <w:color w:val="auto"/>
          <w:lang w:val="en-GB"/>
        </w:rPr>
      </w:pPr>
      <w:r w:rsidRPr="009949B9">
        <w:rPr>
          <w:color w:val="auto"/>
          <w:lang w:val="en-GB"/>
        </w:rPr>
        <w:t>The target was to enrol 37 practices into the programme – the project team enrolled 36. The project increased awareness of the importance of healthy lifestyles and there was good engagement from practice staff.</w:t>
      </w:r>
    </w:p>
    <w:p w:rsidR="00905EEF" w:rsidRPr="009949B9" w:rsidRDefault="00905EEF" w:rsidP="00FF5AC1">
      <w:pPr>
        <w:pStyle w:val="NoSpacing"/>
        <w:rPr>
          <w:color w:val="auto"/>
          <w:lang w:val="en-GB"/>
        </w:rPr>
      </w:pPr>
      <w:r w:rsidRPr="009949B9">
        <w:rPr>
          <w:color w:val="auto"/>
          <w:lang w:val="en-GB"/>
        </w:rPr>
        <w:t>The project resulted in an increase in referrals to the standard GRx programme. Overall, 73</w:t>
      </w:r>
      <w:r w:rsidR="00973820">
        <w:rPr>
          <w:color w:val="auto"/>
          <w:lang w:val="en-GB"/>
        </w:rPr>
        <w:t xml:space="preserve"> percent</w:t>
      </w:r>
      <w:r w:rsidRPr="009949B9">
        <w:rPr>
          <w:color w:val="auto"/>
          <w:lang w:val="en-GB"/>
        </w:rPr>
        <w:t xml:space="preserve"> of practices increased the number of GRx referrals</w:t>
      </w:r>
      <w:r w:rsidR="000C4038">
        <w:rPr>
          <w:color w:val="auto"/>
          <w:lang w:val="en-GB"/>
        </w:rPr>
        <w:t>,</w:t>
      </w:r>
      <w:r w:rsidRPr="009949B9">
        <w:rPr>
          <w:color w:val="auto"/>
          <w:lang w:val="en-GB"/>
        </w:rPr>
        <w:t xml:space="preserve"> and among the 24 fully engaged practices</w:t>
      </w:r>
      <w:r w:rsidR="000C4038">
        <w:rPr>
          <w:color w:val="auto"/>
          <w:lang w:val="en-GB"/>
        </w:rPr>
        <w:t>,</w:t>
      </w:r>
      <w:r w:rsidRPr="009949B9">
        <w:rPr>
          <w:color w:val="auto"/>
          <w:lang w:val="en-GB"/>
        </w:rPr>
        <w:t xml:space="preserve"> there was a mean increase of 33 referrals to standard GRx, compared with baseline.</w:t>
      </w:r>
    </w:p>
    <w:p w:rsidR="00905EEF" w:rsidRPr="009949B9" w:rsidRDefault="00905EEF" w:rsidP="00FF5AC1">
      <w:pPr>
        <w:pStyle w:val="NoSpacing"/>
        <w:rPr>
          <w:color w:val="auto"/>
          <w:lang w:val="en-GB"/>
        </w:rPr>
      </w:pPr>
      <w:r w:rsidRPr="009949B9">
        <w:rPr>
          <w:color w:val="auto"/>
          <w:lang w:val="en-GB"/>
        </w:rPr>
        <w:t xml:space="preserve">The project </w:t>
      </w:r>
      <w:r w:rsidR="000C4038">
        <w:rPr>
          <w:color w:val="auto"/>
          <w:lang w:val="en-GB"/>
        </w:rPr>
        <w:t>did not measure</w:t>
      </w:r>
      <w:r w:rsidRPr="009949B9">
        <w:rPr>
          <w:color w:val="auto"/>
          <w:lang w:val="en-GB"/>
        </w:rPr>
        <w:t xml:space="preserve"> the number of people with pre-diabetes </w:t>
      </w:r>
      <w:r w:rsidR="000C4038">
        <w:rPr>
          <w:color w:val="auto"/>
          <w:lang w:val="en-GB"/>
        </w:rPr>
        <w:t xml:space="preserve">who </w:t>
      </w:r>
      <w:r w:rsidRPr="009949B9">
        <w:rPr>
          <w:color w:val="auto"/>
          <w:lang w:val="en-GB"/>
        </w:rPr>
        <w:t>progress</w:t>
      </w:r>
      <w:r w:rsidR="000C4038">
        <w:rPr>
          <w:color w:val="auto"/>
          <w:lang w:val="en-GB"/>
        </w:rPr>
        <w:t>ed</w:t>
      </w:r>
      <w:r w:rsidRPr="009949B9">
        <w:rPr>
          <w:color w:val="auto"/>
          <w:lang w:val="en-GB"/>
        </w:rPr>
        <w:t xml:space="preserve"> to </w:t>
      </w:r>
      <w:r w:rsidR="000C4038">
        <w:rPr>
          <w:color w:val="auto"/>
          <w:lang w:val="en-GB"/>
        </w:rPr>
        <w:t>t</w:t>
      </w:r>
      <w:r w:rsidRPr="009949B9">
        <w:rPr>
          <w:color w:val="auto"/>
          <w:lang w:val="en-GB"/>
        </w:rPr>
        <w:t>ype 2 diabetes, but anecdotal data suggest</w:t>
      </w:r>
      <w:r w:rsidR="00BE2682">
        <w:rPr>
          <w:color w:val="auto"/>
          <w:lang w:val="en-GB"/>
        </w:rPr>
        <w:t>s</w:t>
      </w:r>
      <w:r w:rsidRPr="009949B9">
        <w:rPr>
          <w:color w:val="auto"/>
          <w:lang w:val="en-GB"/>
        </w:rPr>
        <w:t xml:space="preserve"> that some people lost weight and reduced HbA1c.</w:t>
      </w:r>
    </w:p>
    <w:p w:rsidR="00905EEF" w:rsidRPr="009949B9" w:rsidRDefault="00905EEF" w:rsidP="00FF5AC1">
      <w:pPr>
        <w:pStyle w:val="NoSpacing"/>
        <w:rPr>
          <w:color w:val="auto"/>
          <w:lang w:val="en-GB"/>
        </w:rPr>
      </w:pPr>
      <w:r w:rsidRPr="009949B9">
        <w:rPr>
          <w:color w:val="auto"/>
          <w:lang w:val="en-GB"/>
        </w:rPr>
        <w:t xml:space="preserve">Like other projects, lack of time during the set-up phase meant </w:t>
      </w:r>
      <w:r w:rsidR="003637BD">
        <w:rPr>
          <w:color w:val="auto"/>
          <w:lang w:val="en-GB"/>
        </w:rPr>
        <w:t xml:space="preserve">that the project was under time </w:t>
      </w:r>
      <w:r w:rsidRPr="009949B9">
        <w:rPr>
          <w:color w:val="auto"/>
          <w:lang w:val="en-GB"/>
        </w:rPr>
        <w:t xml:space="preserve">pressure, which resulted in some practices choosing not to participate and some resources not </w:t>
      </w:r>
      <w:r w:rsidR="003637BD">
        <w:rPr>
          <w:color w:val="auto"/>
          <w:lang w:val="en-GB"/>
        </w:rPr>
        <w:t>being</w:t>
      </w:r>
      <w:r w:rsidRPr="009949B9">
        <w:rPr>
          <w:color w:val="auto"/>
          <w:lang w:val="en-GB"/>
        </w:rPr>
        <w:t xml:space="preserve"> ready in time. Establishing partnerships and good working was seen as a necessary first step.</w:t>
      </w:r>
    </w:p>
    <w:p w:rsidR="00905EEF" w:rsidRPr="009949B9" w:rsidRDefault="00905EEF" w:rsidP="00FF5AC1">
      <w:pPr>
        <w:pStyle w:val="NoSpacing"/>
        <w:rPr>
          <w:color w:val="auto"/>
          <w:lang w:val="en-GB"/>
        </w:rPr>
      </w:pPr>
      <w:r w:rsidRPr="009949B9">
        <w:rPr>
          <w:color w:val="auto"/>
          <w:lang w:val="en-GB"/>
        </w:rPr>
        <w:t>Some key facilitators during the set-up phase were</w:t>
      </w:r>
      <w:r w:rsidR="003637BD">
        <w:rPr>
          <w:color w:val="auto"/>
          <w:lang w:val="en-GB"/>
        </w:rPr>
        <w:t xml:space="preserve"> to provide</w:t>
      </w:r>
      <w:r w:rsidRPr="009949B9">
        <w:rPr>
          <w:color w:val="auto"/>
          <w:lang w:val="en-GB"/>
        </w:rPr>
        <w:t>: informal conversations with PNs; a small pack of key resources; very short educati</w:t>
      </w:r>
      <w:r w:rsidR="003637BD">
        <w:rPr>
          <w:color w:val="auto"/>
          <w:lang w:val="en-GB"/>
        </w:rPr>
        <w:t>on sessions about resources; on</w:t>
      </w:r>
      <w:r w:rsidRPr="009949B9">
        <w:rPr>
          <w:color w:val="auto"/>
          <w:lang w:val="en-GB"/>
        </w:rPr>
        <w:t>going support and education about lite GRx; and standard and enhanced referrals.</w:t>
      </w:r>
    </w:p>
    <w:p w:rsidR="00905EEF" w:rsidRPr="009949B9" w:rsidRDefault="00905EEF" w:rsidP="00FF5AC1">
      <w:pPr>
        <w:pStyle w:val="NoSpacing"/>
        <w:rPr>
          <w:color w:val="auto"/>
          <w:lang w:val="en-GB"/>
        </w:rPr>
      </w:pPr>
      <w:r w:rsidRPr="009949B9">
        <w:rPr>
          <w:color w:val="auto"/>
          <w:lang w:val="en-GB"/>
        </w:rPr>
        <w:t>Although many practice staff were ambivalent about the programme initially, by the end they were positive and enthusiastic about their role in helping people make healthy lifestyle changes. The four key areas identified for future development were: strengthen</w:t>
      </w:r>
      <w:r w:rsidR="003637BD">
        <w:rPr>
          <w:color w:val="auto"/>
          <w:lang w:val="en-GB"/>
        </w:rPr>
        <w:t>ing of</w:t>
      </w:r>
      <w:r w:rsidRPr="009949B9">
        <w:rPr>
          <w:color w:val="auto"/>
          <w:lang w:val="en-GB"/>
        </w:rPr>
        <w:t xml:space="preserve"> relationships</w:t>
      </w:r>
      <w:r w:rsidR="003637BD">
        <w:rPr>
          <w:color w:val="auto"/>
          <w:lang w:val="en-GB"/>
        </w:rPr>
        <w:t>;</w:t>
      </w:r>
      <w:r w:rsidRPr="009949B9">
        <w:rPr>
          <w:color w:val="auto"/>
          <w:lang w:val="en-GB"/>
        </w:rPr>
        <w:t xml:space="preserve"> sharing knowledge</w:t>
      </w:r>
      <w:r w:rsidR="003637BD">
        <w:rPr>
          <w:color w:val="auto"/>
          <w:lang w:val="en-GB"/>
        </w:rPr>
        <w:t>;</w:t>
      </w:r>
      <w:r w:rsidRPr="009949B9">
        <w:rPr>
          <w:color w:val="auto"/>
          <w:lang w:val="en-GB"/>
        </w:rPr>
        <w:t xml:space="preserve"> giving and receiving support and assistance</w:t>
      </w:r>
      <w:r w:rsidR="003637BD">
        <w:rPr>
          <w:color w:val="auto"/>
          <w:lang w:val="en-GB"/>
        </w:rPr>
        <w:t>;</w:t>
      </w:r>
      <w:r w:rsidRPr="009949B9">
        <w:rPr>
          <w:color w:val="auto"/>
          <w:lang w:val="en-GB"/>
        </w:rPr>
        <w:t xml:space="preserve"> and overcoming barriers for staff and patients.</w:t>
      </w:r>
    </w:p>
    <w:p w:rsidR="00905EEF" w:rsidRPr="009949B9" w:rsidRDefault="00905EEF" w:rsidP="00905EEF">
      <w:pPr>
        <w:pStyle w:val="Heading4"/>
        <w:rPr>
          <w:color w:val="auto"/>
          <w:lang w:val="en-GB"/>
        </w:rPr>
      </w:pPr>
      <w:r w:rsidRPr="009949B9">
        <w:rPr>
          <w:color w:val="auto"/>
          <w:lang w:val="en-GB"/>
        </w:rPr>
        <w:t>Summary</w:t>
      </w:r>
    </w:p>
    <w:p w:rsidR="00905EEF" w:rsidRPr="009949B9" w:rsidRDefault="003F6580" w:rsidP="00FF5AC1">
      <w:pPr>
        <w:pStyle w:val="NoSpacing"/>
        <w:rPr>
          <w:color w:val="auto"/>
          <w:lang w:val="en-GB"/>
        </w:rPr>
      </w:pPr>
      <w:r>
        <w:rPr>
          <w:color w:val="auto"/>
          <w:lang w:val="en-GB"/>
        </w:rPr>
        <w:t>This project provided</w:t>
      </w:r>
      <w:r w:rsidR="00905EEF" w:rsidRPr="009949B9">
        <w:rPr>
          <w:color w:val="auto"/>
          <w:lang w:val="en-GB"/>
        </w:rPr>
        <w:t xml:space="preserve"> a good example of what can be done in primary care at a ‘whole practice’ level. The extensive qualitative data gives insight into a range of barriers and facilitators to the implementation of such a project. However the evaluation lacks key information on the clinical effectiveness of the programme. Gathering data on clinical outcomes would greatly enhance the findings of this project.</w:t>
      </w:r>
    </w:p>
    <w:p w:rsidR="00905EEF" w:rsidRPr="003F6580" w:rsidRDefault="00905EEF" w:rsidP="00034C96">
      <w:pPr>
        <w:pStyle w:val="Heading3"/>
      </w:pPr>
      <w:bookmarkStart w:id="9" w:name="_Toc465944113"/>
      <w:r w:rsidRPr="003F6580">
        <w:t>Health Hawke</w:t>
      </w:r>
      <w:r w:rsidR="001C0167" w:rsidRPr="003F6580">
        <w:t>’</w:t>
      </w:r>
      <w:r w:rsidRPr="003F6580">
        <w:t>s Bay</w:t>
      </w:r>
      <w:bookmarkEnd w:id="9"/>
    </w:p>
    <w:p w:rsidR="00905EEF" w:rsidRPr="009949B9" w:rsidRDefault="00905EEF" w:rsidP="00FF5AC1">
      <w:pPr>
        <w:pStyle w:val="NoSpacing"/>
        <w:rPr>
          <w:color w:val="auto"/>
          <w:lang w:val="en-GB"/>
        </w:rPr>
      </w:pPr>
      <w:r w:rsidRPr="009949B9">
        <w:rPr>
          <w:color w:val="auto"/>
          <w:lang w:val="en-GB"/>
        </w:rPr>
        <w:t>The main obje</w:t>
      </w:r>
      <w:r w:rsidR="001C0167" w:rsidRPr="009949B9">
        <w:rPr>
          <w:color w:val="auto"/>
          <w:lang w:val="en-GB"/>
        </w:rPr>
        <w:t>ctive of the Health Hawke’s Bay p</w:t>
      </w:r>
      <w:r w:rsidRPr="009949B9">
        <w:rPr>
          <w:color w:val="auto"/>
          <w:lang w:val="en-GB"/>
        </w:rPr>
        <w:t xml:space="preserve">re-diabetes lifestyle support programme was to compare the effect of a multilevel pre-diabetes lifestyle intervention delivered by </w:t>
      </w:r>
      <w:r w:rsidR="003F6580">
        <w:rPr>
          <w:color w:val="auto"/>
          <w:lang w:val="en-GB"/>
        </w:rPr>
        <w:t>PN</w:t>
      </w:r>
      <w:r w:rsidRPr="009949B9">
        <w:rPr>
          <w:color w:val="auto"/>
          <w:lang w:val="en-GB"/>
        </w:rPr>
        <w:t>s with usual care on weight and HbA1c in patients with newly diagnosed pre-diabetes</w:t>
      </w:r>
      <w:r w:rsidR="003F6580">
        <w:rPr>
          <w:color w:val="auto"/>
          <w:lang w:val="en-GB"/>
        </w:rPr>
        <w:t>.</w:t>
      </w:r>
    </w:p>
    <w:p w:rsidR="00905EEF" w:rsidRPr="009949B9" w:rsidRDefault="00905EEF" w:rsidP="00FF5AC1">
      <w:pPr>
        <w:pStyle w:val="NoSpacing"/>
        <w:rPr>
          <w:color w:val="auto"/>
          <w:lang w:val="en-GB"/>
        </w:rPr>
      </w:pPr>
      <w:r w:rsidRPr="009949B9">
        <w:rPr>
          <w:color w:val="auto"/>
          <w:lang w:val="en-GB"/>
        </w:rPr>
        <w:t>The project used a pragmatic non-randomised design where four general practices in Napier delivered the intervention and four practices in Hastings delivered usual care.</w:t>
      </w:r>
      <w:r w:rsidR="00CB34A7" w:rsidRPr="009949B9">
        <w:rPr>
          <w:color w:val="auto"/>
          <w:lang w:val="en-GB"/>
        </w:rPr>
        <w:t xml:space="preserve"> </w:t>
      </w:r>
      <w:r w:rsidR="00B248B5" w:rsidRPr="009949B9">
        <w:rPr>
          <w:color w:val="auto"/>
          <w:lang w:val="en-GB"/>
        </w:rPr>
        <w:t>Details regarding the recruitment of these eight practices were</w:t>
      </w:r>
      <w:r w:rsidR="00CB34A7" w:rsidRPr="009949B9">
        <w:rPr>
          <w:color w:val="auto"/>
          <w:lang w:val="en-GB"/>
        </w:rPr>
        <w:t xml:space="preserve"> not provided in the report.</w:t>
      </w:r>
    </w:p>
    <w:p w:rsidR="00905EEF" w:rsidRPr="009949B9" w:rsidRDefault="00905EEF" w:rsidP="00FF5AC1">
      <w:pPr>
        <w:pStyle w:val="NoSpacing"/>
        <w:rPr>
          <w:color w:val="auto"/>
          <w:lang w:val="en-GB"/>
        </w:rPr>
      </w:pPr>
      <w:r w:rsidRPr="009949B9">
        <w:rPr>
          <w:color w:val="auto"/>
          <w:lang w:val="en-GB"/>
        </w:rPr>
        <w:t>The main outcome measure was change in HbA1c, with secondary measures of change in weight and levels of physical activity.</w:t>
      </w:r>
    </w:p>
    <w:p w:rsidR="00905EEF" w:rsidRPr="009949B9" w:rsidRDefault="00905EEF" w:rsidP="00FF5AC1">
      <w:pPr>
        <w:pStyle w:val="NoSpacing"/>
        <w:rPr>
          <w:color w:val="auto"/>
          <w:lang w:val="en-GB"/>
        </w:rPr>
      </w:pPr>
      <w:r w:rsidRPr="009949B9">
        <w:rPr>
          <w:color w:val="auto"/>
          <w:lang w:val="en-GB"/>
        </w:rPr>
        <w:t xml:space="preserve">The evaluation also included a process evaluation component that aimed to determine the feasibility of implementing a pre-diabetes intervention in a primary care setting and to look at barriers and facilitators to implementation. Data for this evaluation </w:t>
      </w:r>
      <w:r w:rsidR="00BE2682">
        <w:rPr>
          <w:color w:val="auto"/>
          <w:lang w:val="en-GB"/>
        </w:rPr>
        <w:t>was</w:t>
      </w:r>
      <w:r w:rsidRPr="009949B9">
        <w:rPr>
          <w:color w:val="auto"/>
          <w:lang w:val="en-GB"/>
        </w:rPr>
        <w:t xml:space="preserve"> collected from </w:t>
      </w:r>
      <w:r w:rsidR="003F6580">
        <w:rPr>
          <w:color w:val="auto"/>
          <w:lang w:val="en-GB"/>
        </w:rPr>
        <w:t>PN</w:t>
      </w:r>
      <w:r w:rsidRPr="009949B9">
        <w:rPr>
          <w:color w:val="auto"/>
          <w:lang w:val="en-GB"/>
        </w:rPr>
        <w:t>s and participants, as well as other key informants, using a range of tools (</w:t>
      </w:r>
      <w:r w:rsidR="0034188F">
        <w:rPr>
          <w:color w:val="auto"/>
          <w:lang w:val="en-GB"/>
        </w:rPr>
        <w:t>eg,</w:t>
      </w:r>
      <w:r w:rsidRPr="009949B9">
        <w:rPr>
          <w:color w:val="auto"/>
          <w:lang w:val="en-GB"/>
        </w:rPr>
        <w:t xml:space="preserve"> interviews, surveys).</w:t>
      </w:r>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FF5AC1">
      <w:pPr>
        <w:pStyle w:val="NoSpacing"/>
        <w:rPr>
          <w:color w:val="auto"/>
          <w:lang w:val="en-GB"/>
        </w:rPr>
      </w:pPr>
      <w:r w:rsidRPr="009949B9">
        <w:rPr>
          <w:color w:val="auto"/>
          <w:lang w:val="en-GB"/>
        </w:rPr>
        <w:t>The intervention consisted of multiple components, which are summarised in Box 1 below.</w:t>
      </w:r>
      <w:r w:rsidR="00FF5AC1" w:rsidRPr="009949B9">
        <w:rPr>
          <w:color w:val="auto"/>
          <w:lang w:val="en-GB"/>
        </w:rPr>
        <w:t xml:space="preserve"> </w:t>
      </w:r>
      <w:r w:rsidRPr="009949B9">
        <w:rPr>
          <w:color w:val="auto"/>
          <w:lang w:val="en-GB"/>
        </w:rPr>
        <w:t>The control practices provided ‘usual care’ advice on nutrition.</w:t>
      </w:r>
    </w:p>
    <w:p w:rsidR="00F756EC" w:rsidRDefault="00905EEF" w:rsidP="00FF5AC1">
      <w:pPr>
        <w:pStyle w:val="NoSpacing"/>
        <w:rPr>
          <w:color w:val="auto"/>
          <w:szCs w:val="24"/>
          <w:lang w:val="en-GB"/>
        </w:rPr>
        <w:sectPr w:rsidR="00F756EC" w:rsidSect="00673D90">
          <w:footerReference w:type="even" r:id="rId8"/>
          <w:footerReference w:type="default" r:id="rId9"/>
          <w:footerReference w:type="first" r:id="rId10"/>
          <w:footnotePr>
            <w:numFmt w:val="chicago"/>
          </w:footnotePr>
          <w:pgSz w:w="11900" w:h="16840"/>
          <w:pgMar w:top="1440" w:right="1800" w:bottom="1440" w:left="1800" w:header="708" w:footer="708" w:gutter="0"/>
          <w:cols w:space="708"/>
          <w:docGrid w:linePitch="360"/>
        </w:sectPr>
      </w:pPr>
      <w:r w:rsidRPr="009949B9">
        <w:rPr>
          <w:color w:val="auto"/>
          <w:lang w:val="en-GB"/>
        </w:rPr>
        <w:t>All practices continued to provide advice on physical activity (i</w:t>
      </w:r>
      <w:r w:rsidR="003F6580">
        <w:rPr>
          <w:color w:val="auto"/>
          <w:lang w:val="en-GB"/>
        </w:rPr>
        <w:t>e,</w:t>
      </w:r>
      <w:r w:rsidRPr="009949B9">
        <w:rPr>
          <w:color w:val="auto"/>
          <w:lang w:val="en-GB"/>
        </w:rPr>
        <w:t xml:space="preserve"> </w:t>
      </w:r>
      <w:r w:rsidRPr="009949B9">
        <w:rPr>
          <w:color w:val="auto"/>
          <w:szCs w:val="24"/>
          <w:lang w:val="en-GB"/>
        </w:rPr>
        <w:t>30 minutes of moderate intensity physical activity of on most days of the week) and provided participa</w:t>
      </w:r>
      <w:r w:rsidR="003F6580">
        <w:rPr>
          <w:color w:val="auto"/>
          <w:szCs w:val="24"/>
          <w:lang w:val="en-GB"/>
        </w:rPr>
        <w:t>nts with educational material (</w:t>
      </w:r>
      <w:r w:rsidRPr="009949B9">
        <w:rPr>
          <w:color w:val="auto"/>
          <w:szCs w:val="24"/>
          <w:lang w:val="en-GB"/>
        </w:rPr>
        <w:t>‘Be Active Every Day’ leaflet</w:t>
      </w:r>
      <w:r w:rsidR="00B50FC5" w:rsidRPr="009949B9">
        <w:rPr>
          <w:color w:val="auto"/>
          <w:szCs w:val="24"/>
          <w:lang w:val="en-GB"/>
        </w:rPr>
        <w:fldChar w:fldCharType="begin"/>
      </w:r>
      <w:r w:rsidR="00506D4C" w:rsidRPr="009949B9">
        <w:rPr>
          <w:color w:val="auto"/>
          <w:szCs w:val="24"/>
          <w:lang w:val="en-GB"/>
        </w:rPr>
        <w:instrText xml:space="preserve"> ADDIN ZOTERO_ITEM CSL_CITATION {"citationID":"i0fp3kavg","properties":{"formattedCitation":"{\\rtf \\super 2\\nosupersub{}}","plainCitation":"2"},"citationItems":[{"id":13894,"uris":["http://zotero.org/users/1878547/items/G8R6QWQC"],"uri":["http://zotero.org/users/1878547/items/G8R6QWQC"],"itemData":{"id":13894,"type":"report","title":"Be active every day: Physical activity for adults","publisher":"HealthEd","URL":"https://www.healthed.govt.nz/resource/be-active-every-day-physical-activity-adults","author":[{"family":"HealthEd","given":""}],"issued":{"date-parts":[["2010",12]]},"accessed":{"date-parts":[["2016",6,24]]}}}],"schema":"https://github.com/citation-style-language/schema/raw/master/csl-citation.json"} </w:instrText>
      </w:r>
      <w:r w:rsidR="00B50FC5" w:rsidRPr="009949B9">
        <w:rPr>
          <w:color w:val="auto"/>
          <w:szCs w:val="24"/>
          <w:lang w:val="en-GB"/>
        </w:rPr>
        <w:fldChar w:fldCharType="separate"/>
      </w:r>
      <w:r w:rsidR="00506D4C" w:rsidRPr="009949B9">
        <w:rPr>
          <w:rFonts w:cs="Arial"/>
          <w:color w:val="auto"/>
          <w:szCs w:val="24"/>
          <w:vertAlign w:val="superscript"/>
          <w:lang w:val="en-GB"/>
        </w:rPr>
        <w:t>2</w:t>
      </w:r>
      <w:r w:rsidR="00B50FC5" w:rsidRPr="009949B9">
        <w:rPr>
          <w:color w:val="auto"/>
          <w:szCs w:val="24"/>
          <w:lang w:val="en-GB"/>
        </w:rPr>
        <w:fldChar w:fldCharType="end"/>
      </w:r>
      <w:r w:rsidRPr="009949B9">
        <w:rPr>
          <w:color w:val="auto"/>
          <w:szCs w:val="24"/>
          <w:lang w:val="en-GB"/>
        </w:rPr>
        <w:t>).</w:t>
      </w:r>
    </w:p>
    <w:p w:rsidR="00F756EC" w:rsidRPr="00F756EC" w:rsidRDefault="00F756EC" w:rsidP="00F756EC">
      <w:pPr>
        <w:spacing w:before="120" w:after="120" w:line="264" w:lineRule="auto"/>
        <w:rPr>
          <w:rFonts w:ascii="Georgia" w:hAnsi="Georgia"/>
          <w:b/>
          <w:color w:val="auto"/>
          <w:lang w:val="en-GB"/>
        </w:rPr>
      </w:pPr>
      <w:r w:rsidRPr="00F756EC">
        <w:rPr>
          <w:rFonts w:ascii="Georgia" w:hAnsi="Georgia"/>
          <w:b/>
          <w:color w:val="auto"/>
          <w:lang w:val="en-GB"/>
        </w:rPr>
        <w:t>Box 1</w:t>
      </w:r>
      <w:r>
        <w:rPr>
          <w:rFonts w:ascii="Georgia" w:hAnsi="Georgia"/>
          <w:b/>
          <w:color w:val="auto"/>
          <w:lang w:val="en-GB"/>
        </w:rPr>
        <w:t>:</w:t>
      </w:r>
      <w:r w:rsidRPr="00F756EC">
        <w:rPr>
          <w:rFonts w:ascii="Georgia" w:hAnsi="Georgia"/>
          <w:b/>
          <w:color w:val="auto"/>
          <w:lang w:val="en-GB"/>
        </w:rPr>
        <w:t xml:space="preserve"> Hawke’s Bay pre-diabetes intervention</w:t>
      </w:r>
    </w:p>
    <w:tbl>
      <w:tblPr>
        <w:tblStyle w:val="LightGrid-Accent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280"/>
      </w:tblGrid>
      <w:tr w:rsidR="00905EEF" w:rsidRPr="00F756EC" w:rsidTr="003F65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none" w:sz="0" w:space="0" w:color="auto"/>
              <w:left w:val="none" w:sz="0" w:space="0" w:color="auto"/>
              <w:bottom w:val="none" w:sz="0" w:space="0" w:color="auto"/>
              <w:right w:val="none" w:sz="0" w:space="0" w:color="auto"/>
            </w:tcBorders>
          </w:tcPr>
          <w:p w:rsidR="00905EEF" w:rsidRPr="00F756EC" w:rsidRDefault="00905EEF" w:rsidP="00673D90">
            <w:pPr>
              <w:rPr>
                <w:rFonts w:ascii="Georgia" w:hAnsi="Georgia"/>
                <w:color w:val="auto"/>
                <w:szCs w:val="20"/>
                <w:lang w:val="en-GB"/>
              </w:rPr>
            </w:pPr>
            <w:r w:rsidRPr="00F756EC">
              <w:rPr>
                <w:rFonts w:ascii="Georgia" w:hAnsi="Georgia"/>
                <w:color w:val="auto"/>
                <w:szCs w:val="20"/>
                <w:lang w:val="en-GB"/>
              </w:rPr>
              <w:t>Training</w:t>
            </w:r>
          </w:p>
          <w:p w:rsidR="00905EEF" w:rsidRPr="00F756EC" w:rsidRDefault="003F6580" w:rsidP="00673D90">
            <w:pPr>
              <w:rPr>
                <w:rFonts w:ascii="Georgia" w:hAnsi="Georgia"/>
                <w:b w:val="0"/>
                <w:color w:val="auto"/>
                <w:szCs w:val="20"/>
                <w:lang w:val="en-GB"/>
              </w:rPr>
            </w:pPr>
            <w:r w:rsidRPr="00F756EC">
              <w:rPr>
                <w:rFonts w:ascii="Georgia" w:hAnsi="Georgia"/>
                <w:b w:val="0"/>
                <w:color w:val="auto"/>
                <w:szCs w:val="20"/>
                <w:lang w:val="en-GB"/>
              </w:rPr>
              <w:t>PNs</w:t>
            </w:r>
            <w:r w:rsidR="00905EEF" w:rsidRPr="00F756EC">
              <w:rPr>
                <w:rFonts w:ascii="Georgia" w:hAnsi="Georgia"/>
                <w:b w:val="0"/>
                <w:color w:val="auto"/>
                <w:szCs w:val="20"/>
                <w:lang w:val="en-GB"/>
              </w:rPr>
              <w:t xml:space="preserve"> </w:t>
            </w:r>
            <w:r w:rsidRPr="00F756EC">
              <w:rPr>
                <w:rFonts w:ascii="Georgia" w:hAnsi="Georgia"/>
                <w:b w:val="0"/>
                <w:color w:val="auto"/>
                <w:szCs w:val="20"/>
                <w:lang w:val="en-GB"/>
              </w:rPr>
              <w:t>participated in a six</w:t>
            </w:r>
            <w:r w:rsidR="00905EEF" w:rsidRPr="00F756EC">
              <w:rPr>
                <w:rFonts w:ascii="Georgia" w:hAnsi="Georgia"/>
                <w:b w:val="0"/>
                <w:color w:val="auto"/>
                <w:szCs w:val="20"/>
                <w:lang w:val="en-GB"/>
              </w:rPr>
              <w:t>-hour training course that covered nutrition principles, dietary assessment, goal setting, the context within which nutrition advice is given, and how to measure height, weight and waist circumference</w:t>
            </w:r>
          </w:p>
          <w:p w:rsidR="00905EEF" w:rsidRPr="00F756EC" w:rsidRDefault="00905EEF" w:rsidP="00673D90">
            <w:pPr>
              <w:rPr>
                <w:rFonts w:ascii="Georgia" w:hAnsi="Georgia"/>
                <w:b w:val="0"/>
                <w:color w:val="auto"/>
                <w:szCs w:val="20"/>
                <w:lang w:val="en-GB"/>
              </w:rPr>
            </w:pPr>
          </w:p>
          <w:p w:rsidR="00905EEF" w:rsidRPr="00F756EC" w:rsidRDefault="00905EEF" w:rsidP="00673D90">
            <w:pPr>
              <w:rPr>
                <w:rFonts w:ascii="Georgia" w:hAnsi="Georgia"/>
                <w:color w:val="auto"/>
                <w:szCs w:val="20"/>
                <w:lang w:val="en-GB"/>
              </w:rPr>
            </w:pPr>
            <w:r w:rsidRPr="00F756EC">
              <w:rPr>
                <w:rFonts w:ascii="Georgia" w:hAnsi="Georgia"/>
                <w:color w:val="auto"/>
                <w:szCs w:val="20"/>
                <w:lang w:val="en-GB"/>
              </w:rPr>
              <w:t>Dietary assessment</w:t>
            </w:r>
          </w:p>
          <w:p w:rsidR="00905EEF" w:rsidRPr="00F756EC" w:rsidRDefault="00905EEF" w:rsidP="00673D90">
            <w:pPr>
              <w:rPr>
                <w:rFonts w:ascii="Georgia" w:hAnsi="Georgia"/>
                <w:b w:val="0"/>
                <w:noProof/>
                <w:color w:val="auto"/>
                <w:szCs w:val="20"/>
                <w:lang w:val="en-GB"/>
              </w:rPr>
            </w:pPr>
            <w:r w:rsidRPr="00F756EC">
              <w:rPr>
                <w:rFonts w:ascii="Georgia" w:hAnsi="Georgia"/>
                <w:b w:val="0"/>
                <w:color w:val="auto"/>
                <w:szCs w:val="20"/>
                <w:lang w:val="en-GB"/>
              </w:rPr>
              <w:t>Provided by PN</w:t>
            </w:r>
            <w:r w:rsidR="003F6580" w:rsidRPr="00F756EC">
              <w:rPr>
                <w:rFonts w:ascii="Georgia" w:hAnsi="Georgia"/>
                <w:b w:val="0"/>
                <w:color w:val="auto"/>
                <w:szCs w:val="20"/>
                <w:lang w:val="en-GB"/>
              </w:rPr>
              <w:t>s</w:t>
            </w:r>
            <w:r w:rsidRPr="00F756EC">
              <w:rPr>
                <w:rFonts w:ascii="Georgia" w:hAnsi="Georgia"/>
                <w:b w:val="0"/>
                <w:color w:val="auto"/>
                <w:szCs w:val="20"/>
                <w:lang w:val="en-GB"/>
              </w:rPr>
              <w:t xml:space="preserve"> at basel</w:t>
            </w:r>
            <w:r w:rsidR="00D66DE2" w:rsidRPr="00F756EC">
              <w:rPr>
                <w:rFonts w:ascii="Georgia" w:hAnsi="Georgia"/>
                <w:b w:val="0"/>
                <w:color w:val="auto"/>
                <w:szCs w:val="20"/>
                <w:lang w:val="en-GB"/>
              </w:rPr>
              <w:t>ine (lasting 30 minutes). Whānau</w:t>
            </w:r>
            <w:r w:rsidRPr="00F756EC">
              <w:rPr>
                <w:rFonts w:ascii="Georgia" w:hAnsi="Georgia"/>
                <w:b w:val="0"/>
                <w:color w:val="auto"/>
                <w:szCs w:val="20"/>
                <w:lang w:val="en-GB"/>
              </w:rPr>
              <w:t xml:space="preserve"> </w:t>
            </w:r>
            <w:r w:rsidR="00D66DE2" w:rsidRPr="00F756EC">
              <w:rPr>
                <w:rFonts w:ascii="Georgia" w:hAnsi="Georgia"/>
                <w:b w:val="0"/>
                <w:color w:val="auto"/>
                <w:szCs w:val="20"/>
                <w:lang w:val="en-GB"/>
              </w:rPr>
              <w:t xml:space="preserve">were </w:t>
            </w:r>
            <w:r w:rsidRPr="00F756EC">
              <w:rPr>
                <w:rFonts w:ascii="Georgia" w:hAnsi="Georgia"/>
                <w:b w:val="0"/>
                <w:color w:val="auto"/>
                <w:szCs w:val="20"/>
                <w:lang w:val="en-GB"/>
              </w:rPr>
              <w:t>encourage</w:t>
            </w:r>
            <w:r w:rsidR="00D66DE2" w:rsidRPr="00F756EC">
              <w:rPr>
                <w:rFonts w:ascii="Georgia" w:hAnsi="Georgia"/>
                <w:b w:val="0"/>
                <w:color w:val="auto"/>
                <w:szCs w:val="20"/>
                <w:lang w:val="en-GB"/>
              </w:rPr>
              <w:t>d</w:t>
            </w:r>
            <w:r w:rsidRPr="00F756EC">
              <w:rPr>
                <w:rFonts w:ascii="Georgia" w:hAnsi="Georgia"/>
                <w:b w:val="0"/>
                <w:color w:val="auto"/>
                <w:szCs w:val="20"/>
                <w:lang w:val="en-GB"/>
              </w:rPr>
              <w:t xml:space="preserve"> to attend. Participants completed </w:t>
            </w:r>
            <w:r w:rsidRPr="00F756EC">
              <w:rPr>
                <w:rFonts w:ascii="Georgia" w:hAnsi="Georgia"/>
                <w:b w:val="0"/>
                <w:noProof/>
                <w:color w:val="auto"/>
                <w:szCs w:val="20"/>
                <w:lang w:val="en-GB"/>
              </w:rPr>
              <w:t>a brief dietary assessment - Starting the Conversation (STC)</w:t>
            </w:r>
            <w:r w:rsidR="00B50FC5" w:rsidRPr="00F756EC">
              <w:rPr>
                <w:rFonts w:ascii="Georgia" w:hAnsi="Georgia"/>
                <w:noProof/>
                <w:color w:val="auto"/>
                <w:szCs w:val="20"/>
                <w:lang w:val="en-GB"/>
              </w:rPr>
              <w:fldChar w:fldCharType="begin"/>
            </w:r>
            <w:r w:rsidR="00506D4C" w:rsidRPr="00F756EC">
              <w:rPr>
                <w:rFonts w:ascii="Georgia" w:hAnsi="Georgia"/>
                <w:b w:val="0"/>
                <w:noProof/>
                <w:color w:val="auto"/>
                <w:szCs w:val="20"/>
                <w:lang w:val="en-GB"/>
              </w:rPr>
              <w:instrText xml:space="preserve"> ADDIN ZOTERO_ITEM CSL_CITATION {"citationID":"2kmllpc4qm","properties":{"formattedCitation":"{\\rtf \\super 3\\nosupersub{}}","plainCitation":"3"},"citationItems":[{"id":10170,"uris":["http://zotero.org/users/1878547/items/5BQN5U59"],"uri":["http://zotero.org/users/1878547/items/5BQN5U59"],"itemData":{"id":10170,"type":"article-journal","title":"Starting the conversation performance of a brief dietary assessment and intervention tool for health professionals","container-title":"American Journal of Preventive Medicine","page":"67-71","volume":"40","issue":"1","source":"PubMed","abstract":"INTRODUCTION: For chronic disease prevention and management, brief but valid dietary assessment tools are needed to determine risk, guide counseling, and monitor progress in a variety of settings. Starting The Conversation (STC) is an eight-item simplified food frequency instrument designed for use in primary care and health-promotion settings.\nPURPOSE: This report investigates the feasibility, validity, and sensitivity to change of the STC tool, a simplified screener instrument for assessment and counseling.\nMETHODS: Data from an ongoing practical efficacy study of type 2 diabetes patients in a diverse population (N=463) were used to document STC validity, robustness, stability, and sensitivity to change from baseline to 4 months. Data were collected from 2008 to 2010, and they were analyzed for this report in 2010.\nRESULTS: The eight STC items and summary score performed well. STC items and the summary score were moderately intercorrelated (r =0.39-0.59, p&lt;0.05). The STC summary score was significantly correlated with the NCI fat screener at baseline (r =0.39, p&lt;0.05), and change in the STC summary score correlated with reduction in percentage of calories from fat (r =0.22, p&lt;0.05) from baseline to 4 months. The STC was sensitive to the intervention, with intervention participants improving significantly more than controls on the summary score (M=1.16 vs 0.46, p&lt;0.05).\nCONCLUSIONS: The brief STC is a relatively simple, valid, and efficient tool for dietary assessment and intervention in the clinical setting. It is available in English and Spanish and is in the public domain. Researchers and practitioners are encouraged to assess its utility in other settings and with other dietary interventions.","DOI":"10.1016/j.amepre.2010.10.009","ISSN":"1873-2607","note":"PMID: 21146770","journalAbbreviation":"Am J Prev Med","language":"eng","author":[{"family":"Paxton","given":"Amy E."},{"family":"Strycker","given":"Lisa A."},{"family":"Toobert","given":"Deborah J."},{"family":"Ammerman","given":"Alice S."},{"family":"Glasgow","given":"Russell E."}],"issued":{"date-parts":[["2011",1]]},"PMID":"21146770"}}],"schema":"https://github.com/citation-style-language/schema/raw/master/csl-citation.json"} </w:instrText>
            </w:r>
            <w:r w:rsidR="00B50FC5" w:rsidRPr="00F756EC">
              <w:rPr>
                <w:rFonts w:ascii="Georgia" w:hAnsi="Georgia"/>
                <w:noProof/>
                <w:color w:val="auto"/>
                <w:szCs w:val="20"/>
                <w:lang w:val="en-GB"/>
              </w:rPr>
              <w:fldChar w:fldCharType="separate"/>
            </w:r>
            <w:r w:rsidR="00506D4C" w:rsidRPr="00F756EC">
              <w:rPr>
                <w:rFonts w:ascii="Georgia" w:hAnsi="Georgia" w:cs="Arial"/>
                <w:b w:val="0"/>
                <w:color w:val="auto"/>
                <w:szCs w:val="20"/>
                <w:vertAlign w:val="superscript"/>
                <w:lang w:val="en-GB"/>
              </w:rPr>
              <w:t>3</w:t>
            </w:r>
            <w:r w:rsidR="00B50FC5" w:rsidRPr="00F756EC">
              <w:rPr>
                <w:rFonts w:ascii="Georgia" w:hAnsi="Georgia"/>
                <w:noProof/>
                <w:color w:val="auto"/>
                <w:szCs w:val="20"/>
                <w:lang w:val="en-GB"/>
              </w:rPr>
              <w:fldChar w:fldCharType="end"/>
            </w:r>
            <w:r w:rsidR="003F6580" w:rsidRPr="00F756EC">
              <w:rPr>
                <w:rFonts w:ascii="Georgia" w:hAnsi="Georgia"/>
                <w:b w:val="0"/>
                <w:noProof/>
                <w:color w:val="auto"/>
                <w:szCs w:val="20"/>
                <w:lang w:val="en-GB"/>
              </w:rPr>
              <w:t xml:space="preserve">, </w:t>
            </w:r>
            <w:r w:rsidRPr="00F756EC">
              <w:rPr>
                <w:rFonts w:ascii="Georgia" w:hAnsi="Georgia"/>
                <w:b w:val="0"/>
                <w:noProof/>
                <w:color w:val="auto"/>
                <w:szCs w:val="20"/>
                <w:lang w:val="en-GB"/>
              </w:rPr>
              <w:t>which PNs used to ask further dietary and contextual information questions to gain a better u</w:t>
            </w:r>
            <w:r w:rsidR="00D66DE2" w:rsidRPr="00F756EC">
              <w:rPr>
                <w:rFonts w:ascii="Georgia" w:hAnsi="Georgia"/>
                <w:b w:val="0"/>
                <w:noProof/>
                <w:color w:val="auto"/>
                <w:szCs w:val="20"/>
                <w:lang w:val="en-GB"/>
              </w:rPr>
              <w:t>nderstanding of the participant</w:t>
            </w:r>
            <w:r w:rsidRPr="00F756EC">
              <w:rPr>
                <w:rFonts w:ascii="Georgia" w:hAnsi="Georgia"/>
                <w:b w:val="0"/>
                <w:noProof/>
                <w:color w:val="auto"/>
                <w:szCs w:val="20"/>
                <w:lang w:val="en-GB"/>
              </w:rPr>
              <w:t>s</w:t>
            </w:r>
            <w:r w:rsidR="00D66DE2" w:rsidRPr="00F756EC">
              <w:rPr>
                <w:rFonts w:ascii="Georgia" w:hAnsi="Georgia"/>
                <w:b w:val="0"/>
                <w:noProof/>
                <w:color w:val="auto"/>
                <w:szCs w:val="20"/>
                <w:lang w:val="en-GB"/>
              </w:rPr>
              <w:t>’</w:t>
            </w:r>
            <w:r w:rsidRPr="00F756EC">
              <w:rPr>
                <w:rFonts w:ascii="Georgia" w:hAnsi="Georgia"/>
                <w:b w:val="0"/>
                <w:noProof/>
                <w:color w:val="auto"/>
                <w:szCs w:val="20"/>
                <w:lang w:val="en-GB"/>
              </w:rPr>
              <w:t xml:space="preserve"> dietary habits.</w:t>
            </w:r>
          </w:p>
          <w:p w:rsidR="00905EEF" w:rsidRPr="00F756EC" w:rsidRDefault="00905EEF" w:rsidP="00673D90">
            <w:pPr>
              <w:rPr>
                <w:rFonts w:ascii="Georgia" w:hAnsi="Georgia"/>
                <w:b w:val="0"/>
                <w:noProof/>
                <w:color w:val="auto"/>
                <w:szCs w:val="20"/>
                <w:lang w:val="en-GB"/>
              </w:rPr>
            </w:pPr>
          </w:p>
          <w:p w:rsidR="00905EEF" w:rsidRPr="00F756EC" w:rsidRDefault="00905EEF" w:rsidP="00673D90">
            <w:pPr>
              <w:rPr>
                <w:rFonts w:ascii="Georgia" w:hAnsi="Georgia"/>
                <w:color w:val="auto"/>
                <w:szCs w:val="20"/>
                <w:lang w:val="en-GB"/>
              </w:rPr>
            </w:pPr>
            <w:r w:rsidRPr="00F756EC">
              <w:rPr>
                <w:rFonts w:ascii="Georgia" w:hAnsi="Georgia"/>
                <w:color w:val="auto"/>
                <w:szCs w:val="20"/>
                <w:lang w:val="en-GB"/>
              </w:rPr>
              <w:t>Goal setting</w:t>
            </w:r>
          </w:p>
          <w:p w:rsidR="00905EEF" w:rsidRPr="00F756EC" w:rsidRDefault="00905EEF" w:rsidP="00673D90">
            <w:pPr>
              <w:rPr>
                <w:rFonts w:ascii="Georgia" w:hAnsi="Georgia"/>
                <w:b w:val="0"/>
                <w:noProof/>
                <w:color w:val="auto"/>
                <w:szCs w:val="20"/>
                <w:lang w:val="en-GB"/>
              </w:rPr>
            </w:pPr>
            <w:r w:rsidRPr="00F756EC">
              <w:rPr>
                <w:rFonts w:ascii="Georgia" w:hAnsi="Georgia"/>
                <w:b w:val="0"/>
                <w:noProof/>
                <w:color w:val="auto"/>
                <w:szCs w:val="20"/>
                <w:lang w:val="en-GB"/>
              </w:rPr>
              <w:t>Aimed for 5</w:t>
            </w:r>
            <w:r w:rsidR="00973820" w:rsidRPr="00F756EC">
              <w:rPr>
                <w:rFonts w:ascii="Georgia" w:hAnsi="Georgia"/>
                <w:b w:val="0"/>
                <w:noProof/>
                <w:color w:val="auto"/>
                <w:szCs w:val="20"/>
                <w:lang w:val="en-GB"/>
              </w:rPr>
              <w:t xml:space="preserve"> percent</w:t>
            </w:r>
            <w:r w:rsidRPr="00F756EC">
              <w:rPr>
                <w:rFonts w:ascii="Georgia" w:hAnsi="Georgia"/>
                <w:b w:val="0"/>
                <w:noProof/>
                <w:color w:val="auto"/>
                <w:szCs w:val="20"/>
                <w:lang w:val="en-GB"/>
              </w:rPr>
              <w:t xml:space="preserve"> weight loss over </w:t>
            </w:r>
            <w:r w:rsidR="003F6580" w:rsidRPr="00F756EC">
              <w:rPr>
                <w:rFonts w:ascii="Georgia" w:hAnsi="Georgia"/>
                <w:b w:val="0"/>
                <w:noProof/>
                <w:color w:val="auto"/>
                <w:szCs w:val="20"/>
                <w:lang w:val="en-GB"/>
              </w:rPr>
              <w:t>six</w:t>
            </w:r>
            <w:r w:rsidRPr="00F756EC">
              <w:rPr>
                <w:rFonts w:ascii="Georgia" w:hAnsi="Georgia"/>
                <w:b w:val="0"/>
                <w:noProof/>
                <w:color w:val="auto"/>
                <w:szCs w:val="20"/>
                <w:lang w:val="en-GB"/>
              </w:rPr>
              <w:t xml:space="preserve"> months</w:t>
            </w:r>
            <w:r w:rsidR="00D66DE2" w:rsidRPr="00F756EC">
              <w:rPr>
                <w:rFonts w:ascii="Georgia" w:hAnsi="Georgia"/>
                <w:b w:val="0"/>
                <w:noProof/>
                <w:color w:val="auto"/>
                <w:szCs w:val="20"/>
                <w:lang w:val="en-GB"/>
              </w:rPr>
              <w:t xml:space="preserve">. </w:t>
            </w:r>
            <w:r w:rsidRPr="00F756EC">
              <w:rPr>
                <w:rFonts w:ascii="Georgia" w:hAnsi="Georgia"/>
                <w:b w:val="0"/>
                <w:noProof/>
                <w:color w:val="auto"/>
                <w:szCs w:val="20"/>
                <w:lang w:val="en-GB"/>
              </w:rPr>
              <w:t xml:space="preserve">Three dietary goals </w:t>
            </w:r>
            <w:r w:rsidR="009D07E3" w:rsidRPr="00F756EC">
              <w:rPr>
                <w:rFonts w:ascii="Georgia" w:hAnsi="Georgia"/>
                <w:b w:val="0"/>
                <w:noProof/>
                <w:color w:val="auto"/>
                <w:szCs w:val="20"/>
                <w:lang w:val="en-GB"/>
              </w:rPr>
              <w:t xml:space="preserve">were </w:t>
            </w:r>
            <w:r w:rsidRPr="00F756EC">
              <w:rPr>
                <w:rFonts w:ascii="Georgia" w:hAnsi="Georgia"/>
                <w:b w:val="0"/>
                <w:noProof/>
                <w:color w:val="auto"/>
                <w:szCs w:val="20"/>
                <w:lang w:val="en-GB"/>
              </w:rPr>
              <w:t>negotiated with the participant. These were incorporated into the general practice patient management systems and facilitated opportunistic targeted advice and guidance by GPs.</w:t>
            </w:r>
          </w:p>
          <w:p w:rsidR="00905EEF" w:rsidRPr="00F756EC" w:rsidRDefault="00905EEF" w:rsidP="00673D90">
            <w:pPr>
              <w:rPr>
                <w:rFonts w:ascii="Georgia" w:hAnsi="Georgia"/>
                <w:b w:val="0"/>
                <w:noProof/>
                <w:color w:val="auto"/>
                <w:szCs w:val="20"/>
                <w:lang w:val="en-GB"/>
              </w:rPr>
            </w:pPr>
          </w:p>
          <w:p w:rsidR="00905EEF" w:rsidRPr="00F756EC" w:rsidRDefault="00905EEF" w:rsidP="00673D90">
            <w:pPr>
              <w:rPr>
                <w:rFonts w:ascii="Georgia" w:hAnsi="Georgia"/>
                <w:noProof/>
                <w:color w:val="auto"/>
                <w:szCs w:val="20"/>
                <w:lang w:val="en-GB"/>
              </w:rPr>
            </w:pPr>
            <w:r w:rsidRPr="00F756EC">
              <w:rPr>
                <w:rFonts w:ascii="Georgia" w:hAnsi="Georgia"/>
                <w:color w:val="auto"/>
                <w:szCs w:val="20"/>
                <w:lang w:val="en-GB"/>
              </w:rPr>
              <w:t>Follow-up</w:t>
            </w:r>
          </w:p>
          <w:p w:rsidR="00905EEF" w:rsidRPr="00F756EC" w:rsidRDefault="003F6580" w:rsidP="00673D90">
            <w:pPr>
              <w:rPr>
                <w:rFonts w:ascii="Georgia" w:hAnsi="Georgia"/>
                <w:b w:val="0"/>
                <w:noProof/>
                <w:color w:val="auto"/>
                <w:szCs w:val="20"/>
                <w:lang w:val="en-GB"/>
              </w:rPr>
            </w:pPr>
            <w:r w:rsidRPr="00F756EC">
              <w:rPr>
                <w:rFonts w:ascii="Georgia" w:hAnsi="Georgia"/>
                <w:b w:val="0"/>
                <w:noProof/>
                <w:color w:val="auto"/>
                <w:szCs w:val="20"/>
                <w:lang w:val="en-GB"/>
              </w:rPr>
              <w:t>Fifteen-</w:t>
            </w:r>
            <w:r w:rsidR="00905EEF" w:rsidRPr="00F756EC">
              <w:rPr>
                <w:rFonts w:ascii="Georgia" w:hAnsi="Georgia"/>
                <w:b w:val="0"/>
                <w:noProof/>
                <w:color w:val="auto"/>
                <w:szCs w:val="20"/>
                <w:lang w:val="en-GB"/>
              </w:rPr>
              <w:t xml:space="preserve">minute follow-up sessions were arranged </w:t>
            </w:r>
            <w:r w:rsidRPr="00F756EC">
              <w:rPr>
                <w:rFonts w:ascii="Georgia" w:hAnsi="Georgia"/>
                <w:b w:val="0"/>
                <w:noProof/>
                <w:color w:val="auto"/>
                <w:szCs w:val="20"/>
                <w:lang w:val="en-GB"/>
              </w:rPr>
              <w:t>three-four</w:t>
            </w:r>
            <w:r w:rsidR="00905EEF" w:rsidRPr="00F756EC">
              <w:rPr>
                <w:rFonts w:ascii="Georgia" w:hAnsi="Georgia"/>
                <w:b w:val="0"/>
                <w:noProof/>
                <w:color w:val="auto"/>
                <w:szCs w:val="20"/>
                <w:lang w:val="en-GB"/>
              </w:rPr>
              <w:t xml:space="preserve"> weeks later, then at </w:t>
            </w:r>
            <w:r w:rsidRPr="00F756EC">
              <w:rPr>
                <w:rFonts w:ascii="Georgia" w:hAnsi="Georgia"/>
                <w:b w:val="0"/>
                <w:noProof/>
                <w:color w:val="auto"/>
                <w:szCs w:val="20"/>
                <w:lang w:val="en-GB"/>
              </w:rPr>
              <w:t>three</w:t>
            </w:r>
            <w:r w:rsidR="00905EEF" w:rsidRPr="00F756EC">
              <w:rPr>
                <w:rFonts w:ascii="Georgia" w:hAnsi="Georgia"/>
                <w:b w:val="0"/>
                <w:noProof/>
                <w:color w:val="auto"/>
                <w:szCs w:val="20"/>
                <w:lang w:val="en-GB"/>
              </w:rPr>
              <w:t xml:space="preserve"> months and </w:t>
            </w:r>
            <w:r w:rsidRPr="00F756EC">
              <w:rPr>
                <w:rFonts w:ascii="Georgia" w:hAnsi="Georgia"/>
                <w:b w:val="0"/>
                <w:noProof/>
                <w:color w:val="auto"/>
                <w:szCs w:val="20"/>
                <w:lang w:val="en-GB"/>
              </w:rPr>
              <w:t>six</w:t>
            </w:r>
            <w:r w:rsidR="00905EEF" w:rsidRPr="00F756EC">
              <w:rPr>
                <w:rFonts w:ascii="Georgia" w:hAnsi="Georgia"/>
                <w:b w:val="0"/>
                <w:noProof/>
                <w:color w:val="auto"/>
                <w:szCs w:val="20"/>
                <w:lang w:val="en-GB"/>
              </w:rPr>
              <w:t xml:space="preserve"> months, where progress was measured and goals were reviewed and updated.</w:t>
            </w:r>
          </w:p>
          <w:p w:rsidR="00905EEF" w:rsidRPr="00F756EC" w:rsidRDefault="00905EEF" w:rsidP="00673D90">
            <w:pPr>
              <w:pStyle w:val="NoSpacing"/>
              <w:rPr>
                <w:color w:val="auto"/>
                <w:sz w:val="20"/>
                <w:szCs w:val="20"/>
                <w:lang w:val="en-GB"/>
              </w:rPr>
            </w:pPr>
            <w:r w:rsidRPr="00F756EC">
              <w:rPr>
                <w:color w:val="auto"/>
                <w:sz w:val="20"/>
                <w:szCs w:val="20"/>
                <w:lang w:val="en-GB"/>
              </w:rPr>
              <w:t>Nutritionally supportive primary care environment</w:t>
            </w:r>
          </w:p>
          <w:p w:rsidR="00905EEF" w:rsidRPr="00F756EC" w:rsidRDefault="00905EEF" w:rsidP="00673D90">
            <w:pPr>
              <w:spacing w:after="200" w:line="276" w:lineRule="auto"/>
              <w:rPr>
                <w:rFonts w:ascii="Georgia" w:hAnsi="Georgia"/>
                <w:b w:val="0"/>
                <w:color w:val="auto"/>
                <w:szCs w:val="20"/>
                <w:lang w:val="en-GB"/>
              </w:rPr>
            </w:pPr>
            <w:r w:rsidRPr="00F756EC">
              <w:rPr>
                <w:rFonts w:ascii="Georgia" w:hAnsi="Georgia"/>
                <w:b w:val="0"/>
                <w:color w:val="auto"/>
                <w:szCs w:val="20"/>
                <w:lang w:val="en-GB"/>
              </w:rPr>
              <w:t>Practices reinforced messages provided by PNs by providing material (</w:t>
            </w:r>
            <w:r w:rsidR="0034188F" w:rsidRPr="00F756EC">
              <w:rPr>
                <w:rFonts w:ascii="Georgia" w:hAnsi="Georgia"/>
                <w:b w:val="0"/>
                <w:color w:val="auto"/>
                <w:szCs w:val="20"/>
                <w:lang w:val="en-GB"/>
              </w:rPr>
              <w:t>eg,</w:t>
            </w:r>
            <w:r w:rsidRPr="00F756EC">
              <w:rPr>
                <w:rFonts w:ascii="Georgia" w:hAnsi="Georgia"/>
                <w:b w:val="0"/>
                <w:color w:val="auto"/>
                <w:szCs w:val="20"/>
                <w:lang w:val="en-GB"/>
              </w:rPr>
              <w:t xml:space="preserve"> magazines, posters, leaflets) that supported reputable dietary messages and active living.</w:t>
            </w:r>
          </w:p>
          <w:p w:rsidR="00905EEF" w:rsidRPr="00F756EC" w:rsidRDefault="00905EEF" w:rsidP="00673D90">
            <w:pPr>
              <w:rPr>
                <w:rFonts w:ascii="Georgia" w:hAnsi="Georgia"/>
                <w:color w:val="auto"/>
                <w:szCs w:val="20"/>
                <w:lang w:val="en-GB"/>
              </w:rPr>
            </w:pPr>
            <w:r w:rsidRPr="00F756EC">
              <w:rPr>
                <w:rFonts w:ascii="Georgia" w:hAnsi="Georgia"/>
                <w:color w:val="auto"/>
                <w:szCs w:val="20"/>
                <w:lang w:val="en-GB"/>
              </w:rPr>
              <w:t>Community-based group nutrition education sessions</w:t>
            </w:r>
          </w:p>
          <w:p w:rsidR="00905EEF" w:rsidRPr="00F756EC" w:rsidRDefault="00DC1876" w:rsidP="00673D90">
            <w:pPr>
              <w:rPr>
                <w:rFonts w:ascii="Georgia" w:hAnsi="Georgia"/>
                <w:b w:val="0"/>
                <w:noProof/>
                <w:color w:val="auto"/>
                <w:szCs w:val="20"/>
                <w:lang w:val="en-GB"/>
              </w:rPr>
            </w:pPr>
            <w:r w:rsidRPr="00F756EC">
              <w:rPr>
                <w:rFonts w:ascii="Georgia" w:hAnsi="Georgia"/>
                <w:b w:val="0"/>
                <w:noProof/>
                <w:color w:val="auto"/>
                <w:szCs w:val="20"/>
                <w:lang w:val="en-GB"/>
              </w:rPr>
              <w:t>These were d</w:t>
            </w:r>
            <w:r w:rsidR="00905EEF" w:rsidRPr="00F756EC">
              <w:rPr>
                <w:rFonts w:ascii="Georgia" w:hAnsi="Georgia"/>
                <w:b w:val="0"/>
                <w:noProof/>
                <w:color w:val="auto"/>
                <w:szCs w:val="20"/>
                <w:lang w:val="en-GB"/>
              </w:rPr>
              <w:t>elivered by community nurses from the local Sport Hawke’s Bay</w:t>
            </w:r>
            <w:r w:rsidRPr="00F756EC">
              <w:rPr>
                <w:rFonts w:ascii="Georgia" w:hAnsi="Georgia"/>
                <w:b w:val="0"/>
                <w:noProof/>
                <w:color w:val="auto"/>
                <w:szCs w:val="20"/>
                <w:lang w:val="en-GB"/>
              </w:rPr>
              <w:t>, and consisted of s</w:t>
            </w:r>
            <w:r w:rsidR="00905EEF" w:rsidRPr="00F756EC">
              <w:rPr>
                <w:rFonts w:ascii="Georgia" w:hAnsi="Georgia"/>
                <w:b w:val="0"/>
                <w:noProof/>
                <w:color w:val="auto"/>
                <w:szCs w:val="20"/>
                <w:lang w:val="en-GB"/>
              </w:rPr>
              <w:t>ix weekly sessions lasting between 60 and 90 minutes that provided generic dietary knowledge and advice. Courses were run at different locations and different times, so as to minimise barriers for participants to attend the sessions.</w:t>
            </w:r>
          </w:p>
          <w:p w:rsidR="00905EEF" w:rsidRPr="00F756EC" w:rsidRDefault="00905EEF" w:rsidP="00673D90">
            <w:pPr>
              <w:rPr>
                <w:rFonts w:ascii="Georgia" w:hAnsi="Georgia"/>
                <w:b w:val="0"/>
                <w:noProof/>
                <w:color w:val="auto"/>
                <w:szCs w:val="20"/>
                <w:lang w:val="en-GB"/>
              </w:rPr>
            </w:pPr>
          </w:p>
          <w:p w:rsidR="00905EEF" w:rsidRPr="00F756EC" w:rsidRDefault="00905EEF" w:rsidP="00673D90">
            <w:pPr>
              <w:rPr>
                <w:rFonts w:ascii="Georgia" w:hAnsi="Georgia"/>
                <w:color w:val="auto"/>
                <w:szCs w:val="20"/>
                <w:lang w:val="en-GB"/>
              </w:rPr>
            </w:pPr>
            <w:r w:rsidRPr="00F756EC">
              <w:rPr>
                <w:rFonts w:ascii="Georgia" w:hAnsi="Georgia"/>
                <w:color w:val="auto"/>
                <w:szCs w:val="20"/>
                <w:lang w:val="en-GB"/>
              </w:rPr>
              <w:t>Written materials</w:t>
            </w:r>
          </w:p>
          <w:p w:rsidR="00905EEF" w:rsidRPr="00F756EC" w:rsidRDefault="00905EEF" w:rsidP="003F6580">
            <w:pPr>
              <w:rPr>
                <w:rFonts w:ascii="Georgia" w:hAnsi="Georgia"/>
                <w:b w:val="0"/>
                <w:color w:val="auto"/>
                <w:szCs w:val="20"/>
                <w:lang w:val="en-GB"/>
              </w:rPr>
            </w:pPr>
            <w:r w:rsidRPr="00F756EC">
              <w:rPr>
                <w:rFonts w:ascii="Georgia" w:hAnsi="Georgia"/>
                <w:b w:val="0"/>
                <w:noProof/>
                <w:color w:val="auto"/>
                <w:szCs w:val="20"/>
                <w:lang w:val="en-GB"/>
              </w:rPr>
              <w:t>Diabetes New Zealand booklet</w:t>
            </w:r>
            <w:r w:rsidR="003F6580" w:rsidRPr="00F756EC">
              <w:rPr>
                <w:rFonts w:ascii="Georgia" w:hAnsi="Georgia"/>
                <w:b w:val="0"/>
                <w:noProof/>
                <w:color w:val="auto"/>
                <w:szCs w:val="20"/>
                <w:lang w:val="en-GB"/>
              </w:rPr>
              <w:t>:</w:t>
            </w:r>
            <w:r w:rsidRPr="00F756EC">
              <w:rPr>
                <w:rFonts w:ascii="Georgia" w:hAnsi="Georgia"/>
                <w:b w:val="0"/>
                <w:noProof/>
                <w:color w:val="auto"/>
                <w:szCs w:val="20"/>
                <w:lang w:val="en-GB"/>
              </w:rPr>
              <w:t xml:space="preserve"> </w:t>
            </w:r>
            <w:r w:rsidRPr="00F756EC">
              <w:rPr>
                <w:rFonts w:ascii="Georgia" w:hAnsi="Georgia"/>
                <w:b w:val="0"/>
                <w:i/>
                <w:noProof/>
                <w:color w:val="auto"/>
                <w:szCs w:val="20"/>
                <w:lang w:val="en-GB"/>
              </w:rPr>
              <w:t>Diabetes and healthy food choices</w:t>
            </w:r>
            <w:r w:rsidR="00B50FC5" w:rsidRPr="00F756EC">
              <w:rPr>
                <w:rFonts w:ascii="Georgia" w:hAnsi="Georgia"/>
                <w:noProof/>
                <w:color w:val="auto"/>
                <w:szCs w:val="20"/>
                <w:lang w:val="en-GB"/>
              </w:rPr>
              <w:fldChar w:fldCharType="begin"/>
            </w:r>
            <w:r w:rsidR="005322FB" w:rsidRPr="00F756EC">
              <w:rPr>
                <w:rFonts w:ascii="Georgia" w:hAnsi="Georgia"/>
                <w:b w:val="0"/>
                <w:noProof/>
                <w:color w:val="auto"/>
                <w:szCs w:val="20"/>
                <w:lang w:val="en-GB"/>
              </w:rPr>
              <w:instrText xml:space="preserve"> ADDIN ZOTERO_ITEM CSL_CITATION {"citationID":"2n2o97e3ql","properties":{"formattedCitation":"{\\rtf \\super 4\\nosupersub{}}","plainCitation":"4"},"citationItems":[{"id":10172,"uris":["http://zotero.org/users/1878547/items/NJSZ9778"],"uri":["http://zotero.org/users/1878547/items/NJSZ9778"],"itemData":{"id":10172,"type":"article","title":"Diabetes and healthy food choices","publisher":"Diabetes New Zealand Inc.","URL":"http://www.diabetes.org.nz/__data/assets/pdf_file/0014/11741/Diabetes_and_healthy_food_choices_WEB.pdf","author":[{"family":"Diabetes New Zealand","given":""}],"issued":{"date-parts":[["2014",9]]},"accessed":{"date-parts":[["2016",6,24]]}}}],"schema":"https://github.com/citation-style-language/schema/raw/master/csl-citation.json"} </w:instrText>
            </w:r>
            <w:r w:rsidR="00B50FC5" w:rsidRPr="00F756EC">
              <w:rPr>
                <w:rFonts w:ascii="Georgia" w:hAnsi="Georgia"/>
                <w:noProof/>
                <w:color w:val="auto"/>
                <w:szCs w:val="20"/>
                <w:lang w:val="en-GB"/>
              </w:rPr>
              <w:fldChar w:fldCharType="separate"/>
            </w:r>
            <w:r w:rsidR="005322FB" w:rsidRPr="00F756EC">
              <w:rPr>
                <w:rFonts w:ascii="Georgia" w:hAnsi="Georgia" w:cs="Arial"/>
                <w:b w:val="0"/>
                <w:color w:val="auto"/>
                <w:szCs w:val="20"/>
                <w:vertAlign w:val="superscript"/>
                <w:lang w:val="en-GB"/>
              </w:rPr>
              <w:t>4</w:t>
            </w:r>
            <w:r w:rsidR="00B50FC5" w:rsidRPr="00F756EC">
              <w:rPr>
                <w:rFonts w:ascii="Georgia" w:hAnsi="Georgia"/>
                <w:noProof/>
                <w:color w:val="auto"/>
                <w:szCs w:val="20"/>
                <w:lang w:val="en-GB"/>
              </w:rPr>
              <w:fldChar w:fldCharType="end"/>
            </w:r>
          </w:p>
        </w:tc>
      </w:tr>
    </w:tbl>
    <w:p w:rsidR="00905EEF" w:rsidRPr="009949B9" w:rsidRDefault="00905EEF" w:rsidP="00905EEF">
      <w:pPr>
        <w:pStyle w:val="Heading4"/>
        <w:rPr>
          <w:color w:val="auto"/>
          <w:lang w:val="en-GB"/>
        </w:rPr>
      </w:pPr>
      <w:r w:rsidRPr="009949B9">
        <w:rPr>
          <w:color w:val="auto"/>
          <w:lang w:val="en-GB"/>
        </w:rPr>
        <w:t>Participants</w:t>
      </w:r>
    </w:p>
    <w:p w:rsidR="00905EEF" w:rsidRPr="009949B9" w:rsidRDefault="003F6580" w:rsidP="00FF5AC1">
      <w:pPr>
        <w:pStyle w:val="NoSpacing"/>
        <w:rPr>
          <w:color w:val="auto"/>
          <w:lang w:val="en-GB"/>
        </w:rPr>
      </w:pPr>
      <w:r>
        <w:rPr>
          <w:color w:val="auto"/>
          <w:lang w:val="en-GB"/>
        </w:rPr>
        <w:t>The programme worked with g</w:t>
      </w:r>
      <w:r w:rsidR="00905EEF" w:rsidRPr="009949B9">
        <w:rPr>
          <w:color w:val="auto"/>
          <w:lang w:val="en-GB"/>
        </w:rPr>
        <w:t xml:space="preserve">eneral </w:t>
      </w:r>
      <w:r>
        <w:rPr>
          <w:color w:val="auto"/>
          <w:lang w:val="en-GB"/>
        </w:rPr>
        <w:t>p</w:t>
      </w:r>
      <w:r w:rsidR="00905EEF" w:rsidRPr="009949B9">
        <w:rPr>
          <w:color w:val="auto"/>
          <w:lang w:val="en-GB"/>
        </w:rPr>
        <w:t>ractices to identify participants from practice management systems. Eligible participants (newly diagnosed pre</w:t>
      </w:r>
      <w:r w:rsidR="001643AF" w:rsidRPr="009949B9">
        <w:rPr>
          <w:color w:val="auto"/>
          <w:lang w:val="en-GB"/>
        </w:rPr>
        <w:t>-</w:t>
      </w:r>
      <w:r w:rsidR="00905EEF" w:rsidRPr="009949B9">
        <w:rPr>
          <w:color w:val="auto"/>
          <w:lang w:val="en-GB"/>
        </w:rPr>
        <w:t>diabet</w:t>
      </w:r>
      <w:r w:rsidR="001643AF" w:rsidRPr="009949B9">
        <w:rPr>
          <w:color w:val="auto"/>
          <w:lang w:val="en-GB"/>
        </w:rPr>
        <w:t>es</w:t>
      </w:r>
      <w:r w:rsidR="00905EEF" w:rsidRPr="009949B9">
        <w:rPr>
          <w:color w:val="auto"/>
          <w:lang w:val="en-GB"/>
        </w:rPr>
        <w:t>; aged ≤ 70 years; BMI &gt; 25kg/m</w:t>
      </w:r>
      <w:r w:rsidR="00905EEF" w:rsidRPr="009949B9">
        <w:rPr>
          <w:color w:val="auto"/>
          <w:vertAlign w:val="superscript"/>
          <w:lang w:val="en-GB"/>
        </w:rPr>
        <w:t>2</w:t>
      </w:r>
      <w:r w:rsidR="00905EEF" w:rsidRPr="009949B9">
        <w:rPr>
          <w:color w:val="auto"/>
          <w:lang w:val="en-GB"/>
        </w:rPr>
        <w:t xml:space="preserve">; not prescribed Metformin; and not pregnant) were sent a letter inviting them to participate in this </w:t>
      </w:r>
      <w:r w:rsidR="00635227" w:rsidRPr="009949B9">
        <w:rPr>
          <w:color w:val="auto"/>
          <w:lang w:val="en-GB"/>
        </w:rPr>
        <w:t>project.</w:t>
      </w:r>
    </w:p>
    <w:p w:rsidR="00905EEF" w:rsidRPr="009949B9" w:rsidRDefault="00905EEF" w:rsidP="00FF5AC1">
      <w:pPr>
        <w:pStyle w:val="NoSpacing"/>
        <w:rPr>
          <w:color w:val="auto"/>
          <w:lang w:val="en-GB"/>
        </w:rPr>
      </w:pPr>
      <w:r w:rsidRPr="009949B9">
        <w:rPr>
          <w:color w:val="auto"/>
          <w:lang w:val="en-GB"/>
        </w:rPr>
        <w:t xml:space="preserve">A total of 156 </w:t>
      </w:r>
      <w:r w:rsidR="005E67DB" w:rsidRPr="009949B9">
        <w:rPr>
          <w:color w:val="auto"/>
          <w:lang w:val="en-GB"/>
        </w:rPr>
        <w:t xml:space="preserve">eligible </w:t>
      </w:r>
      <w:r w:rsidRPr="009949B9">
        <w:rPr>
          <w:color w:val="auto"/>
          <w:lang w:val="en-GB"/>
        </w:rPr>
        <w:t>participants were enrolled</w:t>
      </w:r>
      <w:r w:rsidR="005E67DB" w:rsidRPr="009949B9">
        <w:rPr>
          <w:color w:val="auto"/>
          <w:lang w:val="en-GB"/>
        </w:rPr>
        <w:t xml:space="preserve"> (</w:t>
      </w:r>
      <w:r w:rsidR="00CB34A7" w:rsidRPr="009949B9">
        <w:rPr>
          <w:color w:val="auto"/>
          <w:lang w:val="en-GB"/>
        </w:rPr>
        <w:t>the number of potential participants this sample was d</w:t>
      </w:r>
      <w:r w:rsidR="003F6580">
        <w:rPr>
          <w:color w:val="auto"/>
          <w:lang w:val="en-GB"/>
        </w:rPr>
        <w:t>rawn from is not</w:t>
      </w:r>
      <w:r w:rsidR="00CB34A7" w:rsidRPr="009949B9">
        <w:rPr>
          <w:color w:val="auto"/>
          <w:lang w:val="en-GB"/>
        </w:rPr>
        <w:t xml:space="preserve"> stated)</w:t>
      </w:r>
      <w:r w:rsidRPr="009949B9">
        <w:rPr>
          <w:color w:val="auto"/>
          <w:lang w:val="en-GB"/>
        </w:rPr>
        <w:t>. Men comprise</w:t>
      </w:r>
      <w:r w:rsidR="00370DA5" w:rsidRPr="009949B9">
        <w:rPr>
          <w:color w:val="auto"/>
          <w:lang w:val="en-GB"/>
        </w:rPr>
        <w:t>d 53</w:t>
      </w:r>
      <w:r w:rsidR="00973820">
        <w:rPr>
          <w:color w:val="auto"/>
          <w:lang w:val="en-GB"/>
        </w:rPr>
        <w:t xml:space="preserve"> percent</w:t>
      </w:r>
      <w:r w:rsidR="00370DA5" w:rsidRPr="009949B9">
        <w:rPr>
          <w:color w:val="auto"/>
          <w:lang w:val="en-GB"/>
        </w:rPr>
        <w:t xml:space="preserve"> of the sample, 31</w:t>
      </w:r>
      <w:r w:rsidR="00973820">
        <w:rPr>
          <w:color w:val="auto"/>
          <w:lang w:val="en-GB"/>
        </w:rPr>
        <w:t xml:space="preserve"> percent</w:t>
      </w:r>
      <w:r w:rsidR="00370DA5" w:rsidRPr="009949B9">
        <w:rPr>
          <w:color w:val="auto"/>
          <w:lang w:val="en-GB"/>
        </w:rPr>
        <w:t xml:space="preserve"> were Mā</w:t>
      </w:r>
      <w:r w:rsidRPr="009949B9">
        <w:rPr>
          <w:color w:val="auto"/>
          <w:lang w:val="en-GB"/>
        </w:rPr>
        <w:t>ori, and the mean age was 5</w:t>
      </w:r>
      <w:r w:rsidR="003F6580">
        <w:rPr>
          <w:color w:val="auto"/>
          <w:lang w:val="en-GB"/>
        </w:rPr>
        <w:t>9 years. The average BMI was 34</w:t>
      </w:r>
      <w:r w:rsidR="003F6580" w:rsidRPr="009949B9">
        <w:rPr>
          <w:color w:val="auto"/>
          <w:lang w:val="en-GB"/>
        </w:rPr>
        <w:t>kg/m</w:t>
      </w:r>
      <w:r w:rsidR="003F6580" w:rsidRPr="009949B9">
        <w:rPr>
          <w:color w:val="auto"/>
          <w:vertAlign w:val="superscript"/>
          <w:lang w:val="en-GB"/>
        </w:rPr>
        <w:t>2</w:t>
      </w:r>
      <w:r w:rsidRPr="009949B9">
        <w:rPr>
          <w:color w:val="auto"/>
          <w:lang w:val="en-GB"/>
        </w:rPr>
        <w:t xml:space="preserve">, indicating that </w:t>
      </w:r>
      <w:r w:rsidR="003F6580">
        <w:rPr>
          <w:color w:val="auto"/>
          <w:lang w:val="en-GB"/>
        </w:rPr>
        <w:t>the sample was obese. Forty per</w:t>
      </w:r>
      <w:r w:rsidRPr="009949B9">
        <w:rPr>
          <w:color w:val="auto"/>
          <w:lang w:val="en-GB"/>
        </w:rPr>
        <w:t>cent had a family history of type 2 diabetes, and 18.6</w:t>
      </w:r>
      <w:r w:rsidR="00973820">
        <w:rPr>
          <w:color w:val="auto"/>
          <w:lang w:val="en-GB"/>
        </w:rPr>
        <w:t xml:space="preserve"> percent</w:t>
      </w:r>
      <w:r w:rsidRPr="009949B9">
        <w:rPr>
          <w:color w:val="auto"/>
          <w:lang w:val="en-GB"/>
        </w:rPr>
        <w:t xml:space="preserve"> were current smokers.</w:t>
      </w:r>
      <w:r w:rsidR="00242435" w:rsidRPr="009949B9">
        <w:rPr>
          <w:color w:val="auto"/>
          <w:lang w:val="en-GB"/>
        </w:rPr>
        <w:t xml:space="preserve"> Baseline data for participants from each of the inte</w:t>
      </w:r>
      <w:r w:rsidR="003F6580">
        <w:rPr>
          <w:color w:val="auto"/>
          <w:lang w:val="en-GB"/>
        </w:rPr>
        <w:t xml:space="preserve">rvention and control practices </w:t>
      </w:r>
      <w:r w:rsidR="00BE2682">
        <w:rPr>
          <w:color w:val="auto"/>
          <w:lang w:val="en-GB"/>
        </w:rPr>
        <w:t>was</w:t>
      </w:r>
      <w:r w:rsidR="00242435" w:rsidRPr="009949B9">
        <w:rPr>
          <w:color w:val="auto"/>
          <w:lang w:val="en-GB"/>
        </w:rPr>
        <w:t xml:space="preserve"> not provided in the report.</w:t>
      </w:r>
    </w:p>
    <w:p w:rsidR="005D281D" w:rsidRPr="009949B9" w:rsidRDefault="005D281D" w:rsidP="005D281D">
      <w:pPr>
        <w:pStyle w:val="NoSpacing"/>
        <w:rPr>
          <w:color w:val="auto"/>
          <w:lang w:val="en-GB"/>
        </w:rPr>
      </w:pPr>
      <w:r w:rsidRPr="009949B9">
        <w:rPr>
          <w:color w:val="auto"/>
          <w:lang w:val="en-GB"/>
        </w:rPr>
        <w:t>The total cost of the programme (excluding the evaluation) was $</w:t>
      </w:r>
      <w:r w:rsidR="00322F78" w:rsidRPr="009949B9">
        <w:rPr>
          <w:color w:val="auto"/>
          <w:lang w:val="en-GB"/>
        </w:rPr>
        <w:t>234,000</w:t>
      </w:r>
      <w:r w:rsidRPr="009949B9">
        <w:rPr>
          <w:color w:val="auto"/>
          <w:lang w:val="en-GB"/>
        </w:rPr>
        <w:t>, giving a cost pe</w:t>
      </w:r>
      <w:r w:rsidR="00322F78" w:rsidRPr="009949B9">
        <w:rPr>
          <w:color w:val="auto"/>
          <w:lang w:val="en-GB"/>
        </w:rPr>
        <w:t>r enrolled participant of $1</w:t>
      </w:r>
      <w:r w:rsidR="007F61DF" w:rsidRPr="009949B9">
        <w:rPr>
          <w:color w:val="auto"/>
          <w:lang w:val="en-GB"/>
        </w:rPr>
        <w:t>,</w:t>
      </w:r>
      <w:r w:rsidR="00322F78" w:rsidRPr="009949B9">
        <w:rPr>
          <w:color w:val="auto"/>
          <w:lang w:val="en-GB"/>
        </w:rPr>
        <w:t>500</w:t>
      </w:r>
      <w:r w:rsidRPr="009949B9">
        <w:rPr>
          <w:color w:val="auto"/>
          <w:lang w:val="en-GB"/>
        </w:rPr>
        <w:t>.</w:t>
      </w:r>
    </w:p>
    <w:p w:rsidR="00905EEF" w:rsidRPr="009949B9" w:rsidRDefault="00905EEF" w:rsidP="00905EEF">
      <w:pPr>
        <w:pStyle w:val="Heading4"/>
        <w:rPr>
          <w:color w:val="auto"/>
          <w:lang w:val="en-GB"/>
        </w:rPr>
      </w:pPr>
      <w:r w:rsidRPr="009949B9">
        <w:rPr>
          <w:color w:val="auto"/>
          <w:lang w:val="en-GB"/>
        </w:rPr>
        <w:t>Outcomes</w:t>
      </w:r>
    </w:p>
    <w:p w:rsidR="00905EEF" w:rsidRPr="009949B9" w:rsidRDefault="003F6580" w:rsidP="00FF5AC1">
      <w:pPr>
        <w:pStyle w:val="NoSpacing"/>
        <w:rPr>
          <w:color w:val="auto"/>
          <w:lang w:val="en-GB"/>
        </w:rPr>
      </w:pPr>
      <w:r>
        <w:rPr>
          <w:color w:val="auto"/>
          <w:lang w:val="en-GB"/>
        </w:rPr>
        <w:t>Data from the six</w:t>
      </w:r>
      <w:r w:rsidR="00905EEF" w:rsidRPr="009949B9">
        <w:rPr>
          <w:color w:val="auto"/>
          <w:lang w:val="en-GB"/>
        </w:rPr>
        <w:t xml:space="preserve">-month follow-up </w:t>
      </w:r>
      <w:r w:rsidR="00BE2682">
        <w:rPr>
          <w:color w:val="auto"/>
          <w:lang w:val="en-GB"/>
        </w:rPr>
        <w:t>was</w:t>
      </w:r>
      <w:r w:rsidR="00905EEF" w:rsidRPr="009949B9">
        <w:rPr>
          <w:color w:val="auto"/>
          <w:lang w:val="en-GB"/>
        </w:rPr>
        <w:t xml:space="preserve"> available for 67 and 66 of the intervention and control participants, respectively. The intervention group had a hi</w:t>
      </w:r>
      <w:r>
        <w:rPr>
          <w:color w:val="auto"/>
          <w:lang w:val="en-GB"/>
        </w:rPr>
        <w:t>gher number lost to follow-up (n</w:t>
      </w:r>
      <w:r w:rsidR="00905EEF" w:rsidRPr="009949B9">
        <w:rPr>
          <w:color w:val="auto"/>
          <w:lang w:val="en-GB"/>
        </w:rPr>
        <w:t>=18) than the control group (</w:t>
      </w:r>
      <w:r>
        <w:rPr>
          <w:color w:val="auto"/>
          <w:lang w:val="en-GB"/>
        </w:rPr>
        <w:t>n</w:t>
      </w:r>
      <w:r w:rsidR="00905EEF" w:rsidRPr="009949B9">
        <w:rPr>
          <w:color w:val="auto"/>
          <w:lang w:val="en-GB"/>
        </w:rPr>
        <w:t>=6).</w:t>
      </w:r>
    </w:p>
    <w:p w:rsidR="00905EEF" w:rsidRPr="009949B9" w:rsidRDefault="00905EEF" w:rsidP="00FF5AC1">
      <w:pPr>
        <w:pStyle w:val="NoSpacing"/>
        <w:rPr>
          <w:color w:val="auto"/>
          <w:lang w:val="en-GB"/>
        </w:rPr>
      </w:pPr>
      <w:r w:rsidRPr="009949B9">
        <w:rPr>
          <w:color w:val="auto"/>
          <w:lang w:val="en-GB"/>
        </w:rPr>
        <w:t xml:space="preserve">Of those available for </w:t>
      </w:r>
      <w:r w:rsidR="003F6580">
        <w:rPr>
          <w:color w:val="auto"/>
          <w:lang w:val="en-GB"/>
        </w:rPr>
        <w:t>six</w:t>
      </w:r>
      <w:r w:rsidRPr="009949B9">
        <w:rPr>
          <w:color w:val="auto"/>
          <w:lang w:val="en-GB"/>
        </w:rPr>
        <w:t>-month follow-up, fewer people in the intervention group progressed from pre-diabetes to diabetes (4/67; 6</w:t>
      </w:r>
      <w:r w:rsidR="00973820">
        <w:rPr>
          <w:color w:val="auto"/>
          <w:lang w:val="en-GB"/>
        </w:rPr>
        <w:t xml:space="preserve"> percent</w:t>
      </w:r>
      <w:r w:rsidRPr="009949B9">
        <w:rPr>
          <w:color w:val="auto"/>
          <w:lang w:val="en-GB"/>
        </w:rPr>
        <w:t>) than in the control group (8/66; 12</w:t>
      </w:r>
      <w:r w:rsidR="00973820">
        <w:rPr>
          <w:color w:val="auto"/>
          <w:lang w:val="en-GB"/>
        </w:rPr>
        <w:t xml:space="preserve"> percent</w:t>
      </w:r>
      <w:r w:rsidRPr="009949B9">
        <w:rPr>
          <w:color w:val="auto"/>
          <w:lang w:val="en-GB"/>
        </w:rPr>
        <w:t>). Conversely</w:t>
      </w:r>
      <w:r w:rsidR="003F6580">
        <w:rPr>
          <w:color w:val="auto"/>
          <w:lang w:val="en-GB"/>
        </w:rPr>
        <w:t>,</w:t>
      </w:r>
      <w:r w:rsidRPr="009949B9">
        <w:rPr>
          <w:color w:val="auto"/>
          <w:lang w:val="en-GB"/>
        </w:rPr>
        <w:t xml:space="preserve"> more of those in the intervention group regressed to normoglycaemia (28/67; 42</w:t>
      </w:r>
      <w:r w:rsidR="00973820">
        <w:rPr>
          <w:color w:val="auto"/>
          <w:lang w:val="en-GB"/>
        </w:rPr>
        <w:t xml:space="preserve"> percent</w:t>
      </w:r>
      <w:r w:rsidRPr="009949B9">
        <w:rPr>
          <w:color w:val="auto"/>
          <w:lang w:val="en-GB"/>
        </w:rPr>
        <w:t>) compared with the control group (24/66; 36</w:t>
      </w:r>
      <w:r w:rsidR="00973820">
        <w:rPr>
          <w:color w:val="auto"/>
          <w:lang w:val="en-GB"/>
        </w:rPr>
        <w:t xml:space="preserve"> percent</w:t>
      </w:r>
      <w:r w:rsidRPr="009949B9">
        <w:rPr>
          <w:color w:val="auto"/>
          <w:lang w:val="en-GB"/>
        </w:rPr>
        <w:t xml:space="preserve">). Similarly, </w:t>
      </w:r>
      <w:r w:rsidR="00F756EC">
        <w:rPr>
          <w:color w:val="auto"/>
          <w:lang w:val="en-GB"/>
        </w:rPr>
        <w:t xml:space="preserve">a </w:t>
      </w:r>
      <w:r w:rsidRPr="009949B9">
        <w:rPr>
          <w:color w:val="auto"/>
          <w:lang w:val="en-GB"/>
        </w:rPr>
        <w:t>greater proportion of people in the intervention group decreased their HbA1c (47/67; 70</w:t>
      </w:r>
      <w:r w:rsidR="00973820">
        <w:rPr>
          <w:color w:val="auto"/>
          <w:lang w:val="en-GB"/>
        </w:rPr>
        <w:t xml:space="preserve"> percent</w:t>
      </w:r>
      <w:r w:rsidRPr="009949B9">
        <w:rPr>
          <w:color w:val="auto"/>
          <w:lang w:val="en-GB"/>
        </w:rPr>
        <w:t>) compared to the control group (32/66; 49</w:t>
      </w:r>
      <w:r w:rsidR="00973820">
        <w:rPr>
          <w:color w:val="auto"/>
          <w:lang w:val="en-GB"/>
        </w:rPr>
        <w:t xml:space="preserve"> percent</w:t>
      </w:r>
      <w:r w:rsidRPr="009949B9">
        <w:rPr>
          <w:color w:val="auto"/>
          <w:lang w:val="en-GB"/>
        </w:rPr>
        <w:t>).</w:t>
      </w:r>
    </w:p>
    <w:p w:rsidR="00905EEF" w:rsidRPr="009949B9" w:rsidRDefault="00905EEF" w:rsidP="00C408F2">
      <w:pPr>
        <w:pStyle w:val="NoSpacing"/>
        <w:rPr>
          <w:color w:val="auto"/>
          <w:lang w:val="en-GB"/>
        </w:rPr>
      </w:pPr>
      <w:r w:rsidRPr="009949B9">
        <w:rPr>
          <w:color w:val="auto"/>
          <w:lang w:val="en-GB"/>
        </w:rPr>
        <w:t>The above analyses</w:t>
      </w:r>
      <w:r w:rsidR="00F756EC">
        <w:rPr>
          <w:color w:val="auto"/>
          <w:lang w:val="en-GB"/>
        </w:rPr>
        <w:t>,</w:t>
      </w:r>
      <w:r w:rsidRPr="009949B9">
        <w:rPr>
          <w:color w:val="auto"/>
          <w:lang w:val="en-GB"/>
        </w:rPr>
        <w:t xml:space="preserve"> however</w:t>
      </w:r>
      <w:r w:rsidR="00F756EC">
        <w:rPr>
          <w:color w:val="auto"/>
          <w:lang w:val="en-GB"/>
        </w:rPr>
        <w:t>,</w:t>
      </w:r>
      <w:r w:rsidRPr="009949B9">
        <w:rPr>
          <w:color w:val="auto"/>
          <w:lang w:val="en-GB"/>
        </w:rPr>
        <w:t xml:space="preserve"> do not take into account the people that were lost to follow-up. Using an intention to treat approach that assumes that people who were lost to follow-up did not achieve any reduction in HbA1c</w:t>
      </w:r>
      <w:r w:rsidR="00F756EC">
        <w:rPr>
          <w:color w:val="auto"/>
          <w:lang w:val="en-GB"/>
        </w:rPr>
        <w:t>,</w:t>
      </w:r>
      <w:r w:rsidRPr="009949B9">
        <w:rPr>
          <w:color w:val="auto"/>
          <w:lang w:val="en-GB"/>
        </w:rPr>
        <w:t xml:space="preserve"> the differences between groups are less. For example</w:t>
      </w:r>
      <w:r w:rsidR="00F756EC">
        <w:rPr>
          <w:color w:val="auto"/>
          <w:lang w:val="en-GB"/>
        </w:rPr>
        <w:t>,</w:t>
      </w:r>
      <w:r w:rsidR="00C408F2" w:rsidRPr="009949B9">
        <w:rPr>
          <w:color w:val="auto"/>
          <w:lang w:val="en-GB"/>
        </w:rPr>
        <w:t xml:space="preserve"> r</w:t>
      </w:r>
      <w:r w:rsidRPr="009949B9">
        <w:rPr>
          <w:color w:val="auto"/>
          <w:lang w:val="en-GB"/>
        </w:rPr>
        <w:t>egression to normoglycaemia</w:t>
      </w:r>
      <w:r w:rsidR="00C408F2" w:rsidRPr="009949B9">
        <w:rPr>
          <w:color w:val="auto"/>
          <w:lang w:val="en-GB"/>
        </w:rPr>
        <w:t xml:space="preserve"> would be 33</w:t>
      </w:r>
      <w:r w:rsidR="00973820">
        <w:rPr>
          <w:color w:val="auto"/>
          <w:lang w:val="en-GB"/>
        </w:rPr>
        <w:t xml:space="preserve"> percent</w:t>
      </w:r>
      <w:r w:rsidR="00C408F2" w:rsidRPr="009949B9">
        <w:rPr>
          <w:color w:val="auto"/>
          <w:lang w:val="en-GB"/>
        </w:rPr>
        <w:t xml:space="preserve"> (28/84) for the intervention group and 33</w:t>
      </w:r>
      <w:r w:rsidR="00973820">
        <w:rPr>
          <w:color w:val="auto"/>
          <w:lang w:val="en-GB"/>
        </w:rPr>
        <w:t xml:space="preserve"> percent</w:t>
      </w:r>
      <w:r w:rsidR="00C408F2" w:rsidRPr="009949B9">
        <w:rPr>
          <w:color w:val="auto"/>
          <w:lang w:val="en-GB"/>
        </w:rPr>
        <w:t xml:space="preserve"> (24/72) for the control group. A decrease in HbA1c would have been observed in 56</w:t>
      </w:r>
      <w:r w:rsidR="00973820">
        <w:rPr>
          <w:color w:val="auto"/>
          <w:lang w:val="en-GB"/>
        </w:rPr>
        <w:t xml:space="preserve"> percent</w:t>
      </w:r>
      <w:r w:rsidR="00C408F2" w:rsidRPr="009949B9">
        <w:rPr>
          <w:color w:val="auto"/>
          <w:lang w:val="en-GB"/>
        </w:rPr>
        <w:t xml:space="preserve"> (47/84) of the intervention group and 44</w:t>
      </w:r>
      <w:r w:rsidR="00973820">
        <w:rPr>
          <w:color w:val="auto"/>
          <w:lang w:val="en-GB"/>
        </w:rPr>
        <w:t xml:space="preserve"> percent</w:t>
      </w:r>
      <w:r w:rsidR="00C408F2" w:rsidRPr="009949B9">
        <w:rPr>
          <w:color w:val="auto"/>
          <w:lang w:val="en-GB"/>
        </w:rPr>
        <w:t xml:space="preserve"> (32/72) of the control group.</w:t>
      </w:r>
    </w:p>
    <w:p w:rsidR="00905EEF" w:rsidRPr="009949B9" w:rsidRDefault="00905EEF" w:rsidP="00FF5AC1">
      <w:pPr>
        <w:pStyle w:val="NoSpacing"/>
        <w:rPr>
          <w:color w:val="auto"/>
          <w:lang w:val="en-GB"/>
        </w:rPr>
      </w:pPr>
      <w:r w:rsidRPr="009949B9">
        <w:rPr>
          <w:color w:val="auto"/>
          <w:lang w:val="en-GB"/>
        </w:rPr>
        <w:t>P</w:t>
      </w:r>
      <w:r w:rsidR="00F756EC">
        <w:rPr>
          <w:color w:val="auto"/>
          <w:lang w:val="en-GB"/>
        </w:rPr>
        <w:t>N</w:t>
      </w:r>
      <w:r w:rsidRPr="009949B9">
        <w:rPr>
          <w:color w:val="auto"/>
          <w:lang w:val="en-GB"/>
        </w:rPr>
        <w:t>s managed to integrate the programme into their daily workload</w:t>
      </w:r>
      <w:r w:rsidR="00F756EC">
        <w:rPr>
          <w:color w:val="auto"/>
          <w:lang w:val="en-GB"/>
        </w:rPr>
        <w:t>;</w:t>
      </w:r>
      <w:r w:rsidRPr="009949B9">
        <w:rPr>
          <w:color w:val="auto"/>
          <w:lang w:val="en-GB"/>
        </w:rPr>
        <w:t xml:space="preserve"> however</w:t>
      </w:r>
      <w:r w:rsidR="00F756EC">
        <w:rPr>
          <w:color w:val="auto"/>
          <w:lang w:val="en-GB"/>
        </w:rPr>
        <w:t>,</w:t>
      </w:r>
      <w:r w:rsidRPr="009949B9">
        <w:rPr>
          <w:color w:val="auto"/>
          <w:lang w:val="en-GB"/>
        </w:rPr>
        <w:t xml:space="preserve"> follow-up of some patients was time consuming. PNs found the training helpful in empowering them to provide good dietary advice. They also commented positively on </w:t>
      </w:r>
      <w:r w:rsidRPr="009949B9">
        <w:rPr>
          <w:color w:val="auto"/>
          <w:szCs w:val="24"/>
          <w:lang w:val="en-GB"/>
        </w:rPr>
        <w:t xml:space="preserve">having access to a range of patient resources and to a nurse advisor and dietitian for additional support. </w:t>
      </w:r>
    </w:p>
    <w:p w:rsidR="00905EEF" w:rsidRPr="009949B9" w:rsidRDefault="00905EEF" w:rsidP="00FF5AC1">
      <w:pPr>
        <w:pStyle w:val="NoSpacing"/>
        <w:rPr>
          <w:color w:val="auto"/>
          <w:lang w:val="en-GB"/>
        </w:rPr>
      </w:pPr>
      <w:r w:rsidRPr="009949B9">
        <w:rPr>
          <w:color w:val="auto"/>
          <w:lang w:val="en-GB"/>
        </w:rPr>
        <w:t>The incorporation of patient goals into the practice management system helped GPs motivate their patients</w:t>
      </w:r>
      <w:r w:rsidR="00F756EC">
        <w:rPr>
          <w:color w:val="auto"/>
          <w:lang w:val="en-GB"/>
        </w:rPr>
        <w:t>,</w:t>
      </w:r>
      <w:r w:rsidRPr="009949B9">
        <w:rPr>
          <w:color w:val="auto"/>
          <w:lang w:val="en-GB"/>
        </w:rPr>
        <w:t xml:space="preserve"> and participants appreciated the input from their GP.</w:t>
      </w:r>
    </w:p>
    <w:p w:rsidR="00905EEF" w:rsidRPr="009949B9" w:rsidRDefault="00905EEF" w:rsidP="00FF5AC1">
      <w:pPr>
        <w:pStyle w:val="NoSpacing"/>
        <w:rPr>
          <w:color w:val="auto"/>
          <w:szCs w:val="24"/>
          <w:lang w:val="en-GB"/>
        </w:rPr>
      </w:pPr>
      <w:r w:rsidRPr="009949B9">
        <w:rPr>
          <w:color w:val="auto"/>
          <w:lang w:val="en-GB"/>
        </w:rPr>
        <w:t xml:space="preserve">Regarding the use of the community group sessions, these were attended by </w:t>
      </w:r>
      <w:r w:rsidRPr="009949B9">
        <w:rPr>
          <w:color w:val="auto"/>
          <w:szCs w:val="24"/>
          <w:lang w:val="en-GB"/>
        </w:rPr>
        <w:t xml:space="preserve">around half of the intervention participants, with two-thirds completing all six sessions. The process evaluation found that the interface between the PNs and group sessions could be strengthened by PNs giving a clearer explanation to participants of the role of the group support. This may have been facilitated by stronger relationships between the group educators and PNs. It was also thought that the number of group sessions could be reduced to </w:t>
      </w:r>
      <w:r w:rsidR="00F756EC">
        <w:rPr>
          <w:color w:val="auto"/>
          <w:szCs w:val="24"/>
          <w:lang w:val="en-GB"/>
        </w:rPr>
        <w:t>three or four</w:t>
      </w:r>
      <w:r w:rsidRPr="009949B9">
        <w:rPr>
          <w:color w:val="auto"/>
          <w:szCs w:val="24"/>
          <w:lang w:val="en-GB"/>
        </w:rPr>
        <w:t xml:space="preserve">, </w:t>
      </w:r>
      <w:r w:rsidR="00F756EC">
        <w:rPr>
          <w:color w:val="auto"/>
          <w:szCs w:val="24"/>
          <w:lang w:val="en-GB"/>
        </w:rPr>
        <w:t>but whilst also allowing for on</w:t>
      </w:r>
      <w:r w:rsidRPr="009949B9">
        <w:rPr>
          <w:color w:val="auto"/>
          <w:szCs w:val="24"/>
          <w:lang w:val="en-GB"/>
        </w:rPr>
        <w:t>going contact for people who want this.</w:t>
      </w:r>
    </w:p>
    <w:p w:rsidR="00905EEF" w:rsidRPr="009949B9" w:rsidRDefault="00905EEF" w:rsidP="00FF5AC1">
      <w:pPr>
        <w:pStyle w:val="NoSpacing"/>
        <w:rPr>
          <w:color w:val="auto"/>
          <w:szCs w:val="24"/>
          <w:lang w:val="en-GB"/>
        </w:rPr>
      </w:pPr>
      <w:r w:rsidRPr="009949B9">
        <w:rPr>
          <w:color w:val="auto"/>
          <w:szCs w:val="24"/>
          <w:lang w:val="en-GB"/>
        </w:rPr>
        <w:t>Participant feedback confirmed that a diagnosis of pre-diabetes was a strong trigger to act. They valued the regular contact with a trusted healthcare professional and liked the accountability of having to report back on their progress.</w:t>
      </w:r>
    </w:p>
    <w:p w:rsidR="00905EEF" w:rsidRPr="009949B9" w:rsidRDefault="00905EEF" w:rsidP="00FF5AC1">
      <w:pPr>
        <w:pStyle w:val="NoSpacing"/>
        <w:rPr>
          <w:color w:val="auto"/>
          <w:szCs w:val="24"/>
          <w:lang w:val="en-GB"/>
        </w:rPr>
      </w:pPr>
      <w:r w:rsidRPr="009949B9">
        <w:rPr>
          <w:color w:val="auto"/>
          <w:szCs w:val="24"/>
          <w:lang w:val="en-GB"/>
        </w:rPr>
        <w:t>Participants liked the programme approach that focussed on simple, achievable goals that were reviewed at follow-up. Having supportive whānau at home was also found to be helpful. They also liked the resources provided</w:t>
      </w:r>
      <w:r w:rsidR="00F756EC">
        <w:rPr>
          <w:color w:val="auto"/>
          <w:szCs w:val="24"/>
          <w:lang w:val="en-GB"/>
        </w:rPr>
        <w:t>,</w:t>
      </w:r>
      <w:r w:rsidRPr="009949B9">
        <w:rPr>
          <w:color w:val="auto"/>
          <w:szCs w:val="24"/>
          <w:lang w:val="en-GB"/>
        </w:rPr>
        <w:t xml:space="preserve"> and learning how to read food labels was popular.</w:t>
      </w:r>
    </w:p>
    <w:p w:rsidR="00905EEF" w:rsidRPr="009949B9" w:rsidRDefault="00905EEF" w:rsidP="00FF5AC1">
      <w:pPr>
        <w:pStyle w:val="NoSpacing"/>
        <w:rPr>
          <w:color w:val="auto"/>
          <w:szCs w:val="24"/>
          <w:lang w:val="en-GB"/>
        </w:rPr>
      </w:pPr>
      <w:r w:rsidRPr="009949B9">
        <w:rPr>
          <w:color w:val="auto"/>
          <w:szCs w:val="24"/>
          <w:lang w:val="en-GB"/>
        </w:rPr>
        <w:t>A number of social factors were identified as barriers to lifestyle change. These included the costs associated with buying healthy food; lack of whānau support, attending social events where you felt compelled to eat; entertaining or having visitors; and being busy with no time to plan for meals. Having other chronic health conditions was also seen as a barrier for some.</w:t>
      </w:r>
    </w:p>
    <w:p w:rsidR="008967E7" w:rsidRPr="009949B9" w:rsidRDefault="008967E7" w:rsidP="008967E7">
      <w:pPr>
        <w:pStyle w:val="Heading4"/>
        <w:rPr>
          <w:color w:val="auto"/>
          <w:lang w:val="en-GB"/>
        </w:rPr>
      </w:pPr>
      <w:r w:rsidRPr="009949B9">
        <w:rPr>
          <w:color w:val="auto"/>
          <w:lang w:val="en-GB"/>
        </w:rPr>
        <w:t>Summary</w:t>
      </w:r>
    </w:p>
    <w:p w:rsidR="008967E7" w:rsidRPr="009949B9" w:rsidRDefault="008967E7" w:rsidP="008967E7">
      <w:pPr>
        <w:pStyle w:val="NoSpacing"/>
        <w:rPr>
          <w:color w:val="auto"/>
          <w:lang w:val="en-GB"/>
        </w:rPr>
      </w:pPr>
      <w:r w:rsidRPr="009949B9">
        <w:rPr>
          <w:color w:val="auto"/>
          <w:lang w:val="en-GB"/>
        </w:rPr>
        <w:t xml:space="preserve">This project provides an example of a </w:t>
      </w:r>
      <w:r w:rsidR="00F756EC">
        <w:rPr>
          <w:color w:val="auto"/>
          <w:lang w:val="en-GB"/>
        </w:rPr>
        <w:t>PN-</w:t>
      </w:r>
      <w:r w:rsidRPr="009949B9">
        <w:rPr>
          <w:color w:val="auto"/>
          <w:lang w:val="en-GB"/>
        </w:rPr>
        <w:t>led pre-diabetes intervention delivered in a primary care setting. One of the strengths of this project is that it included a control group</w:t>
      </w:r>
      <w:r w:rsidR="002F0299" w:rsidRPr="009949B9">
        <w:rPr>
          <w:color w:val="auto"/>
          <w:lang w:val="en-GB"/>
        </w:rPr>
        <w:t xml:space="preserve"> and so comparisons could be made.</w:t>
      </w:r>
      <w:r w:rsidR="00E44837" w:rsidRPr="009949B9">
        <w:rPr>
          <w:color w:val="auto"/>
          <w:lang w:val="en-GB"/>
        </w:rPr>
        <w:t xml:space="preserve"> The pilot indicated some positive changes in clinical outcomes. </w:t>
      </w:r>
      <w:r w:rsidR="00D445E9" w:rsidRPr="009949B9">
        <w:rPr>
          <w:color w:val="auto"/>
          <w:lang w:val="en-GB"/>
        </w:rPr>
        <w:t>Limitations include small numbers of participants in each group</w:t>
      </w:r>
      <w:r w:rsidR="00E44837" w:rsidRPr="009949B9">
        <w:rPr>
          <w:color w:val="auto"/>
          <w:lang w:val="en-GB"/>
        </w:rPr>
        <w:t xml:space="preserve"> and </w:t>
      </w:r>
      <w:r w:rsidR="00D445E9" w:rsidRPr="009949B9">
        <w:rPr>
          <w:color w:val="auto"/>
          <w:lang w:val="en-GB"/>
        </w:rPr>
        <w:t xml:space="preserve">the analyses </w:t>
      </w:r>
      <w:r w:rsidR="00E44837" w:rsidRPr="009949B9">
        <w:rPr>
          <w:color w:val="auto"/>
          <w:lang w:val="en-GB"/>
        </w:rPr>
        <w:t>do not account for those people who were lost to follow-up.</w:t>
      </w: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sectPr w:rsidR="00905EEF" w:rsidRPr="009949B9" w:rsidSect="00673D90">
          <w:footnotePr>
            <w:numFmt w:val="chicago"/>
          </w:footnotePr>
          <w:pgSz w:w="11900" w:h="16840"/>
          <w:pgMar w:top="1440" w:right="1800" w:bottom="1440" w:left="1800" w:header="708" w:footer="708" w:gutter="0"/>
          <w:cols w:space="708"/>
          <w:docGrid w:linePitch="360"/>
        </w:sectPr>
      </w:pPr>
    </w:p>
    <w:p w:rsidR="00905EEF" w:rsidRPr="00F756EC" w:rsidRDefault="00905EEF" w:rsidP="00F756EC">
      <w:pPr>
        <w:pStyle w:val="Caption"/>
        <w:spacing w:before="120" w:after="120" w:line="264" w:lineRule="auto"/>
        <w:rPr>
          <w:rFonts w:ascii="Georgia" w:hAnsi="Georgia"/>
          <w:color w:val="auto"/>
          <w:sz w:val="20"/>
          <w:lang w:val="en-GB"/>
        </w:rPr>
      </w:pPr>
      <w:r w:rsidRPr="00F756EC">
        <w:rPr>
          <w:rFonts w:ascii="Georgia" w:hAnsi="Georgia"/>
          <w:color w:val="auto"/>
          <w:sz w:val="20"/>
          <w:lang w:val="en-GB"/>
        </w:rPr>
        <w:t xml:space="preserve">Table </w:t>
      </w:r>
      <w:r w:rsidR="00B50FC5" w:rsidRPr="00F756EC">
        <w:rPr>
          <w:rFonts w:ascii="Georgia" w:hAnsi="Georgia"/>
          <w:color w:val="auto"/>
          <w:sz w:val="20"/>
          <w:lang w:val="en-GB"/>
        </w:rPr>
        <w:fldChar w:fldCharType="begin"/>
      </w:r>
      <w:r w:rsidRPr="00F756EC">
        <w:rPr>
          <w:rFonts w:ascii="Georgia" w:hAnsi="Georgia"/>
          <w:color w:val="auto"/>
          <w:sz w:val="20"/>
          <w:lang w:val="en-GB"/>
        </w:rPr>
        <w:instrText xml:space="preserve"> SEQ Table \* ARABIC </w:instrText>
      </w:r>
      <w:r w:rsidR="00B50FC5" w:rsidRPr="00F756EC">
        <w:rPr>
          <w:rFonts w:ascii="Georgia" w:hAnsi="Georgia"/>
          <w:color w:val="auto"/>
          <w:sz w:val="20"/>
          <w:lang w:val="en-GB"/>
        </w:rPr>
        <w:fldChar w:fldCharType="separate"/>
      </w:r>
      <w:r w:rsidR="00A43C9A" w:rsidRPr="00F756EC">
        <w:rPr>
          <w:rFonts w:ascii="Georgia" w:hAnsi="Georgia"/>
          <w:noProof/>
          <w:color w:val="auto"/>
          <w:sz w:val="20"/>
          <w:lang w:val="en-GB"/>
        </w:rPr>
        <w:t>1</w:t>
      </w:r>
      <w:r w:rsidR="00B50FC5" w:rsidRPr="00F756EC">
        <w:rPr>
          <w:rFonts w:ascii="Georgia" w:hAnsi="Georgia"/>
          <w:color w:val="auto"/>
          <w:sz w:val="20"/>
          <w:lang w:val="en-GB"/>
        </w:rPr>
        <w:fldChar w:fldCharType="end"/>
      </w:r>
      <w:r w:rsidRPr="00F756EC">
        <w:rPr>
          <w:rFonts w:ascii="Georgia" w:hAnsi="Georgia"/>
          <w:color w:val="auto"/>
          <w:sz w:val="20"/>
          <w:lang w:val="en-GB"/>
        </w:rPr>
        <w:t xml:space="preserve">: Green Prescription Projects </w:t>
      </w:r>
    </w:p>
    <w:tbl>
      <w:tblPr>
        <w:tblStyle w:val="LightGrid-Accent5"/>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31"/>
        <w:gridCol w:w="4169"/>
        <w:gridCol w:w="3994"/>
        <w:gridCol w:w="4146"/>
      </w:tblGrid>
      <w:tr w:rsidR="00905EEF" w:rsidRPr="00F756EC" w:rsidTr="00F756EC">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rsidR="00905EEF" w:rsidRPr="00F756EC" w:rsidRDefault="00905EEF" w:rsidP="00673D90">
            <w:pPr>
              <w:rPr>
                <w:rFonts w:ascii="Georgia" w:hAnsi="Georgia" w:cs="Arial"/>
                <w:color w:val="auto"/>
                <w:szCs w:val="20"/>
                <w:lang w:val="en-GB"/>
              </w:rPr>
            </w:pPr>
            <w:r w:rsidRPr="00F756EC">
              <w:rPr>
                <w:rFonts w:ascii="Georgia" w:hAnsi="Georgia"/>
                <w:color w:val="auto"/>
                <w:szCs w:val="20"/>
                <w:lang w:val="en-GB"/>
              </w:rPr>
              <w:t>Provider</w:t>
            </w:r>
          </w:p>
        </w:tc>
        <w:tc>
          <w:tcPr>
            <w:tcW w:w="3848"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100000000000" w:firstRow="1" w:lastRow="0" w:firstColumn="0" w:lastColumn="0" w:oddVBand="0" w:evenVBand="0" w:oddHBand="0" w:evenHBand="0" w:firstRowFirstColumn="0" w:firstRowLastColumn="0" w:lastRowFirstColumn="0" w:lastRowLastColumn="0"/>
              <w:rPr>
                <w:rFonts w:ascii="Georgia" w:hAnsi="Georgia" w:cs="Lato"/>
                <w:color w:val="auto"/>
                <w:szCs w:val="20"/>
                <w:lang w:val="en-GB"/>
              </w:rPr>
            </w:pPr>
            <w:r w:rsidRPr="00F756EC">
              <w:rPr>
                <w:rFonts w:ascii="Georgia" w:hAnsi="Georgia"/>
                <w:color w:val="auto"/>
                <w:szCs w:val="20"/>
                <w:lang w:val="en-GB"/>
              </w:rPr>
              <w:t>Setting &amp; recruitment</w:t>
            </w:r>
          </w:p>
        </w:tc>
        <w:tc>
          <w:tcPr>
            <w:tcW w:w="3686"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100000000000" w:firstRow="1" w:lastRow="0" w:firstColumn="0" w:lastColumn="0" w:oddVBand="0" w:evenVBand="0" w:oddHBand="0"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Treatment</w:t>
            </w:r>
          </w:p>
        </w:tc>
        <w:tc>
          <w:tcPr>
            <w:tcW w:w="3827"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100000000000" w:firstRow="1" w:lastRow="0" w:firstColumn="0" w:lastColumn="0" w:oddVBand="0" w:evenVBand="0" w:oddHBand="0" w:evenHBand="0" w:firstRowFirstColumn="0" w:firstRowLastColumn="0" w:lastRowFirstColumn="0" w:lastRowLastColumn="0"/>
              <w:rPr>
                <w:rFonts w:ascii="Georgia" w:hAnsi="Georgia"/>
                <w:i/>
                <w:color w:val="auto"/>
                <w:szCs w:val="20"/>
                <w:lang w:val="en-GB"/>
              </w:rPr>
            </w:pPr>
            <w:r w:rsidRPr="00F756EC">
              <w:rPr>
                <w:rFonts w:ascii="Georgia" w:hAnsi="Georgia"/>
                <w:color w:val="auto"/>
                <w:szCs w:val="20"/>
                <w:lang w:val="en-GB"/>
              </w:rPr>
              <w:t>Results</w:t>
            </w:r>
          </w:p>
        </w:tc>
      </w:tr>
      <w:tr w:rsidR="00905EEF" w:rsidRPr="00F756EC" w:rsidTr="00F7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905EEF" w:rsidP="00673D90">
            <w:pPr>
              <w:rPr>
                <w:rFonts w:ascii="Georgia" w:hAnsi="Georgia" w:cs="Arial"/>
                <w:color w:val="auto"/>
                <w:szCs w:val="20"/>
                <w:lang w:val="en-GB"/>
              </w:rPr>
            </w:pPr>
            <w:r w:rsidRPr="00F756EC">
              <w:rPr>
                <w:rFonts w:ascii="Georgia" w:hAnsi="Georgia" w:cs="Arial"/>
                <w:color w:val="auto"/>
                <w:szCs w:val="20"/>
                <w:lang w:val="en-GB"/>
              </w:rPr>
              <w:t>Harbour Sport</w:t>
            </w:r>
          </w:p>
          <w:p w:rsidR="00905EEF" w:rsidRPr="00F756EC" w:rsidRDefault="00905EEF" w:rsidP="00673D90">
            <w:pPr>
              <w:rPr>
                <w:rFonts w:ascii="Georgia" w:hAnsi="Georgia" w:cs="Arial"/>
                <w:color w:val="auto"/>
                <w:szCs w:val="20"/>
                <w:lang w:val="en-GB"/>
              </w:rPr>
            </w:pPr>
          </w:p>
          <w:p w:rsidR="00905EEF" w:rsidRPr="00F756EC" w:rsidRDefault="00905EEF" w:rsidP="00673D90">
            <w:pPr>
              <w:rPr>
                <w:rFonts w:ascii="Georgia" w:hAnsi="Georgia" w:cs="Arial"/>
                <w:color w:val="auto"/>
                <w:szCs w:val="20"/>
                <w:lang w:val="en-GB"/>
              </w:rPr>
            </w:pPr>
            <w:r w:rsidRPr="00F756EC">
              <w:rPr>
                <w:rFonts w:ascii="Georgia" w:hAnsi="Georgia" w:cs="Arial"/>
                <w:color w:val="auto"/>
                <w:szCs w:val="20"/>
                <w:lang w:val="en-GB"/>
              </w:rPr>
              <w:t xml:space="preserve">The Choose Change project </w:t>
            </w:r>
          </w:p>
          <w:p w:rsidR="00905EEF" w:rsidRPr="00F756EC" w:rsidRDefault="00905EEF" w:rsidP="00673D90">
            <w:pPr>
              <w:rPr>
                <w:rFonts w:ascii="Georgia" w:hAnsi="Georgia" w:cs="Arial"/>
                <w:color w:val="auto"/>
                <w:szCs w:val="20"/>
                <w:lang w:val="en-GB"/>
              </w:rPr>
            </w:pPr>
          </w:p>
        </w:tc>
        <w:tc>
          <w:tcPr>
            <w:tcW w:w="3848"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Lato"/>
                <w:color w:val="auto"/>
                <w:szCs w:val="20"/>
                <w:lang w:val="en-GB"/>
              </w:rPr>
            </w:pPr>
            <w:r w:rsidRPr="00F756EC">
              <w:rPr>
                <w:rFonts w:ascii="Georgia" w:hAnsi="Georgia" w:cs="Lato"/>
                <w:color w:val="auto"/>
                <w:szCs w:val="20"/>
                <w:lang w:val="en-GB"/>
              </w:rPr>
              <w:t>Four regional sports trusts who each targeted one high risk ethnic group</w:t>
            </w:r>
          </w:p>
          <w:p w:rsidR="00905EEF" w:rsidRPr="00F756EC" w:rsidRDefault="00905EEF" w:rsidP="00C408F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rPr>
            </w:pPr>
            <w:r w:rsidRPr="00F756EC">
              <w:rPr>
                <w:color w:val="auto"/>
                <w:sz w:val="20"/>
              </w:rPr>
              <w:t>Counties Manukau Sport (Pacific Island</w:t>
            </w:r>
            <w:r w:rsidR="00F756EC">
              <w:rPr>
                <w:color w:val="auto"/>
                <w:sz w:val="20"/>
              </w:rPr>
              <w:t>ers</w:t>
            </w:r>
            <w:r w:rsidRPr="00F756EC">
              <w:rPr>
                <w:color w:val="auto"/>
                <w:sz w:val="20"/>
              </w:rPr>
              <w:t>)</w:t>
            </w:r>
          </w:p>
          <w:p w:rsidR="00905EEF" w:rsidRPr="00F756EC" w:rsidRDefault="00905EEF" w:rsidP="00C408F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rPr>
            </w:pPr>
            <w:r w:rsidRPr="00F756EC">
              <w:rPr>
                <w:color w:val="auto"/>
                <w:sz w:val="20"/>
              </w:rPr>
              <w:t>Harbour Sport (NZ European/</w:t>
            </w:r>
            <w:r w:rsidR="00F756EC">
              <w:rPr>
                <w:color w:val="auto"/>
                <w:sz w:val="20"/>
              </w:rPr>
              <w:t>O</w:t>
            </w:r>
            <w:r w:rsidRPr="00F756EC">
              <w:rPr>
                <w:color w:val="auto"/>
                <w:sz w:val="20"/>
              </w:rPr>
              <w:t>ther)</w:t>
            </w:r>
          </w:p>
          <w:p w:rsidR="00905EEF" w:rsidRPr="00F756EC" w:rsidRDefault="00905EEF" w:rsidP="00C408F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rPr>
            </w:pPr>
            <w:r w:rsidRPr="00F756EC">
              <w:rPr>
                <w:color w:val="auto"/>
                <w:sz w:val="20"/>
              </w:rPr>
              <w:t>Sport Auckland (South Asian)</w:t>
            </w:r>
          </w:p>
          <w:p w:rsidR="00905EEF" w:rsidRPr="00F756EC" w:rsidRDefault="00905EEF" w:rsidP="00C408F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color w:val="auto"/>
                <w:sz w:val="20"/>
              </w:rPr>
            </w:pPr>
            <w:r w:rsidRPr="00F756EC">
              <w:rPr>
                <w:color w:val="auto"/>
                <w:sz w:val="20"/>
              </w:rPr>
              <w:t>Sport Waitakere (Māori)</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Lato"/>
                <w:color w:val="auto"/>
                <w:szCs w:val="20"/>
                <w:lang w:val="en-GB"/>
              </w:rPr>
            </w:pP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Arial"/>
                <w:color w:val="auto"/>
                <w:szCs w:val="20"/>
                <w:lang w:val="en-GB"/>
              </w:rPr>
            </w:pPr>
            <w:r w:rsidRPr="00F756EC">
              <w:rPr>
                <w:rFonts w:ascii="Georgia" w:hAnsi="Georgia" w:cs="Arial"/>
                <w:color w:val="auto"/>
                <w:szCs w:val="20"/>
                <w:lang w:val="en-GB"/>
              </w:rPr>
              <w:t>Recruited anyone with BMI &gt;30</w:t>
            </w:r>
            <w:r w:rsidR="00F756EC">
              <w:rPr>
                <w:rFonts w:ascii="Georgia" w:hAnsi="Georgia" w:cs="Arial"/>
                <w:color w:val="auto"/>
                <w:szCs w:val="20"/>
                <w:lang w:val="en-GB"/>
              </w:rPr>
              <w:t>kg/m</w:t>
            </w:r>
            <w:r w:rsidR="00F756EC" w:rsidRPr="00F756EC">
              <w:rPr>
                <w:rFonts w:ascii="Georgia" w:hAnsi="Georgia" w:cs="Arial"/>
                <w:color w:val="auto"/>
                <w:szCs w:val="20"/>
                <w:vertAlign w:val="superscript"/>
                <w:lang w:val="en-GB"/>
              </w:rPr>
              <w:t>2</w:t>
            </w:r>
            <w:r w:rsidRPr="00F756EC">
              <w:rPr>
                <w:rFonts w:ascii="Georgia" w:hAnsi="Georgia" w:cs="Arial"/>
                <w:color w:val="auto"/>
                <w:szCs w:val="20"/>
                <w:lang w:val="en-GB"/>
              </w:rPr>
              <w:t xml:space="preserve"> and waist circumference &gt; 94cm/80cm (men/women, respectively).</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Arial"/>
                <w:color w:val="auto"/>
                <w:szCs w:val="20"/>
                <w:lang w:val="en-GB"/>
              </w:rPr>
            </w:pPr>
          </w:p>
          <w:p w:rsidR="00905EEF" w:rsidRPr="00F756EC" w:rsidRDefault="00905EEF" w:rsidP="00163C73">
            <w:pPr>
              <w:cnfStyle w:val="000000100000" w:firstRow="0" w:lastRow="0" w:firstColumn="0" w:lastColumn="0" w:oddVBand="0" w:evenVBand="0" w:oddHBand="1" w:evenHBand="0" w:firstRowFirstColumn="0" w:firstRowLastColumn="0" w:lastRowFirstColumn="0" w:lastRowLastColumn="0"/>
              <w:rPr>
                <w:rFonts w:ascii="Georgia" w:hAnsi="Georgia" w:cs="Lato"/>
                <w:color w:val="auto"/>
                <w:szCs w:val="20"/>
                <w:lang w:val="en-GB"/>
              </w:rPr>
            </w:pPr>
            <w:r w:rsidRPr="00F756EC">
              <w:rPr>
                <w:rFonts w:ascii="Georgia" w:hAnsi="Georgia" w:cs="Lato"/>
                <w:color w:val="auto"/>
                <w:szCs w:val="20"/>
                <w:lang w:val="en-GB"/>
              </w:rPr>
              <w:t>331 people with pre</w:t>
            </w:r>
            <w:r w:rsidR="00F756EC">
              <w:rPr>
                <w:rFonts w:ascii="Georgia" w:hAnsi="Georgia" w:cs="Lato"/>
                <w:color w:val="auto"/>
                <w:szCs w:val="20"/>
                <w:lang w:val="en-GB"/>
              </w:rPr>
              <w:t>-</w:t>
            </w:r>
            <w:r w:rsidRPr="00F756EC">
              <w:rPr>
                <w:rFonts w:ascii="Georgia" w:hAnsi="Georgia" w:cs="Lato"/>
                <w:color w:val="auto"/>
                <w:szCs w:val="20"/>
                <w:lang w:val="en-GB"/>
              </w:rPr>
              <w:t xml:space="preserve"> or type 2 diabetes were enrolled</w:t>
            </w:r>
            <w:r w:rsidR="00F756EC">
              <w:rPr>
                <w:rFonts w:ascii="Georgia" w:hAnsi="Georgia" w:cs="Lato"/>
                <w:color w:val="auto"/>
                <w:szCs w:val="20"/>
                <w:lang w:val="en-GB"/>
              </w:rPr>
              <w:t>,</w:t>
            </w:r>
            <w:r w:rsidRPr="00F756EC">
              <w:rPr>
                <w:rFonts w:ascii="Georgia" w:hAnsi="Georgia" w:cs="Lato"/>
                <w:color w:val="auto"/>
                <w:szCs w:val="20"/>
                <w:lang w:val="en-GB"/>
              </w:rPr>
              <w:t xml:space="preserve"> with 287 (87</w:t>
            </w:r>
            <w:r w:rsidR="00973820" w:rsidRPr="00F756EC">
              <w:rPr>
                <w:rFonts w:ascii="Georgia" w:hAnsi="Georgia" w:cs="Lato"/>
                <w:color w:val="auto"/>
                <w:szCs w:val="20"/>
                <w:lang w:val="en-GB"/>
              </w:rPr>
              <w:t xml:space="preserve"> percent</w:t>
            </w:r>
            <w:r w:rsidRPr="00F756EC">
              <w:rPr>
                <w:rFonts w:ascii="Georgia" w:hAnsi="Georgia" w:cs="Lato"/>
                <w:color w:val="auto"/>
                <w:szCs w:val="20"/>
                <w:lang w:val="en-GB"/>
              </w:rPr>
              <w:t>) completing t</w:t>
            </w:r>
            <w:r w:rsidR="00F756EC">
              <w:rPr>
                <w:rFonts w:ascii="Georgia" w:hAnsi="Georgia" w:cs="Lato"/>
                <w:color w:val="auto"/>
                <w:szCs w:val="20"/>
                <w:lang w:val="en-GB"/>
              </w:rPr>
              <w:t xml:space="preserve">he intensive stage (week 1-12); </w:t>
            </w:r>
            <w:r w:rsidRPr="00F756EC">
              <w:rPr>
                <w:rFonts w:ascii="Georgia" w:hAnsi="Georgia"/>
                <w:color w:val="auto"/>
                <w:szCs w:val="20"/>
                <w:lang w:val="en-GB"/>
              </w:rPr>
              <w:t>79</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were aged 50+</w:t>
            </w:r>
            <w:r w:rsidR="00F756EC">
              <w:rPr>
                <w:rFonts w:ascii="Georgia" w:hAnsi="Georgia"/>
                <w:color w:val="auto"/>
                <w:szCs w:val="20"/>
                <w:lang w:val="en-GB"/>
              </w:rPr>
              <w:t xml:space="preserve"> years</w:t>
            </w:r>
            <w:r w:rsidRPr="00F756EC">
              <w:rPr>
                <w:rFonts w:ascii="Georgia" w:hAnsi="Georgia"/>
                <w:color w:val="auto"/>
                <w:szCs w:val="20"/>
                <w:lang w:val="en-GB"/>
              </w:rPr>
              <w:t>, 63</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female.</w:t>
            </w:r>
          </w:p>
        </w:tc>
        <w:tc>
          <w:tcPr>
            <w:tcW w:w="36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 xml:space="preserve">Weekly consultations with a Healthy Lifestyle Coordinator (weeks 1-12), reducing to fortnightly (weeks 13-24). </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1:1 dietitian consulta</w:t>
            </w:r>
            <w:r w:rsidR="00754D6C" w:rsidRPr="00F756EC">
              <w:rPr>
                <w:rFonts w:ascii="Georgia" w:hAnsi="Georgia"/>
                <w:color w:val="auto"/>
                <w:szCs w:val="20"/>
                <w:lang w:val="en-GB"/>
              </w:rPr>
              <w:t>tions and nutritional workshops.</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1:1 psychology consu</w:t>
            </w:r>
            <w:r w:rsidR="00754D6C" w:rsidRPr="00F756EC">
              <w:rPr>
                <w:rFonts w:ascii="Georgia" w:hAnsi="Georgia"/>
                <w:color w:val="auto"/>
                <w:szCs w:val="20"/>
                <w:lang w:val="en-GB"/>
              </w:rPr>
              <w:t>ltations or group psychotherapy.</w:t>
            </w:r>
          </w:p>
          <w:p w:rsidR="00754D6C" w:rsidRPr="00F756EC" w:rsidRDefault="00754D6C"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Weekly exercise options, for example: low impact circuit classes, aqua and bolly aerobics, walking groups, boxing classes, sports activities</w:t>
            </w:r>
            <w:r w:rsidR="00AB05EE" w:rsidRPr="00F756EC">
              <w:rPr>
                <w:rFonts w:ascii="Georgia" w:hAnsi="Georgia"/>
                <w:color w:val="auto"/>
                <w:szCs w:val="20"/>
                <w:lang w:val="en-GB"/>
              </w:rPr>
              <w:t>, gym workouts and hydrotherapy.</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Lato"/>
                <w:color w:val="auto"/>
                <w:szCs w:val="20"/>
                <w:lang w:val="en-GB"/>
              </w:rPr>
            </w:pPr>
          </w:p>
        </w:tc>
        <w:tc>
          <w:tcPr>
            <w:tcW w:w="3827"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BA24E8"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Of those who provided blood tests</w:t>
            </w:r>
            <w:r w:rsidR="00F756EC">
              <w:rPr>
                <w:rFonts w:ascii="Georgia" w:hAnsi="Georgia"/>
                <w:color w:val="auto"/>
                <w:szCs w:val="20"/>
                <w:lang w:val="en-GB"/>
              </w:rPr>
              <w:t>,</w:t>
            </w:r>
            <w:r w:rsidRPr="00F756EC">
              <w:rPr>
                <w:rFonts w:ascii="Georgia" w:hAnsi="Georgia"/>
                <w:color w:val="auto"/>
                <w:szCs w:val="20"/>
                <w:lang w:val="en-GB"/>
              </w:rPr>
              <w:t xml:space="preserve"> </w:t>
            </w:r>
            <w:r w:rsidR="00905EEF" w:rsidRPr="00F756EC">
              <w:rPr>
                <w:rFonts w:ascii="Georgia" w:hAnsi="Georgia"/>
                <w:color w:val="auto"/>
                <w:szCs w:val="20"/>
                <w:lang w:val="en-GB"/>
              </w:rPr>
              <w:t>78</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and 80</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of participants reduced their HbA1c at 12 and 24 weeks</w:t>
            </w:r>
            <w:r w:rsidR="00F756EC">
              <w:rPr>
                <w:rFonts w:ascii="Georgia" w:hAnsi="Georgia"/>
                <w:color w:val="auto"/>
                <w:szCs w:val="20"/>
                <w:lang w:val="en-GB"/>
              </w:rPr>
              <w:t>,</w:t>
            </w:r>
            <w:r w:rsidR="00905EEF" w:rsidRPr="00F756EC">
              <w:rPr>
                <w:rFonts w:ascii="Georgia" w:hAnsi="Georgia"/>
                <w:color w:val="auto"/>
                <w:szCs w:val="20"/>
                <w:lang w:val="en-GB"/>
              </w:rPr>
              <w:t xml:space="preserve"> respectively. </w:t>
            </w:r>
          </w:p>
          <w:p w:rsidR="008C75A8" w:rsidRPr="00F756EC" w:rsidRDefault="008C75A8"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Arial"/>
                <w:i/>
                <w:color w:val="auto"/>
                <w:szCs w:val="20"/>
                <w:lang w:val="en-GB"/>
              </w:rPr>
            </w:pP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Mean HbA1c decreased in all ethnicities by a minimum of 3.3mmol/mol at 24 weeks.</w:t>
            </w:r>
            <w:r w:rsidR="008C75A8" w:rsidRPr="00F756EC">
              <w:rPr>
                <w:rFonts w:ascii="Georgia" w:hAnsi="Georgia"/>
                <w:color w:val="auto"/>
                <w:szCs w:val="20"/>
                <w:lang w:val="en-GB"/>
              </w:rPr>
              <w:t xml:space="preserve"> </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p w:rsidR="00905EEF" w:rsidRPr="00F756EC" w:rsidRDefault="00BA24E8"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 xml:space="preserve">Of those who attended the </w:t>
            </w:r>
            <w:r w:rsidR="00905EEF" w:rsidRPr="00F756EC">
              <w:rPr>
                <w:rFonts w:ascii="Georgia" w:hAnsi="Georgia"/>
                <w:color w:val="auto"/>
                <w:szCs w:val="20"/>
                <w:lang w:val="en-GB"/>
              </w:rPr>
              <w:t>24 week</w:t>
            </w:r>
            <w:r w:rsidRPr="00F756EC">
              <w:rPr>
                <w:rFonts w:ascii="Georgia" w:hAnsi="Georgia"/>
                <w:color w:val="auto"/>
                <w:szCs w:val="20"/>
                <w:lang w:val="en-GB"/>
              </w:rPr>
              <w:t xml:space="preserve"> follow-up</w:t>
            </w:r>
            <w:r w:rsidR="00F756EC">
              <w:rPr>
                <w:rFonts w:ascii="Georgia" w:hAnsi="Georgia"/>
                <w:color w:val="auto"/>
                <w:szCs w:val="20"/>
                <w:lang w:val="en-GB"/>
              </w:rPr>
              <w:t>,</w:t>
            </w:r>
            <w:r w:rsidR="00905EEF" w:rsidRPr="00F756EC">
              <w:rPr>
                <w:rFonts w:ascii="Georgia" w:hAnsi="Georgia"/>
                <w:color w:val="auto"/>
                <w:szCs w:val="20"/>
                <w:lang w:val="en-GB"/>
              </w:rPr>
              <w:t xml:space="preserve"> 81</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showed a reduction in blood pressure, 71</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showed decreased fat mass and 89</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reported increased physical activity.</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p w:rsidR="007F61DF" w:rsidRPr="00F756EC" w:rsidRDefault="007F61D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Cost per enrolment: $1,451</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tc>
      </w:tr>
      <w:tr w:rsidR="00905EEF" w:rsidRPr="00F756EC" w:rsidTr="00F7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rsidR="00905EEF" w:rsidRPr="00F756EC" w:rsidRDefault="002516B4" w:rsidP="00673D90">
            <w:pPr>
              <w:rPr>
                <w:rFonts w:ascii="Georgia" w:hAnsi="Georgia" w:cs="Arial"/>
                <w:color w:val="auto"/>
                <w:szCs w:val="20"/>
                <w:lang w:val="en-GB"/>
              </w:rPr>
            </w:pPr>
            <w:r>
              <w:rPr>
                <w:rFonts w:ascii="Georgia" w:hAnsi="Georgia" w:cs="Arial"/>
                <w:color w:val="auto"/>
                <w:szCs w:val="20"/>
                <w:lang w:val="en-GB"/>
              </w:rPr>
              <w:t>Sport</w:t>
            </w:r>
            <w:r w:rsidR="00905EEF" w:rsidRPr="00F756EC">
              <w:rPr>
                <w:rFonts w:ascii="Georgia" w:hAnsi="Georgia" w:cs="Arial"/>
                <w:color w:val="auto"/>
                <w:szCs w:val="20"/>
                <w:lang w:val="en-GB"/>
              </w:rPr>
              <w:t xml:space="preserve"> Bay of Plenty</w:t>
            </w:r>
          </w:p>
          <w:p w:rsidR="00905EEF" w:rsidRPr="00F756EC" w:rsidRDefault="00905EEF" w:rsidP="00673D90">
            <w:pPr>
              <w:rPr>
                <w:rFonts w:ascii="Georgia" w:hAnsi="Georgia" w:cs="Arial"/>
                <w:color w:val="auto"/>
                <w:szCs w:val="20"/>
                <w:lang w:val="en-GB"/>
              </w:rPr>
            </w:pPr>
          </w:p>
          <w:p w:rsidR="00905EEF" w:rsidRPr="00F756EC" w:rsidRDefault="00905EEF" w:rsidP="00673D90">
            <w:pPr>
              <w:rPr>
                <w:rFonts w:ascii="Georgia" w:hAnsi="Georgia" w:cs="Arial"/>
                <w:color w:val="auto"/>
                <w:szCs w:val="20"/>
                <w:lang w:val="en-GB"/>
              </w:rPr>
            </w:pPr>
            <w:r w:rsidRPr="00F756EC">
              <w:rPr>
                <w:rFonts w:ascii="Georgia" w:hAnsi="Georgia" w:cs="Arial"/>
                <w:color w:val="auto"/>
                <w:szCs w:val="20"/>
                <w:lang w:val="en-GB"/>
              </w:rPr>
              <w:t>Diabetes Prevention Programme</w:t>
            </w:r>
          </w:p>
        </w:tc>
        <w:tc>
          <w:tcPr>
            <w:tcW w:w="3848"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Identificatio</w:t>
            </w:r>
            <w:r w:rsidR="00AB05EE" w:rsidRPr="00F756EC">
              <w:rPr>
                <w:rFonts w:ascii="Georgia" w:hAnsi="Georgia"/>
                <w:color w:val="auto"/>
                <w:szCs w:val="20"/>
                <w:lang w:val="en-GB"/>
              </w:rPr>
              <w:t xml:space="preserve">n of pre-diabetes </w:t>
            </w:r>
            <w:r w:rsidRPr="00F756EC">
              <w:rPr>
                <w:rFonts w:ascii="Georgia" w:hAnsi="Georgia"/>
                <w:color w:val="auto"/>
                <w:szCs w:val="20"/>
                <w:lang w:val="en-GB"/>
              </w:rPr>
              <w:t>took place in the Bay of Plenty GP practices via a blood test.</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Those identified were then referred by their GP practice to the project via a secure e-referral process or hand-written referral.</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274 participants (68</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female; 65</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age 50+</w:t>
            </w:r>
            <w:r w:rsidR="00F756EC">
              <w:rPr>
                <w:rFonts w:ascii="Georgia" w:hAnsi="Georgia"/>
                <w:color w:val="auto"/>
                <w:szCs w:val="20"/>
                <w:lang w:val="en-GB"/>
              </w:rPr>
              <w:t xml:space="preserve"> years</w:t>
            </w:r>
            <w:r w:rsidRPr="00F756EC">
              <w:rPr>
                <w:rFonts w:ascii="Georgia" w:hAnsi="Georgia"/>
                <w:color w:val="auto"/>
                <w:szCs w:val="20"/>
                <w:lang w:val="en-GB"/>
              </w:rPr>
              <w:t>; 50</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Māori; 44</w:t>
            </w:r>
            <w:r w:rsidR="00973820" w:rsidRPr="00F756EC">
              <w:rPr>
                <w:rFonts w:ascii="Georgia" w:hAnsi="Georgia"/>
                <w:color w:val="auto"/>
                <w:szCs w:val="20"/>
                <w:lang w:val="en-GB"/>
              </w:rPr>
              <w:t xml:space="preserve"> percent</w:t>
            </w:r>
            <w:r w:rsidR="00B22D27">
              <w:rPr>
                <w:rFonts w:ascii="Georgia" w:hAnsi="Georgia"/>
                <w:color w:val="auto"/>
                <w:szCs w:val="20"/>
                <w:lang w:val="en-GB"/>
              </w:rPr>
              <w:t xml:space="preserve"> Pākehā) were referred;</w:t>
            </w:r>
            <w:r w:rsidRPr="00F756EC">
              <w:rPr>
                <w:rFonts w:ascii="Georgia" w:hAnsi="Georgia"/>
                <w:color w:val="auto"/>
                <w:szCs w:val="20"/>
                <w:lang w:val="en-GB"/>
              </w:rPr>
              <w:t xml:space="preserve"> 174 (64</w:t>
            </w:r>
            <w:r w:rsidR="00973820" w:rsidRPr="00F756EC">
              <w:rPr>
                <w:rFonts w:ascii="Georgia" w:hAnsi="Georgia"/>
                <w:color w:val="auto"/>
                <w:szCs w:val="20"/>
                <w:lang w:val="en-GB"/>
              </w:rPr>
              <w:t xml:space="preserve"> percent</w:t>
            </w:r>
            <w:r w:rsidR="00B22D27">
              <w:rPr>
                <w:rFonts w:ascii="Georgia" w:hAnsi="Georgia"/>
                <w:color w:val="auto"/>
                <w:szCs w:val="20"/>
                <w:lang w:val="en-GB"/>
              </w:rPr>
              <w:t>) engaged in the programme;</w:t>
            </w:r>
            <w:r w:rsidRPr="00F756EC">
              <w:rPr>
                <w:rFonts w:ascii="Georgia" w:hAnsi="Georgia"/>
                <w:color w:val="auto"/>
                <w:szCs w:val="20"/>
                <w:lang w:val="en-GB"/>
              </w:rPr>
              <w:t xml:space="preserve"> 6</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declined and the remainder could not be contacted.</w:t>
            </w:r>
          </w:p>
        </w:tc>
        <w:tc>
          <w:tcPr>
            <w:tcW w:w="3686"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s="Arial"/>
                <w:color w:val="auto"/>
                <w:szCs w:val="20"/>
                <w:lang w:val="en-GB"/>
              </w:rPr>
            </w:pPr>
            <w:r w:rsidRPr="00F756EC">
              <w:rPr>
                <w:rFonts w:ascii="Georgia" w:hAnsi="Georgia" w:cs="Arial"/>
                <w:color w:val="auto"/>
                <w:szCs w:val="20"/>
                <w:lang w:val="en-GB"/>
              </w:rPr>
              <w:t xml:space="preserve">Advisors supported clients to set and achieve nutrition and physical activity related goals. </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s="Arial"/>
                <w:color w:val="auto"/>
                <w:szCs w:val="20"/>
                <w:lang w:val="en-GB"/>
              </w:rPr>
            </w:pP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Nutrition educational sessions were offered</w:t>
            </w:r>
            <w:r w:rsidR="00F756EC">
              <w:rPr>
                <w:rFonts w:ascii="Georgia" w:hAnsi="Georgia"/>
                <w:color w:val="auto"/>
                <w:szCs w:val="20"/>
                <w:lang w:val="en-GB"/>
              </w:rPr>
              <w:t>,</w:t>
            </w:r>
            <w:r w:rsidRPr="00F756EC">
              <w:rPr>
                <w:rFonts w:ascii="Georgia" w:hAnsi="Georgia"/>
                <w:color w:val="auto"/>
                <w:szCs w:val="20"/>
                <w:lang w:val="en-GB"/>
              </w:rPr>
              <w:t xml:space="preserve"> including a n</w:t>
            </w:r>
            <w:r w:rsidR="00F756EC">
              <w:rPr>
                <w:rFonts w:ascii="Georgia" w:hAnsi="Georgia"/>
                <w:color w:val="auto"/>
                <w:szCs w:val="20"/>
                <w:lang w:val="en-GB"/>
              </w:rPr>
              <w:t xml:space="preserve">utritional workshop, one-on-one </w:t>
            </w:r>
            <w:r w:rsidRPr="00F756EC">
              <w:rPr>
                <w:rFonts w:ascii="Georgia" w:hAnsi="Georgia"/>
                <w:color w:val="auto"/>
                <w:szCs w:val="20"/>
                <w:lang w:val="en-GB"/>
              </w:rPr>
              <w:t xml:space="preserve">session with a </w:t>
            </w:r>
            <w:r w:rsidR="00F756EC">
              <w:rPr>
                <w:rFonts w:ascii="Georgia" w:hAnsi="Georgia"/>
                <w:color w:val="auto"/>
                <w:szCs w:val="20"/>
                <w:lang w:val="en-GB"/>
              </w:rPr>
              <w:t>d</w:t>
            </w:r>
            <w:r w:rsidRPr="00F756EC">
              <w:rPr>
                <w:rFonts w:ascii="Georgia" w:hAnsi="Georgia"/>
                <w:color w:val="auto"/>
                <w:szCs w:val="20"/>
                <w:lang w:val="en-GB"/>
              </w:rPr>
              <w:t xml:space="preserve">ietitian and two </w:t>
            </w:r>
            <w:r w:rsidR="00F756EC">
              <w:rPr>
                <w:rFonts w:ascii="Georgia" w:hAnsi="Georgia"/>
                <w:color w:val="auto"/>
                <w:szCs w:val="20"/>
                <w:lang w:val="en-GB"/>
              </w:rPr>
              <w:t>h</w:t>
            </w:r>
            <w:r w:rsidRPr="00F756EC">
              <w:rPr>
                <w:rFonts w:ascii="Georgia" w:hAnsi="Georgia"/>
                <w:color w:val="auto"/>
                <w:szCs w:val="20"/>
                <w:lang w:val="en-GB"/>
              </w:rPr>
              <w:t>ealthy cooking classes. Clients were offered new options and/or linked to existing physical activity</w:t>
            </w:r>
            <w:r w:rsidR="00B22D27">
              <w:rPr>
                <w:rFonts w:ascii="Georgia" w:hAnsi="Georgia"/>
                <w:color w:val="auto"/>
                <w:szCs w:val="20"/>
                <w:lang w:val="en-GB"/>
              </w:rPr>
              <w:t xml:space="preserve"> opportunities</w:t>
            </w:r>
            <w:r w:rsidRPr="00F756EC">
              <w:rPr>
                <w:rFonts w:ascii="Georgia" w:hAnsi="Georgia"/>
                <w:color w:val="auto"/>
                <w:szCs w:val="20"/>
                <w:lang w:val="en-GB"/>
              </w:rPr>
              <w:t>.</w:t>
            </w:r>
          </w:p>
          <w:p w:rsidR="00905EEF" w:rsidRPr="00F756EC" w:rsidRDefault="00905EEF" w:rsidP="00B22D27">
            <w:pPr>
              <w:cnfStyle w:val="000000010000" w:firstRow="0" w:lastRow="0" w:firstColumn="0" w:lastColumn="0" w:oddVBand="0" w:evenVBand="0" w:oddHBand="0" w:evenHBand="1" w:firstRowFirstColumn="0" w:firstRowLastColumn="0" w:lastRowFirstColumn="0" w:lastRowLastColumn="0"/>
              <w:rPr>
                <w:rFonts w:ascii="Georgia" w:hAnsi="Georgia" w:cs="Arial"/>
                <w:color w:val="auto"/>
                <w:szCs w:val="20"/>
                <w:lang w:val="en-GB"/>
              </w:rPr>
            </w:pPr>
            <w:r w:rsidRPr="00F756EC">
              <w:rPr>
                <w:rFonts w:ascii="Georgia" w:hAnsi="Georgia" w:cs="Arial"/>
                <w:color w:val="auto"/>
                <w:szCs w:val="20"/>
                <w:lang w:val="en-GB"/>
              </w:rPr>
              <w:t xml:space="preserve">Monthly follow-up meetings for up to </w:t>
            </w:r>
            <w:r w:rsidR="00B22D27">
              <w:rPr>
                <w:rFonts w:ascii="Georgia" w:hAnsi="Georgia" w:cs="Arial"/>
                <w:color w:val="auto"/>
                <w:szCs w:val="20"/>
                <w:lang w:val="en-GB"/>
              </w:rPr>
              <w:t xml:space="preserve">six </w:t>
            </w:r>
            <w:r w:rsidRPr="00F756EC">
              <w:rPr>
                <w:rFonts w:ascii="Georgia" w:hAnsi="Georgia" w:cs="Arial"/>
                <w:color w:val="auto"/>
                <w:szCs w:val="20"/>
                <w:lang w:val="en-GB"/>
              </w:rPr>
              <w:t xml:space="preserve">months, where advisors motivated and supported </w:t>
            </w:r>
            <w:r w:rsidR="00B22D27">
              <w:rPr>
                <w:rFonts w:ascii="Georgia" w:hAnsi="Georgia" w:cs="Arial"/>
                <w:color w:val="auto"/>
                <w:szCs w:val="20"/>
                <w:lang w:val="en-GB"/>
              </w:rPr>
              <w:t>participants</w:t>
            </w:r>
            <w:r w:rsidRPr="00F756EC">
              <w:rPr>
                <w:rFonts w:ascii="Georgia" w:hAnsi="Georgia" w:cs="Arial"/>
                <w:color w:val="auto"/>
                <w:szCs w:val="20"/>
                <w:lang w:val="en-GB"/>
              </w:rPr>
              <w:t xml:space="preserve"> to achieve their goals.</w:t>
            </w:r>
          </w:p>
        </w:tc>
        <w:tc>
          <w:tcPr>
            <w:tcW w:w="3827" w:type="dxa"/>
            <w:tcBorders>
              <w:top w:val="none" w:sz="0" w:space="0" w:color="auto"/>
              <w:left w:val="none" w:sz="0" w:space="0" w:color="auto"/>
              <w:bottom w:val="none" w:sz="0" w:space="0" w:color="auto"/>
              <w:right w:val="none" w:sz="0" w:space="0" w:color="auto"/>
            </w:tcBorders>
          </w:tcPr>
          <w:p w:rsidR="00905EEF" w:rsidRPr="00F756EC" w:rsidRDefault="00B22D27"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Pr>
                <w:rFonts w:ascii="Georgia" w:hAnsi="Georgia"/>
                <w:color w:val="auto"/>
                <w:szCs w:val="20"/>
                <w:lang w:val="en-GB"/>
              </w:rPr>
              <w:t xml:space="preserve">In total, </w:t>
            </w:r>
            <w:r w:rsidR="00905EEF" w:rsidRPr="00F756EC">
              <w:rPr>
                <w:rFonts w:ascii="Georgia" w:hAnsi="Georgia"/>
                <w:color w:val="auto"/>
                <w:szCs w:val="20"/>
                <w:lang w:val="en-GB"/>
              </w:rPr>
              <w:t>104 participants (60</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attended one of 19 nutritional workshops</w:t>
            </w:r>
            <w:r>
              <w:rPr>
                <w:rFonts w:ascii="Georgia" w:hAnsi="Georgia"/>
                <w:color w:val="auto"/>
                <w:szCs w:val="20"/>
                <w:lang w:val="en-GB"/>
              </w:rPr>
              <w:t xml:space="preserve">, </w:t>
            </w:r>
            <w:r w:rsidR="00905EEF" w:rsidRPr="00F756EC">
              <w:rPr>
                <w:rFonts w:ascii="Georgia" w:hAnsi="Georgia"/>
                <w:color w:val="auto"/>
                <w:szCs w:val="20"/>
                <w:lang w:val="en-GB"/>
              </w:rPr>
              <w:t>107 (61</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attended one of 23 dietitian clinics, and 137 (79</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attended one of 25 cooking classes.</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At 6 month follow-up</w:t>
            </w:r>
            <w:r w:rsidR="00B22D27">
              <w:rPr>
                <w:rFonts w:ascii="Georgia" w:hAnsi="Georgia"/>
                <w:color w:val="auto"/>
                <w:szCs w:val="20"/>
                <w:lang w:val="en-GB"/>
              </w:rPr>
              <w:t>,</w:t>
            </w:r>
            <w:r w:rsidRPr="00F756EC">
              <w:rPr>
                <w:rFonts w:ascii="Georgia" w:hAnsi="Georgia"/>
                <w:color w:val="auto"/>
                <w:szCs w:val="20"/>
                <w:lang w:val="en-GB"/>
              </w:rPr>
              <w:t xml:space="preserve"> 117 (66</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showed a decrease in HbA1c from baseline. </w:t>
            </w:r>
          </w:p>
          <w:p w:rsidR="00905EEF" w:rsidRPr="00F756EC" w:rsidRDefault="00B22D27"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Pr>
                <w:rFonts w:ascii="Georgia" w:hAnsi="Georgia"/>
                <w:color w:val="auto"/>
                <w:szCs w:val="20"/>
                <w:lang w:val="en-GB"/>
              </w:rPr>
              <w:t xml:space="preserve">At six-month follow-up, </w:t>
            </w:r>
            <w:r w:rsidR="00905EEF" w:rsidRPr="00F756EC">
              <w:rPr>
                <w:rFonts w:ascii="Georgia" w:hAnsi="Georgia"/>
                <w:color w:val="auto"/>
                <w:szCs w:val="20"/>
                <w:lang w:val="en-GB"/>
              </w:rPr>
              <w:t>130 (75</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pa</w:t>
            </w:r>
            <w:r w:rsidR="00AB05EE" w:rsidRPr="00F756EC">
              <w:rPr>
                <w:rFonts w:ascii="Georgia" w:hAnsi="Georgia"/>
                <w:color w:val="auto"/>
                <w:szCs w:val="20"/>
                <w:lang w:val="en-GB"/>
              </w:rPr>
              <w:t xml:space="preserve">rticipants </w:t>
            </w:r>
            <w:r>
              <w:rPr>
                <w:rFonts w:ascii="Georgia" w:hAnsi="Georgia"/>
                <w:color w:val="auto"/>
                <w:szCs w:val="20"/>
                <w:lang w:val="en-GB"/>
              </w:rPr>
              <w:t>were weighed:</w:t>
            </w:r>
            <w:r w:rsidR="00905EEF" w:rsidRPr="00F756EC">
              <w:rPr>
                <w:rFonts w:ascii="Georgia" w:hAnsi="Georgia"/>
                <w:color w:val="auto"/>
                <w:szCs w:val="20"/>
                <w:lang w:val="en-GB"/>
              </w:rPr>
              <w:t xml:space="preserve"> 51 (39</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lost at least 1.6kg of their baseline body weight.</w:t>
            </w:r>
          </w:p>
          <w:p w:rsidR="007F61DF" w:rsidRPr="00F756EC" w:rsidRDefault="007F61DF" w:rsidP="007F61DF">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p>
          <w:p w:rsidR="007F61DF" w:rsidRPr="00F756EC" w:rsidRDefault="007F61DF" w:rsidP="007F61DF">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Cost per enrolment: $1,891</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p>
        </w:tc>
      </w:tr>
      <w:tr w:rsidR="00905EEF" w:rsidRPr="00F756EC" w:rsidTr="00F7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905EEF" w:rsidP="00673D90">
            <w:pPr>
              <w:rPr>
                <w:rFonts w:ascii="Georgia" w:hAnsi="Georgia" w:cs="Arial"/>
                <w:color w:val="auto"/>
                <w:szCs w:val="20"/>
                <w:lang w:val="en-GB"/>
              </w:rPr>
            </w:pPr>
            <w:r w:rsidRPr="00F756EC">
              <w:rPr>
                <w:rFonts w:ascii="Georgia" w:hAnsi="Georgia" w:cs="Arial"/>
                <w:color w:val="auto"/>
                <w:szCs w:val="20"/>
                <w:lang w:val="en-GB"/>
              </w:rPr>
              <w:t>Sport Waikato, Gisborne, Tairawhiti, &amp; Taranaki</w:t>
            </w:r>
          </w:p>
          <w:p w:rsidR="00905EEF" w:rsidRPr="00F756EC" w:rsidRDefault="00905EEF" w:rsidP="00673D90">
            <w:pPr>
              <w:rPr>
                <w:rFonts w:ascii="Georgia" w:hAnsi="Georgia" w:cs="Arial"/>
                <w:color w:val="auto"/>
                <w:szCs w:val="20"/>
                <w:lang w:val="en-GB"/>
              </w:rPr>
            </w:pPr>
          </w:p>
          <w:p w:rsidR="00905EEF" w:rsidRPr="00F756EC" w:rsidRDefault="00905EEF" w:rsidP="00673D90">
            <w:pPr>
              <w:rPr>
                <w:rFonts w:ascii="Georgia" w:hAnsi="Georgia" w:cs="Arial"/>
                <w:color w:val="auto"/>
                <w:szCs w:val="20"/>
                <w:lang w:val="en-GB"/>
              </w:rPr>
            </w:pPr>
            <w:r w:rsidRPr="00F756EC">
              <w:rPr>
                <w:rFonts w:ascii="Georgia" w:hAnsi="Georgia" w:cs="Arial"/>
                <w:color w:val="auto"/>
                <w:szCs w:val="20"/>
                <w:lang w:val="en-GB"/>
              </w:rPr>
              <w:t>Energised practices</w:t>
            </w:r>
          </w:p>
        </w:tc>
        <w:tc>
          <w:tcPr>
            <w:tcW w:w="3848"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B22D27" w:rsidP="00B22D27">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Pr>
                <w:rFonts w:ascii="Georgia" w:hAnsi="Georgia"/>
                <w:color w:val="auto"/>
                <w:szCs w:val="20"/>
                <w:lang w:val="en-GB"/>
              </w:rPr>
              <w:t>L</w:t>
            </w:r>
            <w:r w:rsidRPr="00F756EC">
              <w:rPr>
                <w:rFonts w:ascii="Georgia" w:hAnsi="Georgia"/>
                <w:color w:val="auto"/>
                <w:szCs w:val="20"/>
                <w:lang w:val="en-GB"/>
              </w:rPr>
              <w:t xml:space="preserve">ite (in practice) GRx </w:t>
            </w:r>
            <w:r>
              <w:rPr>
                <w:rFonts w:ascii="Georgia" w:hAnsi="Georgia"/>
                <w:color w:val="auto"/>
                <w:szCs w:val="20"/>
                <w:lang w:val="en-GB"/>
              </w:rPr>
              <w:t xml:space="preserve">was delivered to </w:t>
            </w:r>
            <w:r w:rsidR="00905EEF" w:rsidRPr="00F756EC">
              <w:rPr>
                <w:rFonts w:ascii="Georgia" w:hAnsi="Georgia"/>
                <w:color w:val="auto"/>
                <w:szCs w:val="20"/>
                <w:lang w:val="en-GB"/>
              </w:rPr>
              <w:t>493 patients with pre-diabetes</w:t>
            </w:r>
            <w:r>
              <w:rPr>
                <w:rFonts w:ascii="Georgia" w:hAnsi="Georgia"/>
                <w:color w:val="auto"/>
                <w:szCs w:val="20"/>
                <w:lang w:val="en-GB"/>
              </w:rPr>
              <w:t xml:space="preserve"> (59 percent)</w:t>
            </w:r>
            <w:r w:rsidR="00905EEF" w:rsidRPr="00F756EC">
              <w:rPr>
                <w:rFonts w:ascii="Georgia" w:hAnsi="Georgia"/>
                <w:color w:val="auto"/>
                <w:szCs w:val="20"/>
                <w:lang w:val="en-GB"/>
              </w:rPr>
              <w:t xml:space="preserve"> or </w:t>
            </w:r>
            <w:r>
              <w:rPr>
                <w:rFonts w:ascii="Georgia" w:hAnsi="Georgia"/>
                <w:color w:val="auto"/>
                <w:szCs w:val="20"/>
                <w:lang w:val="en-GB"/>
              </w:rPr>
              <w:t xml:space="preserve">type 2 </w:t>
            </w:r>
            <w:r w:rsidR="00905EEF" w:rsidRPr="00F756EC">
              <w:rPr>
                <w:rFonts w:ascii="Georgia" w:hAnsi="Georgia"/>
                <w:color w:val="auto"/>
                <w:szCs w:val="20"/>
                <w:lang w:val="en-GB"/>
              </w:rPr>
              <w:t>diabetes</w:t>
            </w:r>
            <w:r>
              <w:rPr>
                <w:rFonts w:ascii="Georgia" w:hAnsi="Georgia"/>
                <w:color w:val="auto"/>
                <w:szCs w:val="20"/>
                <w:lang w:val="en-GB"/>
              </w:rPr>
              <w:t xml:space="preserve"> (41 percent)</w:t>
            </w:r>
            <w:r w:rsidR="00905EEF" w:rsidRPr="00F756EC">
              <w:rPr>
                <w:rFonts w:ascii="Georgia" w:hAnsi="Georgia"/>
                <w:color w:val="auto"/>
                <w:szCs w:val="20"/>
                <w:lang w:val="en-GB"/>
              </w:rPr>
              <w:t>.</w:t>
            </w:r>
            <w:r>
              <w:rPr>
                <w:rFonts w:ascii="Georgia" w:hAnsi="Georgia"/>
                <w:color w:val="auto"/>
                <w:szCs w:val="20"/>
                <w:lang w:val="en-GB"/>
              </w:rPr>
              <w:t xml:space="preserve"> Of these, </w:t>
            </w:r>
            <w:r w:rsidR="00905EEF" w:rsidRPr="00F756EC">
              <w:rPr>
                <w:rFonts w:ascii="Georgia" w:hAnsi="Georgia"/>
                <w:color w:val="auto"/>
                <w:szCs w:val="20"/>
                <w:lang w:val="en-GB"/>
              </w:rPr>
              <w:t>59</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w:t>
            </w:r>
            <w:r>
              <w:rPr>
                <w:rFonts w:ascii="Georgia" w:hAnsi="Georgia"/>
                <w:color w:val="auto"/>
                <w:szCs w:val="20"/>
                <w:lang w:val="en-GB"/>
              </w:rPr>
              <w:t xml:space="preserve">were </w:t>
            </w:r>
            <w:r w:rsidR="00905EEF" w:rsidRPr="00F756EC">
              <w:rPr>
                <w:rFonts w:ascii="Georgia" w:hAnsi="Georgia"/>
                <w:color w:val="auto"/>
                <w:szCs w:val="20"/>
                <w:lang w:val="en-GB"/>
              </w:rPr>
              <w:t>female</w:t>
            </w:r>
            <w:r>
              <w:rPr>
                <w:rFonts w:ascii="Georgia" w:hAnsi="Georgia"/>
                <w:color w:val="auto"/>
                <w:szCs w:val="20"/>
                <w:lang w:val="en-GB"/>
              </w:rPr>
              <w:t>;</w:t>
            </w:r>
            <w:r w:rsidR="00905EEF" w:rsidRPr="00F756EC">
              <w:rPr>
                <w:rFonts w:ascii="Georgia" w:hAnsi="Georgia"/>
                <w:color w:val="auto"/>
                <w:szCs w:val="20"/>
                <w:lang w:val="en-GB"/>
              </w:rPr>
              <w:t xml:space="preserve"> 70</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aged 50+</w:t>
            </w:r>
            <w:r>
              <w:rPr>
                <w:rFonts w:ascii="Georgia" w:hAnsi="Georgia"/>
                <w:color w:val="auto"/>
                <w:szCs w:val="20"/>
                <w:lang w:val="en-GB"/>
              </w:rPr>
              <w:t xml:space="preserve"> years</w:t>
            </w:r>
            <w:r w:rsidR="00905EEF" w:rsidRPr="00F756EC">
              <w:rPr>
                <w:rFonts w:ascii="Georgia" w:hAnsi="Georgia"/>
                <w:color w:val="auto"/>
                <w:szCs w:val="20"/>
                <w:lang w:val="en-GB"/>
              </w:rPr>
              <w:t>, 60</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NZ European, 29</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Māori, 2</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Pac</w:t>
            </w:r>
            <w:r w:rsidR="00A16744" w:rsidRPr="00F756EC">
              <w:rPr>
                <w:rFonts w:ascii="Georgia" w:hAnsi="Georgia"/>
                <w:color w:val="auto"/>
                <w:szCs w:val="20"/>
                <w:lang w:val="en-GB"/>
              </w:rPr>
              <w:t xml:space="preserve">ific. </w:t>
            </w:r>
          </w:p>
        </w:tc>
        <w:tc>
          <w:tcPr>
            <w:tcW w:w="368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s="Arial"/>
                <w:color w:val="auto"/>
                <w:szCs w:val="20"/>
                <w:lang w:val="en-GB"/>
              </w:rPr>
              <w:t>Focussed on providing</w:t>
            </w:r>
            <w:r w:rsidR="00B22D27">
              <w:rPr>
                <w:rFonts w:ascii="Georgia" w:hAnsi="Georgia"/>
                <w:color w:val="auto"/>
                <w:szCs w:val="20"/>
                <w:lang w:val="en-GB"/>
              </w:rPr>
              <w:t xml:space="preserve"> GPs/PNs</w:t>
            </w:r>
            <w:r w:rsidRPr="00F756EC">
              <w:rPr>
                <w:rFonts w:ascii="Georgia" w:hAnsi="Georgia"/>
                <w:color w:val="auto"/>
                <w:szCs w:val="20"/>
                <w:lang w:val="en-GB"/>
              </w:rPr>
              <w:t xml:space="preserve"> information, support, training, advice, resources and other activities designed to assist them in providing healthy lifestyle advice to patients.</w:t>
            </w:r>
          </w:p>
          <w:p w:rsidR="00905EEF" w:rsidRPr="00F756EC"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s="Arial"/>
                <w:color w:val="auto"/>
                <w:szCs w:val="20"/>
                <w:lang w:val="en-GB"/>
              </w:rPr>
            </w:pPr>
            <w:r w:rsidRPr="00F756EC">
              <w:rPr>
                <w:rFonts w:ascii="Georgia" w:hAnsi="Georgia"/>
                <w:color w:val="auto"/>
                <w:szCs w:val="20"/>
                <w:lang w:val="en-GB"/>
              </w:rPr>
              <w:t>The support was provided by Energizers. The Energisers worked on engaging the practices and assisting them in developing activities to meet local need.</w:t>
            </w:r>
          </w:p>
        </w:tc>
        <w:tc>
          <w:tcPr>
            <w:tcW w:w="3827"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F756EC" w:rsidRDefault="00D52C7D"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Pr>
                <w:rFonts w:ascii="Georgia" w:hAnsi="Georgia"/>
                <w:color w:val="auto"/>
                <w:szCs w:val="20"/>
                <w:lang w:val="en-GB"/>
              </w:rPr>
              <w:t>Most (</w:t>
            </w:r>
            <w:r w:rsidR="00905EEF" w:rsidRPr="00F756EC">
              <w:rPr>
                <w:rFonts w:ascii="Georgia" w:hAnsi="Georgia"/>
                <w:color w:val="auto"/>
                <w:szCs w:val="20"/>
                <w:lang w:val="en-GB"/>
              </w:rPr>
              <w:t>36 of 37</w:t>
            </w:r>
            <w:r>
              <w:rPr>
                <w:rFonts w:ascii="Georgia" w:hAnsi="Georgia"/>
                <w:color w:val="auto"/>
                <w:szCs w:val="20"/>
                <w:lang w:val="en-GB"/>
              </w:rPr>
              <w:t>)</w:t>
            </w:r>
            <w:r w:rsidR="00905EEF" w:rsidRPr="00F756EC">
              <w:rPr>
                <w:rFonts w:ascii="Georgia" w:hAnsi="Georgia"/>
                <w:color w:val="auto"/>
                <w:szCs w:val="20"/>
                <w:lang w:val="en-GB"/>
              </w:rPr>
              <w:t xml:space="preserve"> practices targeted were enrolled.</w:t>
            </w:r>
            <w:r>
              <w:rPr>
                <w:rFonts w:ascii="Georgia" w:hAnsi="Georgia"/>
                <w:color w:val="auto"/>
                <w:szCs w:val="20"/>
                <w:lang w:val="en-GB"/>
              </w:rPr>
              <w:t xml:space="preserve"> Of these, </w:t>
            </w:r>
            <w:r w:rsidR="00905EEF" w:rsidRPr="00F756EC">
              <w:rPr>
                <w:rFonts w:ascii="Georgia" w:hAnsi="Georgia"/>
                <w:color w:val="auto"/>
                <w:szCs w:val="20"/>
                <w:lang w:val="en-GB"/>
              </w:rPr>
              <w:t>73</w:t>
            </w:r>
            <w:r w:rsidR="00973820" w:rsidRPr="00F756EC">
              <w:rPr>
                <w:rFonts w:ascii="Georgia" w:hAnsi="Georgia"/>
                <w:color w:val="auto"/>
                <w:szCs w:val="20"/>
                <w:lang w:val="en-GB"/>
              </w:rPr>
              <w:t xml:space="preserve"> percent</w:t>
            </w:r>
            <w:r w:rsidR="00905EEF" w:rsidRPr="00F756EC">
              <w:rPr>
                <w:rFonts w:ascii="Georgia" w:hAnsi="Georgia"/>
                <w:color w:val="auto"/>
                <w:szCs w:val="20"/>
                <w:lang w:val="en-GB"/>
              </w:rPr>
              <w:t xml:space="preserve"> increased the number of GRx referrals.</w:t>
            </w:r>
            <w:r w:rsidR="00566FBF" w:rsidRPr="00F756EC">
              <w:rPr>
                <w:rFonts w:ascii="Georgia" w:hAnsi="Georgia"/>
                <w:color w:val="auto"/>
                <w:szCs w:val="20"/>
                <w:lang w:val="en-GB"/>
              </w:rPr>
              <w:t xml:space="preserve"> </w:t>
            </w:r>
            <w:r w:rsidR="00905EEF" w:rsidRPr="00F756EC">
              <w:rPr>
                <w:rFonts w:ascii="Georgia" w:hAnsi="Georgia"/>
                <w:color w:val="auto"/>
                <w:szCs w:val="20"/>
                <w:lang w:val="en-GB"/>
              </w:rPr>
              <w:t>Among the 24 fully engaged practices</w:t>
            </w:r>
            <w:r>
              <w:rPr>
                <w:rFonts w:ascii="Georgia" w:hAnsi="Georgia"/>
                <w:color w:val="auto"/>
                <w:szCs w:val="20"/>
                <w:lang w:val="en-GB"/>
              </w:rPr>
              <w:t>,</w:t>
            </w:r>
            <w:r w:rsidR="00905EEF" w:rsidRPr="00F756EC">
              <w:rPr>
                <w:rFonts w:ascii="Georgia" w:hAnsi="Georgia"/>
                <w:color w:val="auto"/>
                <w:szCs w:val="20"/>
                <w:lang w:val="en-GB"/>
              </w:rPr>
              <w:t xml:space="preserve"> there was a mean increase of 33 referrals to standard GRx compared with baseline.</w:t>
            </w:r>
          </w:p>
          <w:p w:rsidR="00905EEF" w:rsidRDefault="00905EEF"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Anecdotal data suggest</w:t>
            </w:r>
            <w:r w:rsidR="00BE2682">
              <w:rPr>
                <w:rFonts w:ascii="Georgia" w:hAnsi="Georgia"/>
                <w:color w:val="auto"/>
                <w:szCs w:val="20"/>
                <w:lang w:val="en-GB"/>
              </w:rPr>
              <w:t>s</w:t>
            </w:r>
            <w:r w:rsidRPr="00F756EC">
              <w:rPr>
                <w:rFonts w:ascii="Georgia" w:hAnsi="Georgia"/>
                <w:color w:val="auto"/>
                <w:szCs w:val="20"/>
                <w:lang w:val="en-GB"/>
              </w:rPr>
              <w:t xml:space="preserve"> that some people lost weight and reduced HbA1c.</w:t>
            </w:r>
          </w:p>
          <w:p w:rsidR="00D52C7D" w:rsidRPr="00F756EC" w:rsidRDefault="00D52C7D"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p>
          <w:p w:rsidR="007F61DF" w:rsidRPr="00F756EC" w:rsidRDefault="00DA02CD" w:rsidP="00673D90">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Cost per enrolment: $872</w:t>
            </w:r>
          </w:p>
        </w:tc>
      </w:tr>
      <w:tr w:rsidR="00905EEF" w:rsidRPr="00F756EC" w:rsidTr="00DE60B1">
        <w:trPr>
          <w:cnfStyle w:val="000000010000" w:firstRow="0" w:lastRow="0" w:firstColumn="0" w:lastColumn="0" w:oddVBand="0" w:evenVBand="0" w:oddHBand="0" w:evenHBand="1" w:firstRowFirstColumn="0" w:firstRowLastColumn="0" w:lastRowFirstColumn="0" w:lastRowLastColumn="0"/>
          <w:trHeight w:val="3491"/>
        </w:trPr>
        <w:tc>
          <w:tcPr>
            <w:cnfStyle w:val="001000000000" w:firstRow="0" w:lastRow="0" w:firstColumn="1" w:lastColumn="0" w:oddVBand="0"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rsidR="00905EEF" w:rsidRPr="00F756EC" w:rsidRDefault="00905EEF" w:rsidP="00673D90">
            <w:pPr>
              <w:rPr>
                <w:rFonts w:ascii="Georgia" w:hAnsi="Georgia"/>
                <w:color w:val="auto"/>
                <w:szCs w:val="20"/>
                <w:lang w:val="en-GB"/>
              </w:rPr>
            </w:pPr>
            <w:r w:rsidRPr="00F756EC">
              <w:rPr>
                <w:rFonts w:ascii="Georgia" w:hAnsi="Georgia"/>
                <w:color w:val="auto"/>
                <w:szCs w:val="20"/>
                <w:lang w:val="en-GB"/>
              </w:rPr>
              <w:t>Health Hawkes Bay</w:t>
            </w:r>
          </w:p>
          <w:p w:rsidR="00905EEF" w:rsidRPr="00F756EC" w:rsidRDefault="00905EEF" w:rsidP="00673D90">
            <w:pPr>
              <w:rPr>
                <w:rFonts w:ascii="Georgia" w:hAnsi="Georgia"/>
                <w:color w:val="auto"/>
                <w:szCs w:val="20"/>
                <w:lang w:val="en-GB"/>
              </w:rPr>
            </w:pPr>
          </w:p>
          <w:p w:rsidR="00905EEF" w:rsidRPr="00F756EC" w:rsidRDefault="00905EEF" w:rsidP="00673D90">
            <w:pPr>
              <w:rPr>
                <w:rFonts w:ascii="Georgia" w:hAnsi="Georgia" w:cs="Arial"/>
                <w:color w:val="auto"/>
                <w:szCs w:val="20"/>
                <w:lang w:val="en-GB"/>
              </w:rPr>
            </w:pPr>
            <w:r w:rsidRPr="00F756EC">
              <w:rPr>
                <w:rFonts w:ascii="Georgia" w:hAnsi="Georgia"/>
                <w:color w:val="auto"/>
                <w:szCs w:val="20"/>
                <w:lang w:val="en-GB"/>
              </w:rPr>
              <w:t>Pre-diabetes lifestyle support programme</w:t>
            </w:r>
          </w:p>
        </w:tc>
        <w:tc>
          <w:tcPr>
            <w:tcW w:w="3848" w:type="dxa"/>
            <w:tcBorders>
              <w:top w:val="none" w:sz="0" w:space="0" w:color="auto"/>
              <w:left w:val="none" w:sz="0" w:space="0" w:color="auto"/>
              <w:bottom w:val="none" w:sz="0" w:space="0" w:color="auto"/>
              <w:right w:val="none" w:sz="0" w:space="0" w:color="auto"/>
            </w:tcBorders>
          </w:tcPr>
          <w:p w:rsidR="00905EEF" w:rsidRPr="00F756EC" w:rsidRDefault="00905EEF" w:rsidP="00673D90">
            <w:pPr>
              <w:spacing w:after="200"/>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Eligible participants (newly diagnosed pre</w:t>
            </w:r>
            <w:r w:rsidR="00566FBF" w:rsidRPr="00F756EC">
              <w:rPr>
                <w:rFonts w:ascii="Georgia" w:hAnsi="Georgia"/>
                <w:color w:val="auto"/>
                <w:szCs w:val="20"/>
                <w:lang w:val="en-GB"/>
              </w:rPr>
              <w:t>-</w:t>
            </w:r>
            <w:r w:rsidRPr="00F756EC">
              <w:rPr>
                <w:rFonts w:ascii="Georgia" w:hAnsi="Georgia"/>
                <w:color w:val="auto"/>
                <w:szCs w:val="20"/>
                <w:lang w:val="en-GB"/>
              </w:rPr>
              <w:t>diabet</w:t>
            </w:r>
            <w:r w:rsidR="00566FBF" w:rsidRPr="00F756EC">
              <w:rPr>
                <w:rFonts w:ascii="Georgia" w:hAnsi="Georgia"/>
                <w:color w:val="auto"/>
                <w:szCs w:val="20"/>
                <w:lang w:val="en-GB"/>
              </w:rPr>
              <w:t>es</w:t>
            </w:r>
            <w:r w:rsidRPr="00F756EC">
              <w:rPr>
                <w:rFonts w:ascii="Georgia" w:hAnsi="Georgia"/>
                <w:color w:val="auto"/>
                <w:szCs w:val="20"/>
                <w:lang w:val="en-GB"/>
              </w:rPr>
              <w:t>; aged ≤ 70 years; BMI &gt; 25kg/m</w:t>
            </w:r>
            <w:r w:rsidRPr="00F756EC">
              <w:rPr>
                <w:rFonts w:ascii="Georgia" w:hAnsi="Georgia"/>
                <w:color w:val="auto"/>
                <w:szCs w:val="20"/>
                <w:vertAlign w:val="superscript"/>
                <w:lang w:val="en-GB"/>
              </w:rPr>
              <w:t>2</w:t>
            </w:r>
            <w:r w:rsidR="00566FBF" w:rsidRPr="00F756EC">
              <w:rPr>
                <w:rFonts w:ascii="Georgia" w:hAnsi="Georgia"/>
                <w:color w:val="auto"/>
                <w:szCs w:val="20"/>
                <w:lang w:val="en-GB"/>
              </w:rPr>
              <w:t>; not prescribed m</w:t>
            </w:r>
            <w:r w:rsidRPr="00F756EC">
              <w:rPr>
                <w:rFonts w:ascii="Georgia" w:hAnsi="Georgia"/>
                <w:color w:val="auto"/>
                <w:szCs w:val="20"/>
                <w:lang w:val="en-GB"/>
              </w:rPr>
              <w:t>etformin; and not pregnant) were identified from GP practice management systems. Two practices provided the intervention and two provided usual care.</w:t>
            </w:r>
          </w:p>
          <w:p w:rsidR="00905EEF" w:rsidRPr="00F756EC" w:rsidRDefault="00905EEF" w:rsidP="00B22D27">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156 participants were enrolled: 53</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male; 31</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Maori; mean age 59 years; mean BMI 34 kg/m</w:t>
            </w:r>
            <w:r w:rsidRPr="00F756EC">
              <w:rPr>
                <w:rFonts w:ascii="Georgia" w:hAnsi="Georgia"/>
                <w:color w:val="auto"/>
                <w:szCs w:val="20"/>
                <w:vertAlign w:val="superscript"/>
                <w:lang w:val="en-GB"/>
              </w:rPr>
              <w:t>2</w:t>
            </w:r>
          </w:p>
        </w:tc>
        <w:tc>
          <w:tcPr>
            <w:tcW w:w="3686"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s="Arial"/>
                <w:color w:val="auto"/>
                <w:szCs w:val="20"/>
                <w:lang w:val="en-GB"/>
              </w:rPr>
            </w:pPr>
            <w:r w:rsidRPr="00F756EC">
              <w:rPr>
                <w:rFonts w:ascii="Georgia" w:hAnsi="Georgia" w:cs="Arial"/>
                <w:b/>
                <w:color w:val="auto"/>
                <w:szCs w:val="20"/>
                <w:lang w:val="en-GB"/>
              </w:rPr>
              <w:t xml:space="preserve">Intervention: </w:t>
            </w:r>
            <w:r w:rsidRPr="00F756EC">
              <w:rPr>
                <w:rFonts w:ascii="Georgia" w:hAnsi="Georgia" w:cs="Arial"/>
                <w:color w:val="auto"/>
                <w:szCs w:val="20"/>
                <w:lang w:val="en-GB"/>
              </w:rPr>
              <w:t>P</w:t>
            </w:r>
            <w:r w:rsidR="00B22D27">
              <w:rPr>
                <w:rFonts w:ascii="Georgia" w:hAnsi="Georgia" w:cs="Arial"/>
                <w:color w:val="auto"/>
                <w:szCs w:val="20"/>
                <w:lang w:val="en-GB"/>
              </w:rPr>
              <w:t>N</w:t>
            </w:r>
            <w:r w:rsidRPr="00F756EC">
              <w:rPr>
                <w:rFonts w:ascii="Georgia" w:hAnsi="Georgia" w:cs="Arial"/>
                <w:color w:val="auto"/>
                <w:szCs w:val="20"/>
                <w:lang w:val="en-GB"/>
              </w:rPr>
              <w:t>s trained to give dietary advice and set goals to participants in an initial 30 min session and then 3 x 15 min</w:t>
            </w:r>
            <w:r w:rsidR="00B22D27">
              <w:rPr>
                <w:rFonts w:ascii="Georgia" w:hAnsi="Georgia" w:cs="Arial"/>
                <w:color w:val="auto"/>
                <w:szCs w:val="20"/>
                <w:lang w:val="en-GB"/>
              </w:rPr>
              <w:t>ute</w:t>
            </w:r>
            <w:r w:rsidRPr="00F756EC">
              <w:rPr>
                <w:rFonts w:ascii="Georgia" w:hAnsi="Georgia" w:cs="Arial"/>
                <w:color w:val="auto"/>
                <w:szCs w:val="20"/>
                <w:lang w:val="en-GB"/>
              </w:rPr>
              <w:t xml:space="preserve"> follow-up sessions (up to </w:t>
            </w:r>
            <w:r w:rsidR="00B22D27">
              <w:rPr>
                <w:rFonts w:ascii="Georgia" w:hAnsi="Georgia" w:cs="Arial"/>
                <w:color w:val="auto"/>
                <w:szCs w:val="20"/>
                <w:lang w:val="en-GB"/>
              </w:rPr>
              <w:t>six</w:t>
            </w:r>
            <w:r w:rsidR="00D52C7D">
              <w:rPr>
                <w:rFonts w:ascii="Georgia" w:hAnsi="Georgia" w:cs="Arial"/>
                <w:color w:val="auto"/>
                <w:szCs w:val="20"/>
                <w:lang w:val="en-GB"/>
              </w:rPr>
              <w:t xml:space="preserve"> months). They a</w:t>
            </w:r>
            <w:r w:rsidRPr="00F756EC">
              <w:rPr>
                <w:rFonts w:ascii="Georgia" w:hAnsi="Georgia" w:cs="Arial"/>
                <w:color w:val="auto"/>
                <w:szCs w:val="20"/>
                <w:lang w:val="en-GB"/>
              </w:rPr>
              <w:t>lso referred patients to 6 x 60-90 min</w:t>
            </w:r>
            <w:r w:rsidR="00B22D27">
              <w:rPr>
                <w:rFonts w:ascii="Georgia" w:hAnsi="Georgia" w:cs="Arial"/>
                <w:color w:val="auto"/>
                <w:szCs w:val="20"/>
                <w:lang w:val="en-GB"/>
              </w:rPr>
              <w:t>ute group-</w:t>
            </w:r>
            <w:r w:rsidRPr="00F756EC">
              <w:rPr>
                <w:rFonts w:ascii="Georgia" w:hAnsi="Georgia" w:cs="Arial"/>
                <w:color w:val="auto"/>
                <w:szCs w:val="20"/>
                <w:lang w:val="en-GB"/>
              </w:rPr>
              <w:t>based educational sessions</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s="Arial"/>
                <w:color w:val="auto"/>
                <w:szCs w:val="20"/>
                <w:lang w:val="en-GB"/>
              </w:rPr>
            </w:pPr>
            <w:r w:rsidRPr="00F756EC">
              <w:rPr>
                <w:rFonts w:ascii="Georgia" w:hAnsi="Georgia" w:cs="Arial"/>
                <w:b/>
                <w:color w:val="auto"/>
                <w:szCs w:val="20"/>
                <w:lang w:val="en-GB"/>
              </w:rPr>
              <w:t>Usual care</w:t>
            </w:r>
            <w:r w:rsidRPr="00F756EC">
              <w:rPr>
                <w:rFonts w:ascii="Georgia" w:hAnsi="Georgia" w:cs="Arial"/>
                <w:color w:val="auto"/>
                <w:szCs w:val="20"/>
                <w:lang w:val="en-GB"/>
              </w:rPr>
              <w:t>: usual dietary advice.</w:t>
            </w:r>
          </w:p>
        </w:tc>
        <w:tc>
          <w:tcPr>
            <w:tcW w:w="3827" w:type="dxa"/>
            <w:tcBorders>
              <w:top w:val="none" w:sz="0" w:space="0" w:color="auto"/>
              <w:left w:val="none" w:sz="0" w:space="0" w:color="auto"/>
              <w:bottom w:val="none" w:sz="0" w:space="0" w:color="auto"/>
              <w:right w:val="none" w:sz="0" w:space="0" w:color="auto"/>
            </w:tcBorders>
          </w:tcPr>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 xml:space="preserve">The results for the intervention vs. control </w:t>
            </w:r>
            <w:r w:rsidR="00BA24E8" w:rsidRPr="00F756EC">
              <w:rPr>
                <w:rFonts w:ascii="Georgia" w:hAnsi="Georgia"/>
                <w:color w:val="auto"/>
                <w:szCs w:val="20"/>
                <w:lang w:val="en-GB"/>
              </w:rPr>
              <w:t xml:space="preserve">in those who attended follow-up </w:t>
            </w:r>
            <w:r w:rsidRPr="00F756EC">
              <w:rPr>
                <w:rFonts w:ascii="Georgia" w:hAnsi="Georgia"/>
                <w:color w:val="auto"/>
                <w:szCs w:val="20"/>
                <w:lang w:val="en-GB"/>
              </w:rPr>
              <w:t>were as follows:</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Progression from pre-diabetes to diabetes:</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6</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(4/67) vs. 12</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(8/66)</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Regression to normoglycaemia:</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42</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(28/67) vs. 36</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(24/66)</w:t>
            </w:r>
          </w:p>
          <w:p w:rsidR="00905EEF" w:rsidRPr="00F756EC"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 xml:space="preserve">Decreased HbA1c </w:t>
            </w:r>
          </w:p>
          <w:p w:rsidR="00905EEF" w:rsidRDefault="00905EE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70</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(47/67) vs. 49</w:t>
            </w:r>
            <w:r w:rsidR="00973820" w:rsidRPr="00F756EC">
              <w:rPr>
                <w:rFonts w:ascii="Georgia" w:hAnsi="Georgia"/>
                <w:color w:val="auto"/>
                <w:szCs w:val="20"/>
                <w:lang w:val="en-GB"/>
              </w:rPr>
              <w:t xml:space="preserve"> percent</w:t>
            </w:r>
            <w:r w:rsidRPr="00F756EC">
              <w:rPr>
                <w:rFonts w:ascii="Georgia" w:hAnsi="Georgia"/>
                <w:color w:val="auto"/>
                <w:szCs w:val="20"/>
                <w:lang w:val="en-GB"/>
              </w:rPr>
              <w:t xml:space="preserve"> (32/66)</w:t>
            </w:r>
          </w:p>
          <w:p w:rsidR="00D52C7D" w:rsidRPr="00F756EC" w:rsidRDefault="00D52C7D"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p>
          <w:p w:rsidR="00905EEF" w:rsidRPr="00F756EC" w:rsidRDefault="007F61DF" w:rsidP="00673D90">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F756EC">
              <w:rPr>
                <w:rFonts w:ascii="Georgia" w:hAnsi="Georgia"/>
                <w:color w:val="auto"/>
                <w:szCs w:val="20"/>
                <w:lang w:val="en-GB"/>
              </w:rPr>
              <w:t>Cost per enrolment: $1,500</w:t>
            </w:r>
          </w:p>
        </w:tc>
      </w:tr>
    </w:tbl>
    <w:p w:rsidR="00905EEF" w:rsidRPr="009949B9" w:rsidRDefault="00905EEF" w:rsidP="00905EEF">
      <w:pPr>
        <w:rPr>
          <w:rFonts w:ascii="Georgia" w:hAnsi="Georgia"/>
          <w:color w:val="auto"/>
          <w:lang w:val="en-GB"/>
        </w:rPr>
        <w:sectPr w:rsidR="00905EEF" w:rsidRPr="009949B9" w:rsidSect="00DE60B1">
          <w:pgSz w:w="16840" w:h="11900" w:orient="landscape"/>
          <w:pgMar w:top="1800" w:right="1440" w:bottom="1560" w:left="1440" w:header="708" w:footer="708" w:gutter="0"/>
          <w:cols w:space="708"/>
          <w:docGrid w:linePitch="360"/>
        </w:sectPr>
      </w:pPr>
    </w:p>
    <w:p w:rsidR="00905EEF" w:rsidRPr="00991193" w:rsidRDefault="00991193" w:rsidP="00034C96">
      <w:pPr>
        <w:pStyle w:val="Heading2"/>
      </w:pPr>
      <w:bookmarkStart w:id="10" w:name="_Toc465944114"/>
      <w:r>
        <w:t>(</w:t>
      </w:r>
      <w:r w:rsidR="005322FB" w:rsidRPr="00991193">
        <w:t>2</w:t>
      </w:r>
      <w:r>
        <w:t>)</w:t>
      </w:r>
      <w:r w:rsidR="005322FB" w:rsidRPr="00991193">
        <w:t xml:space="preserve"> Self-management and shared care projects</w:t>
      </w:r>
      <w:bookmarkEnd w:id="10"/>
    </w:p>
    <w:p w:rsidR="00905EEF" w:rsidRPr="009949B9" w:rsidRDefault="00905EEF" w:rsidP="00F6244B">
      <w:pPr>
        <w:pStyle w:val="NoSpacing"/>
        <w:rPr>
          <w:color w:val="auto"/>
          <w:lang w:val="en-GB"/>
        </w:rPr>
      </w:pPr>
      <w:r w:rsidRPr="009949B9">
        <w:rPr>
          <w:color w:val="auto"/>
          <w:lang w:val="en-GB"/>
        </w:rPr>
        <w:t>Long Term Conditions (LTC</w:t>
      </w:r>
      <w:r w:rsidR="00CB3618">
        <w:rPr>
          <w:color w:val="auto"/>
          <w:lang w:val="en-GB"/>
        </w:rPr>
        <w:t>s</w:t>
      </w:r>
      <w:r w:rsidRPr="009949B9">
        <w:rPr>
          <w:color w:val="auto"/>
          <w:lang w:val="en-GB"/>
        </w:rPr>
        <w:t xml:space="preserve">) such as cardiovascular disease and diabetes are leading causes of mortality in New Zealand. Two thirds of New Zealand adults and one third of children have at least one LTC. The traditional medical model is unlikely to be able to deal with such a demand and so a new model of care, which focuses on empowering people with a chronic disease to successfully self-manage their condition, is needed. </w:t>
      </w:r>
    </w:p>
    <w:p w:rsidR="00F6244B" w:rsidRPr="009949B9" w:rsidRDefault="00905EEF" w:rsidP="00F6244B">
      <w:pPr>
        <w:pStyle w:val="NoSpacing"/>
        <w:rPr>
          <w:color w:val="auto"/>
          <w:szCs w:val="24"/>
          <w:lang w:val="en-GB"/>
        </w:rPr>
      </w:pPr>
      <w:r w:rsidRPr="009949B9">
        <w:rPr>
          <w:color w:val="auto"/>
          <w:szCs w:val="24"/>
          <w:lang w:val="en-GB"/>
        </w:rPr>
        <w:t xml:space="preserve">The Ministry contracted with </w:t>
      </w:r>
      <w:r w:rsidR="00F6244B" w:rsidRPr="009949B9">
        <w:rPr>
          <w:color w:val="auto"/>
          <w:szCs w:val="24"/>
          <w:lang w:val="en-GB"/>
        </w:rPr>
        <w:t xml:space="preserve">three </w:t>
      </w:r>
      <w:r w:rsidRPr="009949B9">
        <w:rPr>
          <w:color w:val="auto"/>
          <w:szCs w:val="24"/>
          <w:lang w:val="en-GB"/>
        </w:rPr>
        <w:t>providers to set up demonstration sites (rural and urban) to</w:t>
      </w:r>
      <w:r w:rsidR="00CB3618">
        <w:rPr>
          <w:color w:val="auto"/>
          <w:szCs w:val="24"/>
          <w:lang w:val="en-GB"/>
        </w:rPr>
        <w:t xml:space="preserve"> assess how new models of care </w:t>
      </w:r>
      <w:r w:rsidRPr="009949B9">
        <w:rPr>
          <w:color w:val="auto"/>
          <w:szCs w:val="24"/>
          <w:lang w:val="en-GB"/>
        </w:rPr>
        <w:t>focussed on empowering people with a chronic disease to self-manage their condition will work in different settings</w:t>
      </w:r>
      <w:r w:rsidR="00CB3618">
        <w:rPr>
          <w:color w:val="auto"/>
          <w:szCs w:val="24"/>
          <w:lang w:val="en-GB"/>
        </w:rPr>
        <w:t>,</w:t>
      </w:r>
      <w:r w:rsidRPr="009949B9">
        <w:rPr>
          <w:color w:val="auto"/>
          <w:szCs w:val="24"/>
          <w:lang w:val="en-GB"/>
        </w:rPr>
        <w:t xml:space="preserve"> and to help make decisions regarding implementation across New Zealand. </w:t>
      </w:r>
      <w:r w:rsidR="00FB503B" w:rsidRPr="009949B9">
        <w:rPr>
          <w:color w:val="auto"/>
          <w:lang w:val="en-GB"/>
        </w:rPr>
        <w:t xml:space="preserve">These projects </w:t>
      </w:r>
      <w:r w:rsidR="00F6244B" w:rsidRPr="009949B9">
        <w:rPr>
          <w:color w:val="auto"/>
          <w:lang w:val="en-GB"/>
        </w:rPr>
        <w:t xml:space="preserve">are described below and summarised in </w:t>
      </w:r>
      <w:r w:rsidR="00A77D71" w:rsidRPr="00B82C81">
        <w:rPr>
          <w:color w:val="auto"/>
          <w:lang w:val="en-GB"/>
        </w:rPr>
        <w:t>Table 2</w:t>
      </w:r>
      <w:r w:rsidR="00F6244B" w:rsidRPr="00B82C81">
        <w:rPr>
          <w:color w:val="auto"/>
          <w:lang w:val="en-GB"/>
        </w:rPr>
        <w:t xml:space="preserve"> (page</w:t>
      </w:r>
      <w:r w:rsidR="00DF3421" w:rsidRPr="00B82C81">
        <w:rPr>
          <w:color w:val="auto"/>
          <w:lang w:val="en-GB"/>
        </w:rPr>
        <w:t>s 2</w:t>
      </w:r>
      <w:r w:rsidR="00B82C81" w:rsidRPr="00B82C81">
        <w:rPr>
          <w:color w:val="auto"/>
          <w:lang w:val="en-GB"/>
        </w:rPr>
        <w:t>4</w:t>
      </w:r>
      <w:r w:rsidR="00DF3421" w:rsidRPr="00B82C81">
        <w:rPr>
          <w:color w:val="auto"/>
          <w:lang w:val="en-GB"/>
        </w:rPr>
        <w:t>-2</w:t>
      </w:r>
      <w:r w:rsidR="00B82C81" w:rsidRPr="00B82C81">
        <w:rPr>
          <w:color w:val="auto"/>
          <w:lang w:val="en-GB"/>
        </w:rPr>
        <w:t>5</w:t>
      </w:r>
      <w:r w:rsidR="00F6244B" w:rsidRPr="00B82C81">
        <w:rPr>
          <w:color w:val="auto"/>
          <w:lang w:val="en-GB"/>
        </w:rPr>
        <w:t>).</w:t>
      </w:r>
    </w:p>
    <w:p w:rsidR="00905EEF" w:rsidRPr="00CB3618" w:rsidRDefault="00905EEF" w:rsidP="00034C96">
      <w:pPr>
        <w:pStyle w:val="Heading3"/>
      </w:pPr>
      <w:bookmarkStart w:id="11" w:name="_Toc465944115"/>
      <w:r w:rsidRPr="00CB3618">
        <w:t>Alliance Health Plus Trust</w:t>
      </w:r>
      <w:bookmarkEnd w:id="11"/>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A77D71">
      <w:pPr>
        <w:pStyle w:val="NoSpacing"/>
        <w:rPr>
          <w:color w:val="auto"/>
          <w:lang w:val="en-GB"/>
        </w:rPr>
      </w:pPr>
      <w:r w:rsidRPr="009949B9">
        <w:rPr>
          <w:color w:val="auto"/>
          <w:lang w:val="en-GB"/>
        </w:rPr>
        <w:t xml:space="preserve">Alliance Health Plus Trust delivered a self-management and shared care programme in three </w:t>
      </w:r>
      <w:r w:rsidR="00D516D3">
        <w:rPr>
          <w:color w:val="auto"/>
          <w:lang w:val="en-GB"/>
        </w:rPr>
        <w:t>g</w:t>
      </w:r>
      <w:r w:rsidRPr="009949B9">
        <w:rPr>
          <w:color w:val="auto"/>
          <w:lang w:val="en-GB"/>
        </w:rPr>
        <w:t xml:space="preserve">eneral </w:t>
      </w:r>
      <w:r w:rsidR="00D516D3">
        <w:rPr>
          <w:color w:val="auto"/>
          <w:lang w:val="en-GB"/>
        </w:rPr>
        <w:t>p</w:t>
      </w:r>
      <w:r w:rsidRPr="009949B9">
        <w:rPr>
          <w:color w:val="auto"/>
          <w:lang w:val="en-GB"/>
        </w:rPr>
        <w:t>ractices located within two DHB</w:t>
      </w:r>
      <w:r w:rsidR="00D516D3">
        <w:rPr>
          <w:color w:val="auto"/>
          <w:lang w:val="en-GB"/>
        </w:rPr>
        <w:t>s</w:t>
      </w:r>
      <w:r w:rsidRPr="009949B9">
        <w:rPr>
          <w:color w:val="auto"/>
          <w:lang w:val="en-GB"/>
        </w:rPr>
        <w:t xml:space="preserve">. The </w:t>
      </w:r>
      <w:r w:rsidRPr="009949B9">
        <w:rPr>
          <w:color w:val="auto"/>
          <w:sz w:val="23"/>
          <w:szCs w:val="23"/>
          <w:lang w:val="en-GB"/>
        </w:rPr>
        <w:t>Self-Management Programme (SMP) was based on the Stanford model, which is run in 2.5 hour session</w:t>
      </w:r>
      <w:r w:rsidR="00D516D3">
        <w:rPr>
          <w:color w:val="auto"/>
          <w:sz w:val="23"/>
          <w:szCs w:val="23"/>
          <w:lang w:val="en-GB"/>
        </w:rPr>
        <w:t>s once weekly for six weeks. The p</w:t>
      </w:r>
      <w:r w:rsidRPr="009949B9">
        <w:rPr>
          <w:color w:val="auto"/>
          <w:sz w:val="23"/>
          <w:szCs w:val="23"/>
          <w:lang w:val="en-GB"/>
        </w:rPr>
        <w:t>ractices had initially opt</w:t>
      </w:r>
      <w:r w:rsidR="00D516D3">
        <w:rPr>
          <w:color w:val="auto"/>
          <w:sz w:val="23"/>
          <w:szCs w:val="23"/>
          <w:lang w:val="en-GB"/>
        </w:rPr>
        <w:t>ed</w:t>
      </w:r>
      <w:r w:rsidRPr="009949B9">
        <w:rPr>
          <w:color w:val="auto"/>
          <w:sz w:val="23"/>
          <w:szCs w:val="23"/>
          <w:lang w:val="en-GB"/>
        </w:rPr>
        <w:t xml:space="preserve"> for a </w:t>
      </w:r>
      <w:r w:rsidR="00D516D3">
        <w:rPr>
          <w:color w:val="auto"/>
          <w:sz w:val="23"/>
          <w:szCs w:val="23"/>
          <w:lang w:val="en-GB"/>
        </w:rPr>
        <w:t>five</w:t>
      </w:r>
      <w:r w:rsidRPr="009949B9">
        <w:rPr>
          <w:color w:val="auto"/>
          <w:sz w:val="23"/>
          <w:szCs w:val="23"/>
          <w:lang w:val="en-GB"/>
        </w:rPr>
        <w:t>-week course, then shorten</w:t>
      </w:r>
      <w:r w:rsidR="00D516D3">
        <w:rPr>
          <w:color w:val="auto"/>
          <w:sz w:val="23"/>
          <w:szCs w:val="23"/>
          <w:lang w:val="en-GB"/>
        </w:rPr>
        <w:t>ed</w:t>
      </w:r>
      <w:r w:rsidRPr="009949B9">
        <w:rPr>
          <w:color w:val="auto"/>
          <w:sz w:val="23"/>
          <w:szCs w:val="23"/>
          <w:lang w:val="en-GB"/>
        </w:rPr>
        <w:t xml:space="preserve"> this further to </w:t>
      </w:r>
      <w:r w:rsidR="00D516D3">
        <w:rPr>
          <w:color w:val="auto"/>
          <w:sz w:val="23"/>
          <w:szCs w:val="23"/>
          <w:lang w:val="en-GB"/>
        </w:rPr>
        <w:t xml:space="preserve">four </w:t>
      </w:r>
      <w:r w:rsidRPr="009949B9">
        <w:rPr>
          <w:color w:val="auto"/>
          <w:sz w:val="23"/>
          <w:szCs w:val="23"/>
          <w:lang w:val="en-GB"/>
        </w:rPr>
        <w:t xml:space="preserve">weeks as they considered that </w:t>
      </w:r>
      <w:r w:rsidR="00D516D3">
        <w:rPr>
          <w:color w:val="auto"/>
          <w:sz w:val="23"/>
          <w:szCs w:val="23"/>
          <w:lang w:val="en-GB"/>
        </w:rPr>
        <w:t>five-six</w:t>
      </w:r>
      <w:r w:rsidRPr="009949B9">
        <w:rPr>
          <w:color w:val="auto"/>
          <w:sz w:val="23"/>
          <w:szCs w:val="23"/>
          <w:lang w:val="en-GB"/>
        </w:rPr>
        <w:t xml:space="preserve"> weeks was too long for patient retention. The PHO supported practices to develop their own SMP, so there was no consistency in what was provided across practices. Care plans were developed by the </w:t>
      </w:r>
      <w:r w:rsidR="00D516D3">
        <w:rPr>
          <w:color w:val="auto"/>
          <w:sz w:val="23"/>
          <w:szCs w:val="23"/>
          <w:lang w:val="en-GB"/>
        </w:rPr>
        <w:t>PN</w:t>
      </w:r>
      <w:r w:rsidRPr="009949B9">
        <w:rPr>
          <w:color w:val="auto"/>
          <w:sz w:val="23"/>
          <w:szCs w:val="23"/>
          <w:lang w:val="en-GB"/>
        </w:rPr>
        <w:t xml:space="preserve"> for patients when they enrolled into the programme. These plans were different at each site.</w:t>
      </w:r>
      <w:bookmarkStart w:id="12" w:name="_Ref311201651"/>
      <w:r w:rsidRPr="009949B9">
        <w:rPr>
          <w:color w:val="auto"/>
          <w:lang w:val="en-GB"/>
        </w:rPr>
        <w:t xml:space="preserve"> </w:t>
      </w:r>
    </w:p>
    <w:p w:rsidR="00463E13" w:rsidRPr="009949B9" w:rsidRDefault="00463E13" w:rsidP="00463E13">
      <w:pPr>
        <w:pStyle w:val="Heading4"/>
        <w:rPr>
          <w:color w:val="auto"/>
          <w:lang w:val="en-GB"/>
        </w:rPr>
      </w:pPr>
      <w:r w:rsidRPr="009949B9">
        <w:rPr>
          <w:color w:val="auto"/>
          <w:lang w:val="en-GB"/>
        </w:rPr>
        <w:t>Participants</w:t>
      </w:r>
    </w:p>
    <w:p w:rsidR="00463E13" w:rsidRPr="009949B9" w:rsidRDefault="00463E13" w:rsidP="00463E13">
      <w:pPr>
        <w:pStyle w:val="NoSpacing"/>
        <w:rPr>
          <w:color w:val="auto"/>
          <w:lang w:val="en-GB"/>
        </w:rPr>
      </w:pPr>
      <w:r w:rsidRPr="009949B9">
        <w:rPr>
          <w:color w:val="auto"/>
          <w:lang w:val="en-GB"/>
        </w:rPr>
        <w:t>Participants with a medical need of Level 2 or 3 (see Box 2) were invited to participate. Although there were a large number of potential participants registered with practices, recruitment was slow. One PN commented that for every 15 phone calls she would book 10 people</w:t>
      </w:r>
      <w:r w:rsidR="00D516D3">
        <w:rPr>
          <w:color w:val="auto"/>
          <w:lang w:val="en-GB"/>
        </w:rPr>
        <w:t>,</w:t>
      </w:r>
      <w:r w:rsidRPr="009949B9">
        <w:rPr>
          <w:color w:val="auto"/>
          <w:lang w:val="en-GB"/>
        </w:rPr>
        <w:t xml:space="preserve"> of whom 5 would attend. This is remarkably similar to other areas of health behaviour change (</w:t>
      </w:r>
      <w:r w:rsidR="0034188F">
        <w:rPr>
          <w:color w:val="auto"/>
          <w:lang w:val="en-GB"/>
        </w:rPr>
        <w:t>eg,</w:t>
      </w:r>
      <w:r w:rsidRPr="009949B9">
        <w:rPr>
          <w:color w:val="auto"/>
          <w:lang w:val="en-GB"/>
        </w:rPr>
        <w:t xml:space="preserve"> smoking cessation). Overall, practice staff contacted 1</w:t>
      </w:r>
      <w:r w:rsidR="00D516D3">
        <w:rPr>
          <w:color w:val="auto"/>
          <w:lang w:val="en-GB"/>
        </w:rPr>
        <w:t>,</w:t>
      </w:r>
      <w:r w:rsidRPr="009949B9">
        <w:rPr>
          <w:color w:val="auto"/>
          <w:lang w:val="en-GB"/>
        </w:rPr>
        <w:t>119 patients, of whom 752 (67</w:t>
      </w:r>
      <w:r w:rsidR="00973820">
        <w:rPr>
          <w:color w:val="auto"/>
          <w:lang w:val="en-GB"/>
        </w:rPr>
        <w:t xml:space="preserve"> percent</w:t>
      </w:r>
      <w:r w:rsidRPr="009949B9">
        <w:rPr>
          <w:color w:val="auto"/>
          <w:lang w:val="en-GB"/>
        </w:rPr>
        <w:t>) enrolled and 242 (32</w:t>
      </w:r>
      <w:r w:rsidR="00973820">
        <w:rPr>
          <w:color w:val="auto"/>
          <w:lang w:val="en-GB"/>
        </w:rPr>
        <w:t xml:space="preserve"> percent</w:t>
      </w:r>
      <w:r w:rsidRPr="009949B9">
        <w:rPr>
          <w:color w:val="auto"/>
          <w:lang w:val="en-GB"/>
        </w:rPr>
        <w:t>) completed the programme.</w:t>
      </w:r>
    </w:p>
    <w:p w:rsidR="00D516D3" w:rsidRDefault="00463E13" w:rsidP="00463E13">
      <w:pPr>
        <w:pStyle w:val="NoSpacing"/>
        <w:rPr>
          <w:color w:val="auto"/>
          <w:lang w:val="en-GB"/>
        </w:rPr>
        <w:sectPr w:rsidR="00D516D3" w:rsidSect="00673D90">
          <w:footnotePr>
            <w:numFmt w:val="chicago"/>
          </w:footnotePr>
          <w:pgSz w:w="11900" w:h="16840"/>
          <w:pgMar w:top="1440" w:right="1800" w:bottom="1440" w:left="1800" w:header="708" w:footer="708" w:gutter="0"/>
          <w:cols w:space="708"/>
          <w:docGrid w:linePitch="360"/>
        </w:sectPr>
      </w:pPr>
      <w:r w:rsidRPr="009949B9">
        <w:rPr>
          <w:color w:val="auto"/>
          <w:lang w:val="en-GB"/>
        </w:rPr>
        <w:t>The total cost of the programme (excluding the evaluation) was $380,000, giving a cost per enrolled participant of $505.</w:t>
      </w:r>
    </w:p>
    <w:p w:rsidR="00D516D3" w:rsidRPr="00D516D3" w:rsidRDefault="00D516D3" w:rsidP="00D516D3">
      <w:pPr>
        <w:spacing w:before="120" w:after="120" w:line="264" w:lineRule="auto"/>
        <w:rPr>
          <w:rFonts w:ascii="Georgia" w:hAnsi="Georgia"/>
          <w:b/>
          <w:color w:val="auto"/>
          <w:lang w:val="en-GB"/>
        </w:rPr>
      </w:pPr>
      <w:r w:rsidRPr="00D516D3">
        <w:rPr>
          <w:rFonts w:ascii="Georgia" w:hAnsi="Georgia"/>
          <w:b/>
          <w:color w:val="auto"/>
          <w:lang w:val="en-GB"/>
        </w:rPr>
        <w:t>Box 2 – Best Practice Intelligence Tool Level of Medical Need</w:t>
      </w:r>
    </w:p>
    <w:tbl>
      <w:tblPr>
        <w:tblStyle w:val="LightGrid-Accent1"/>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280"/>
      </w:tblGrid>
      <w:tr w:rsidR="00905EEF" w:rsidRPr="009949B9" w:rsidTr="00D51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Borders>
              <w:top w:val="none" w:sz="0" w:space="0" w:color="auto"/>
              <w:left w:val="none" w:sz="0" w:space="0" w:color="auto"/>
              <w:bottom w:val="none" w:sz="0" w:space="0" w:color="auto"/>
              <w:right w:val="none" w:sz="0" w:space="0" w:color="auto"/>
            </w:tcBorders>
          </w:tcPr>
          <w:bookmarkEnd w:id="12"/>
          <w:p w:rsidR="00905EEF" w:rsidRPr="009949B9" w:rsidRDefault="00905EEF" w:rsidP="00673D90">
            <w:pPr>
              <w:rPr>
                <w:rFonts w:ascii="Georgia" w:hAnsi="Georgia"/>
                <w:b w:val="0"/>
                <w:color w:val="auto"/>
                <w:lang w:val="en-GB"/>
              </w:rPr>
            </w:pPr>
            <w:r w:rsidRPr="009949B9">
              <w:rPr>
                <w:rFonts w:ascii="Georgia" w:hAnsi="Georgia"/>
                <w:color w:val="auto"/>
                <w:lang w:val="en-GB"/>
              </w:rPr>
              <w:t>Level 0:</w:t>
            </w:r>
            <w:r w:rsidRPr="009949B9">
              <w:rPr>
                <w:rFonts w:ascii="Georgia" w:hAnsi="Georgia"/>
                <w:b w:val="0"/>
                <w:color w:val="auto"/>
                <w:lang w:val="en-GB"/>
              </w:rPr>
              <w:t xml:space="preserve"> No needs</w:t>
            </w:r>
          </w:p>
          <w:p w:rsidR="00905EEF" w:rsidRPr="009949B9" w:rsidRDefault="00905EEF" w:rsidP="00673D90">
            <w:pPr>
              <w:rPr>
                <w:rFonts w:ascii="Georgia" w:hAnsi="Georgia"/>
                <w:b w:val="0"/>
                <w:color w:val="auto"/>
                <w:lang w:val="en-GB"/>
              </w:rPr>
            </w:pPr>
            <w:r w:rsidRPr="009949B9">
              <w:rPr>
                <w:rFonts w:ascii="Georgia" w:hAnsi="Georgia"/>
                <w:color w:val="auto"/>
                <w:lang w:val="en-GB"/>
              </w:rPr>
              <w:t>Level 1:</w:t>
            </w:r>
            <w:r w:rsidRPr="009949B9">
              <w:rPr>
                <w:rFonts w:ascii="Georgia" w:hAnsi="Georgia"/>
                <w:b w:val="0"/>
                <w:color w:val="auto"/>
                <w:lang w:val="en-GB"/>
              </w:rPr>
              <w:t xml:space="preserve"> Risk factors only</w:t>
            </w:r>
          </w:p>
          <w:p w:rsidR="00905EEF" w:rsidRPr="009949B9" w:rsidRDefault="00905EEF" w:rsidP="00673D90">
            <w:pPr>
              <w:rPr>
                <w:rFonts w:ascii="Georgia" w:hAnsi="Georgia"/>
                <w:b w:val="0"/>
                <w:color w:val="auto"/>
                <w:lang w:val="en-GB"/>
              </w:rPr>
            </w:pPr>
            <w:r w:rsidRPr="009949B9">
              <w:rPr>
                <w:rFonts w:ascii="Georgia" w:hAnsi="Georgia"/>
                <w:color w:val="auto"/>
                <w:lang w:val="en-GB"/>
              </w:rPr>
              <w:t>Level 2:</w:t>
            </w:r>
            <w:r w:rsidRPr="009949B9">
              <w:rPr>
                <w:rFonts w:ascii="Georgia" w:hAnsi="Georgia"/>
                <w:b w:val="0"/>
                <w:color w:val="auto"/>
                <w:lang w:val="en-GB"/>
              </w:rPr>
              <w:t xml:space="preserve"> Patients recorded as having 1 or 2 of: diabetes, atherosclerosis, chronic obstructive pulmonary disease, cerebrovascular incident, heart failure, neurodegenerative disease, multiple sclerosis, rheumatoid arthritis or stage 3 chronic kidney disease</w:t>
            </w:r>
          </w:p>
          <w:p w:rsidR="00905EEF" w:rsidRPr="009949B9" w:rsidRDefault="00905EEF" w:rsidP="00673D90">
            <w:pPr>
              <w:rPr>
                <w:rFonts w:ascii="Georgia" w:hAnsi="Georgia"/>
                <w:color w:val="auto"/>
                <w:lang w:val="en-GB"/>
              </w:rPr>
            </w:pPr>
            <w:r w:rsidRPr="009949B9">
              <w:rPr>
                <w:rFonts w:ascii="Georgia" w:hAnsi="Georgia"/>
                <w:color w:val="auto"/>
                <w:lang w:val="en-GB"/>
              </w:rPr>
              <w:t>Level 3:</w:t>
            </w:r>
            <w:r w:rsidRPr="009949B9">
              <w:rPr>
                <w:rFonts w:ascii="Georgia" w:hAnsi="Georgia"/>
                <w:b w:val="0"/>
                <w:color w:val="auto"/>
                <w:lang w:val="en-GB"/>
              </w:rPr>
              <w:t xml:space="preserve"> Patients recorded as having 3 or more of: diabetes, atherosclerosis, chronic obstructive pulmonary disease, cerebrovascular incident, heart failure, neurodegenerative disease, multiple sclerosis, rheumatoid arthritis OR Stage 4+ chronic kidney disease.</w:t>
            </w:r>
          </w:p>
        </w:tc>
      </w:tr>
    </w:tbl>
    <w:p w:rsidR="00905EEF" w:rsidRPr="009949B9" w:rsidRDefault="00905EEF" w:rsidP="00905EEF">
      <w:pPr>
        <w:pStyle w:val="Heading4"/>
        <w:rPr>
          <w:color w:val="auto"/>
          <w:lang w:val="en-GB"/>
        </w:rPr>
      </w:pPr>
      <w:r w:rsidRPr="009949B9">
        <w:rPr>
          <w:color w:val="auto"/>
          <w:lang w:val="en-GB"/>
        </w:rPr>
        <w:t>Outcomes</w:t>
      </w:r>
    </w:p>
    <w:p w:rsidR="00905EEF" w:rsidRPr="009949B9" w:rsidRDefault="00905EEF" w:rsidP="00697BCE">
      <w:pPr>
        <w:pStyle w:val="NoSpacing"/>
        <w:rPr>
          <w:color w:val="auto"/>
          <w:lang w:val="en-GB"/>
        </w:rPr>
      </w:pPr>
      <w:r w:rsidRPr="009949B9">
        <w:rPr>
          <w:color w:val="auto"/>
          <w:lang w:val="en-GB"/>
        </w:rPr>
        <w:t xml:space="preserve">Outcome data </w:t>
      </w:r>
      <w:r w:rsidR="00BE2682">
        <w:rPr>
          <w:color w:val="auto"/>
          <w:lang w:val="en-GB"/>
        </w:rPr>
        <w:t>was</w:t>
      </w:r>
      <w:r w:rsidRPr="009949B9">
        <w:rPr>
          <w:color w:val="auto"/>
          <w:lang w:val="en-GB"/>
        </w:rPr>
        <w:t xml:space="preserve"> only ava</w:t>
      </w:r>
      <w:r w:rsidR="00D516D3">
        <w:rPr>
          <w:color w:val="auto"/>
          <w:lang w:val="en-GB"/>
        </w:rPr>
        <w:t xml:space="preserve">ilable for 153 people. Of these, </w:t>
      </w:r>
      <w:r w:rsidRPr="009949B9">
        <w:rPr>
          <w:color w:val="auto"/>
          <w:lang w:val="en-GB"/>
        </w:rPr>
        <w:t>53</w:t>
      </w:r>
      <w:r w:rsidR="00973820">
        <w:rPr>
          <w:color w:val="auto"/>
          <w:lang w:val="en-GB"/>
        </w:rPr>
        <w:t xml:space="preserve"> percent</w:t>
      </w:r>
      <w:r w:rsidRPr="009949B9">
        <w:rPr>
          <w:color w:val="auto"/>
          <w:lang w:val="en-GB"/>
        </w:rPr>
        <w:t xml:space="preserve"> (n=81) were female, 11</w:t>
      </w:r>
      <w:r w:rsidR="00973820">
        <w:rPr>
          <w:color w:val="auto"/>
          <w:lang w:val="en-GB"/>
        </w:rPr>
        <w:t xml:space="preserve"> percent</w:t>
      </w:r>
      <w:r w:rsidRPr="009949B9">
        <w:rPr>
          <w:color w:val="auto"/>
          <w:lang w:val="en-GB"/>
        </w:rPr>
        <w:t xml:space="preserve"> Māori, and 59</w:t>
      </w:r>
      <w:r w:rsidR="00973820">
        <w:rPr>
          <w:color w:val="auto"/>
          <w:lang w:val="en-GB"/>
        </w:rPr>
        <w:t xml:space="preserve"> percent</w:t>
      </w:r>
      <w:r w:rsidRPr="009949B9">
        <w:rPr>
          <w:color w:val="auto"/>
          <w:lang w:val="en-GB"/>
        </w:rPr>
        <w:t xml:space="preserve"> Pacific. The majority (72</w:t>
      </w:r>
      <w:r w:rsidR="00973820">
        <w:rPr>
          <w:color w:val="auto"/>
          <w:lang w:val="en-GB"/>
        </w:rPr>
        <w:t xml:space="preserve"> percent</w:t>
      </w:r>
      <w:r w:rsidRPr="009949B9">
        <w:rPr>
          <w:color w:val="auto"/>
          <w:lang w:val="en-GB"/>
        </w:rPr>
        <w:t xml:space="preserve">) had a diagnosis of diabetes. The average time between enrolment and </w:t>
      </w:r>
      <w:r w:rsidR="00D516D3">
        <w:rPr>
          <w:color w:val="auto"/>
          <w:lang w:val="en-GB"/>
        </w:rPr>
        <w:t>follow-up was around 33 weeks (eight</w:t>
      </w:r>
      <w:r w:rsidRPr="009949B9">
        <w:rPr>
          <w:color w:val="auto"/>
          <w:lang w:val="en-GB"/>
        </w:rPr>
        <w:t xml:space="preserve"> months).</w:t>
      </w:r>
    </w:p>
    <w:p w:rsidR="00905EEF" w:rsidRPr="009949B9" w:rsidRDefault="00905EEF" w:rsidP="00697BCE">
      <w:pPr>
        <w:pStyle w:val="NoSpacing"/>
        <w:rPr>
          <w:color w:val="auto"/>
          <w:lang w:val="en-GB"/>
        </w:rPr>
      </w:pPr>
      <w:r w:rsidRPr="009949B9">
        <w:rPr>
          <w:color w:val="auto"/>
          <w:lang w:val="en-GB"/>
        </w:rPr>
        <w:t>The data show</w:t>
      </w:r>
      <w:r w:rsidR="00BE2682">
        <w:rPr>
          <w:color w:val="auto"/>
          <w:lang w:val="en-GB"/>
        </w:rPr>
        <w:t>s</w:t>
      </w:r>
      <w:r w:rsidRPr="009949B9">
        <w:rPr>
          <w:color w:val="auto"/>
          <w:lang w:val="en-GB"/>
        </w:rPr>
        <w:t xml:space="preserve"> a decreasing trend in utilisation of secondary healthcare services following the implementation of the SMP. Conversely</w:t>
      </w:r>
      <w:r w:rsidR="003124AF" w:rsidRPr="009949B9">
        <w:rPr>
          <w:color w:val="auto"/>
          <w:lang w:val="en-GB"/>
        </w:rPr>
        <w:t>,</w:t>
      </w:r>
      <w:r w:rsidRPr="009949B9">
        <w:rPr>
          <w:color w:val="auto"/>
          <w:lang w:val="en-GB"/>
        </w:rPr>
        <w:t xml:space="preserve"> there was an increase in utilisation of primary care services, with patients more likely to see both </w:t>
      </w:r>
      <w:r w:rsidR="00F464BE" w:rsidRPr="009949B9">
        <w:rPr>
          <w:color w:val="auto"/>
          <w:lang w:val="en-GB"/>
        </w:rPr>
        <w:t>their GP and PN on the same day</w:t>
      </w:r>
      <w:r w:rsidRPr="009949B9">
        <w:rPr>
          <w:color w:val="auto"/>
          <w:lang w:val="en-GB"/>
        </w:rPr>
        <w:t xml:space="preserve">, as opposed to either </w:t>
      </w:r>
      <w:r w:rsidR="00D516D3">
        <w:rPr>
          <w:color w:val="auto"/>
          <w:lang w:val="en-GB"/>
        </w:rPr>
        <w:t xml:space="preserve">one </w:t>
      </w:r>
      <w:r w:rsidRPr="009949B9">
        <w:rPr>
          <w:color w:val="auto"/>
          <w:lang w:val="en-GB"/>
        </w:rPr>
        <w:t>or</w:t>
      </w:r>
      <w:r w:rsidR="00D516D3">
        <w:rPr>
          <w:color w:val="auto"/>
          <w:lang w:val="en-GB"/>
        </w:rPr>
        <w:t xml:space="preserve"> the other</w:t>
      </w:r>
      <w:r w:rsidRPr="009949B9">
        <w:rPr>
          <w:color w:val="auto"/>
          <w:lang w:val="en-GB"/>
        </w:rPr>
        <w:t>.</w:t>
      </w:r>
    </w:p>
    <w:p w:rsidR="00905EEF" w:rsidRPr="009949B9" w:rsidRDefault="00905EEF" w:rsidP="00697BCE">
      <w:pPr>
        <w:pStyle w:val="NoSpacing"/>
        <w:rPr>
          <w:color w:val="auto"/>
          <w:lang w:val="en-GB"/>
        </w:rPr>
      </w:pPr>
      <w:r w:rsidRPr="009949B9">
        <w:rPr>
          <w:color w:val="auto"/>
          <w:lang w:val="en-GB"/>
        </w:rPr>
        <w:t xml:space="preserve">In terms of short-term clinical outcomes, decreases in both HbA1c (2.7 mmol/mol) and weight (1.9kg) were observed, although these changes were not statistically significant. Some care also needs to be applied when interpreting these results as the data </w:t>
      </w:r>
      <w:r w:rsidR="00BE2682">
        <w:rPr>
          <w:color w:val="auto"/>
          <w:lang w:val="en-GB"/>
        </w:rPr>
        <w:t>is</w:t>
      </w:r>
      <w:r w:rsidRPr="009949B9">
        <w:rPr>
          <w:color w:val="auto"/>
          <w:lang w:val="en-GB"/>
        </w:rPr>
        <w:t xml:space="preserve"> from a subset only. Overall, blood pressure showed no clinical significant change between baseline and follow-up.</w:t>
      </w:r>
    </w:p>
    <w:p w:rsidR="00905EEF" w:rsidRPr="009949B9" w:rsidRDefault="00905EEF" w:rsidP="00697BCE">
      <w:pPr>
        <w:pStyle w:val="NoSpacing"/>
        <w:rPr>
          <w:color w:val="auto"/>
          <w:lang w:val="en-GB"/>
        </w:rPr>
      </w:pPr>
      <w:r w:rsidRPr="009949B9">
        <w:rPr>
          <w:color w:val="auto"/>
          <w:lang w:val="en-GB"/>
        </w:rPr>
        <w:t xml:space="preserve">The Partners in Health scale (a generic assessment scale for chronic condition self-management) was used to measure changes in patient experience. Among 145 patients that attended four treatment sessions there was a </w:t>
      </w:r>
      <w:r w:rsidR="00D516D3">
        <w:rPr>
          <w:color w:val="auto"/>
          <w:lang w:val="en-GB"/>
        </w:rPr>
        <w:t>10</w:t>
      </w:r>
      <w:r w:rsidRPr="009949B9">
        <w:rPr>
          <w:color w:val="auto"/>
          <w:lang w:val="en-GB"/>
        </w:rPr>
        <w:t>-point increase (74 to 84) in the Partners in Health Score.</w:t>
      </w:r>
    </w:p>
    <w:p w:rsidR="00905EEF" w:rsidRPr="009949B9" w:rsidRDefault="00905EEF" w:rsidP="00697BCE">
      <w:pPr>
        <w:pStyle w:val="NoSpacing"/>
        <w:rPr>
          <w:color w:val="auto"/>
          <w:lang w:val="en-GB"/>
        </w:rPr>
      </w:pPr>
      <w:r w:rsidRPr="009949B9">
        <w:rPr>
          <w:color w:val="auto"/>
          <w:lang w:val="en-GB"/>
        </w:rPr>
        <w:t xml:space="preserve">Participant feedback was largely positive. Being part of a group, learning from participants </w:t>
      </w:r>
      <w:r w:rsidR="00D516D3">
        <w:rPr>
          <w:color w:val="auto"/>
          <w:lang w:val="en-GB"/>
        </w:rPr>
        <w:t>and receiving</w:t>
      </w:r>
      <w:r w:rsidRPr="009949B9">
        <w:rPr>
          <w:color w:val="auto"/>
          <w:lang w:val="en-GB"/>
        </w:rPr>
        <w:t xml:space="preserve"> generic advice on food and physical activity was well received. Participants suggested that extending the length of the SMP would be useful as well as incorporating additional support outside of the weekly contact.</w:t>
      </w:r>
    </w:p>
    <w:p w:rsidR="00905EEF" w:rsidRPr="009949B9" w:rsidRDefault="00905EEF" w:rsidP="00697BCE">
      <w:pPr>
        <w:pStyle w:val="NoSpacing"/>
        <w:rPr>
          <w:color w:val="auto"/>
          <w:lang w:val="en-GB"/>
        </w:rPr>
      </w:pPr>
      <w:r w:rsidRPr="009949B9">
        <w:rPr>
          <w:color w:val="auto"/>
          <w:lang w:val="en-GB"/>
        </w:rPr>
        <w:t>Feedback from the Tongan Health Society suggested that basic information on how to better manage chronic illnesses was important, which is likely to reflect the different levels of health literacy.</w:t>
      </w:r>
    </w:p>
    <w:p w:rsidR="00905EEF" w:rsidRPr="009949B9" w:rsidRDefault="00905EEF" w:rsidP="00697BCE">
      <w:pPr>
        <w:pStyle w:val="NoSpacing"/>
        <w:rPr>
          <w:color w:val="auto"/>
          <w:lang w:val="en-GB"/>
        </w:rPr>
      </w:pPr>
      <w:r w:rsidRPr="009949B9">
        <w:rPr>
          <w:color w:val="auto"/>
          <w:lang w:val="en-GB"/>
        </w:rPr>
        <w:t>Care plans were often incomplete, did not always have timeframes, and were not revisited or updated. Participants could see the value in goal setting but some saw the plans as a bit ‘childish’.</w:t>
      </w:r>
    </w:p>
    <w:p w:rsidR="00905EEF" w:rsidRPr="009949B9" w:rsidRDefault="00905EEF" w:rsidP="00905EEF">
      <w:pPr>
        <w:pStyle w:val="Heading4"/>
        <w:rPr>
          <w:color w:val="auto"/>
          <w:lang w:val="en-GB"/>
        </w:rPr>
      </w:pPr>
      <w:r w:rsidRPr="009949B9">
        <w:rPr>
          <w:color w:val="auto"/>
          <w:lang w:val="en-GB"/>
        </w:rPr>
        <w:t>Summary</w:t>
      </w:r>
    </w:p>
    <w:p w:rsidR="00905EEF" w:rsidRPr="009949B9" w:rsidRDefault="00905EEF" w:rsidP="00697BCE">
      <w:pPr>
        <w:pStyle w:val="NoSpacing"/>
        <w:rPr>
          <w:color w:val="auto"/>
          <w:lang w:val="en-GB"/>
        </w:rPr>
      </w:pPr>
      <w:r w:rsidRPr="009949B9">
        <w:rPr>
          <w:color w:val="auto"/>
          <w:lang w:val="en-GB"/>
        </w:rPr>
        <w:t>Recruitment of participants for group-based SMP is challenging and time intensive. Groups are important, but need to be facilitated correctly (</w:t>
      </w:r>
      <w:r w:rsidR="0034188F">
        <w:rPr>
          <w:color w:val="auto"/>
          <w:lang w:val="en-GB"/>
        </w:rPr>
        <w:t>eg,</w:t>
      </w:r>
      <w:r w:rsidR="00141934" w:rsidRPr="009949B9">
        <w:rPr>
          <w:color w:val="auto"/>
          <w:lang w:val="en-GB"/>
        </w:rPr>
        <w:t xml:space="preserve"> </w:t>
      </w:r>
      <w:r w:rsidRPr="009949B9">
        <w:rPr>
          <w:color w:val="auto"/>
          <w:lang w:val="en-GB"/>
        </w:rPr>
        <w:t>group orientated as opposed to therapist orientated) and include information relevant to the wider group. Flexibility is important to be able to meet the needs of patients. The project did not show significant changes in clinical outcomes such as HbA1c and weight, although improvements were seen in self-management</w:t>
      </w:r>
      <w:r w:rsidR="00D516D3">
        <w:rPr>
          <w:color w:val="auto"/>
          <w:lang w:val="en-GB"/>
        </w:rPr>
        <w:t>,</w:t>
      </w:r>
      <w:r w:rsidRPr="009949B9">
        <w:rPr>
          <w:color w:val="auto"/>
          <w:lang w:val="en-GB"/>
        </w:rPr>
        <w:t xml:space="preserve"> and participants generally like</w:t>
      </w:r>
      <w:r w:rsidR="00D516D3">
        <w:rPr>
          <w:color w:val="auto"/>
          <w:lang w:val="en-GB"/>
        </w:rPr>
        <w:t>d</w:t>
      </w:r>
      <w:r w:rsidRPr="009949B9">
        <w:rPr>
          <w:color w:val="auto"/>
          <w:lang w:val="en-GB"/>
        </w:rPr>
        <w:t xml:space="preserve"> the programme. With some strengthening of recruitment and treatment </w:t>
      </w:r>
      <w:r w:rsidR="00D516D3">
        <w:rPr>
          <w:color w:val="auto"/>
          <w:lang w:val="en-GB"/>
        </w:rPr>
        <w:t xml:space="preserve">processes </w:t>
      </w:r>
      <w:r w:rsidRPr="009949B9">
        <w:rPr>
          <w:color w:val="auto"/>
          <w:lang w:val="en-GB"/>
        </w:rPr>
        <w:t>(</w:t>
      </w:r>
      <w:r w:rsidR="0034188F">
        <w:rPr>
          <w:color w:val="auto"/>
          <w:lang w:val="en-GB"/>
        </w:rPr>
        <w:t>eg,</w:t>
      </w:r>
      <w:r w:rsidRPr="009949B9">
        <w:rPr>
          <w:color w:val="auto"/>
          <w:lang w:val="en-GB"/>
        </w:rPr>
        <w:t xml:space="preserve"> better use of care plans</w:t>
      </w:r>
      <w:r w:rsidR="00D516D3">
        <w:rPr>
          <w:color w:val="auto"/>
          <w:lang w:val="en-GB"/>
        </w:rPr>
        <w:t xml:space="preserve"> and</w:t>
      </w:r>
      <w:r w:rsidRPr="009949B9">
        <w:rPr>
          <w:color w:val="auto"/>
          <w:lang w:val="en-GB"/>
        </w:rPr>
        <w:t xml:space="preserve"> facilitating group-based interactions with participants)</w:t>
      </w:r>
      <w:r w:rsidR="00D516D3">
        <w:rPr>
          <w:color w:val="auto"/>
          <w:lang w:val="en-GB"/>
        </w:rPr>
        <w:t>,</w:t>
      </w:r>
      <w:r w:rsidRPr="009949B9">
        <w:rPr>
          <w:color w:val="auto"/>
          <w:lang w:val="en-GB"/>
        </w:rPr>
        <w:t xml:space="preserve"> this programme could play a useful role.</w:t>
      </w:r>
    </w:p>
    <w:p w:rsidR="00905EEF" w:rsidRPr="00D516D3" w:rsidRDefault="00905EEF" w:rsidP="00034C96">
      <w:pPr>
        <w:pStyle w:val="Heading3"/>
      </w:pPr>
      <w:bookmarkStart w:id="13" w:name="_Toc465944116"/>
      <w:r w:rsidRPr="00D516D3">
        <w:t>Hauraki PHO – Manawanui Whai Ora Kaitiaki</w:t>
      </w:r>
      <w:bookmarkEnd w:id="13"/>
    </w:p>
    <w:p w:rsidR="00905EEF" w:rsidRPr="009949B9" w:rsidRDefault="00905EEF" w:rsidP="00697BCE">
      <w:pPr>
        <w:pStyle w:val="NoSpacing"/>
        <w:rPr>
          <w:color w:val="auto"/>
          <w:lang w:val="en-GB"/>
        </w:rPr>
      </w:pPr>
      <w:r w:rsidRPr="009949B9">
        <w:rPr>
          <w:color w:val="auto"/>
          <w:lang w:val="en-GB"/>
        </w:rPr>
        <w:t xml:space="preserve">Hauraki PHO delivered a self-management and shared care project with a particular focus on change management. The project was delivered two locations, one urban (Hamilton) and one rural (Putaruru). </w:t>
      </w:r>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697BCE">
      <w:pPr>
        <w:pStyle w:val="NoSpacing"/>
        <w:rPr>
          <w:color w:val="auto"/>
          <w:lang w:val="en-GB"/>
        </w:rPr>
      </w:pPr>
      <w:r w:rsidRPr="009949B9">
        <w:rPr>
          <w:color w:val="auto"/>
          <w:lang w:val="en-GB"/>
        </w:rPr>
        <w:t>Manawanui Whai Ora Kaitiaki (MWOK) is a partnership pilot with Healthcare NZ (HCNZ) and Hauraki PHO. The focus of MWOK is on those patients with complex and chronic needs who have the highest hospital admission rates.</w:t>
      </w:r>
    </w:p>
    <w:p w:rsidR="00905EEF" w:rsidRPr="009949B9" w:rsidRDefault="00905EEF" w:rsidP="00697BCE">
      <w:pPr>
        <w:pStyle w:val="NoSpacing"/>
        <w:rPr>
          <w:color w:val="auto"/>
          <w:lang w:val="en-GB"/>
        </w:rPr>
      </w:pPr>
      <w:r w:rsidRPr="009949B9">
        <w:rPr>
          <w:color w:val="auto"/>
          <w:lang w:val="en-GB"/>
        </w:rPr>
        <w:t>The MWOK model of care utilises the main components of an existing self-management programme called Te Whiringa Ora/Care Connections where case managers (regi</w:t>
      </w:r>
      <w:r w:rsidR="00D516D3">
        <w:rPr>
          <w:color w:val="auto"/>
          <w:lang w:val="en-GB"/>
        </w:rPr>
        <w:t>stered nurses) and navigators (k</w:t>
      </w:r>
      <w:r w:rsidRPr="009949B9">
        <w:rPr>
          <w:color w:val="auto"/>
          <w:lang w:val="en-GB"/>
        </w:rPr>
        <w:t xml:space="preserve">aiawhina) support the process of holistic assessment and care planning. </w:t>
      </w:r>
    </w:p>
    <w:p w:rsidR="00905EEF" w:rsidRPr="009949B9" w:rsidRDefault="00905EEF" w:rsidP="00697BCE">
      <w:pPr>
        <w:pStyle w:val="NoSpacing"/>
        <w:rPr>
          <w:color w:val="auto"/>
          <w:lang w:val="en-GB"/>
        </w:rPr>
      </w:pPr>
      <w:r w:rsidRPr="009949B9">
        <w:rPr>
          <w:color w:val="auto"/>
          <w:lang w:val="en-GB"/>
        </w:rPr>
        <w:t>Each client has a needs assessment and is assisted in the development of a shared care plan, followed by a series of home visits to provide self-management support. Referrals to other social, community, and health services are provided as required. GPs are informed of care plans but are not directly involved in the process.</w:t>
      </w:r>
    </w:p>
    <w:p w:rsidR="00905EEF" w:rsidRPr="009949B9" w:rsidRDefault="00905EEF" w:rsidP="00697BCE">
      <w:pPr>
        <w:pStyle w:val="NoSpacing"/>
        <w:rPr>
          <w:color w:val="auto"/>
          <w:lang w:val="en-GB"/>
        </w:rPr>
      </w:pPr>
      <w:r w:rsidRPr="009949B9">
        <w:rPr>
          <w:color w:val="auto"/>
          <w:lang w:val="en-GB"/>
        </w:rPr>
        <w:t>The combination of the registered nurse and the kaiawhina role are central to this model. The nurses had technical knowledge regarding chronic disease management where</w:t>
      </w:r>
      <w:r w:rsidR="00D516D3">
        <w:rPr>
          <w:color w:val="auto"/>
          <w:lang w:val="en-GB"/>
        </w:rPr>
        <w:t>as</w:t>
      </w:r>
      <w:r w:rsidRPr="009949B9">
        <w:rPr>
          <w:color w:val="auto"/>
          <w:lang w:val="en-GB"/>
        </w:rPr>
        <w:t xml:space="preserve"> kaiawhina (non-clinical) had expertise in engaging patients </w:t>
      </w:r>
      <w:r w:rsidR="00D516D3">
        <w:rPr>
          <w:color w:val="auto"/>
          <w:lang w:val="en-GB"/>
        </w:rPr>
        <w:t>and</w:t>
      </w:r>
      <w:r w:rsidRPr="009949B9">
        <w:rPr>
          <w:color w:val="auto"/>
          <w:lang w:val="en-GB"/>
        </w:rPr>
        <w:t xml:space="preserve"> the ability to build strong and trusting relationships. These skills are important in working with people who do not engage with mainstream health care and who often have significant social and cultural needs.</w:t>
      </w:r>
    </w:p>
    <w:p w:rsidR="00905EEF" w:rsidRPr="009949B9" w:rsidRDefault="00905EEF" w:rsidP="00905EEF">
      <w:pPr>
        <w:pStyle w:val="Heading4"/>
        <w:rPr>
          <w:color w:val="auto"/>
          <w:lang w:val="en-GB"/>
        </w:rPr>
      </w:pPr>
      <w:r w:rsidRPr="009949B9">
        <w:rPr>
          <w:color w:val="auto"/>
          <w:lang w:val="en-GB"/>
        </w:rPr>
        <w:t>Participants</w:t>
      </w:r>
    </w:p>
    <w:p w:rsidR="00905EEF" w:rsidRPr="009949B9" w:rsidRDefault="00905EEF" w:rsidP="00697BCE">
      <w:pPr>
        <w:pStyle w:val="NoSpacing"/>
        <w:rPr>
          <w:color w:val="auto"/>
          <w:lang w:val="en-GB"/>
        </w:rPr>
      </w:pPr>
      <w:r w:rsidRPr="009949B9">
        <w:rPr>
          <w:color w:val="auto"/>
          <w:lang w:val="en-GB"/>
        </w:rPr>
        <w:t>To be referred</w:t>
      </w:r>
      <w:r w:rsidR="008C7B56">
        <w:rPr>
          <w:color w:val="auto"/>
          <w:lang w:val="en-GB"/>
        </w:rPr>
        <w:t>,</w:t>
      </w:r>
      <w:r w:rsidRPr="009949B9">
        <w:rPr>
          <w:color w:val="auto"/>
          <w:lang w:val="en-GB"/>
        </w:rPr>
        <w:t xml:space="preserve"> clients must have at least two LTCs, which could include diabetes, cardiovascular disease (including stroke and heart failure), cancer, asthma, chronic obstructive pulmonary disease, arthritis and musculoskeletal disease, dementia, depression and anxiety.</w:t>
      </w:r>
    </w:p>
    <w:p w:rsidR="00905EEF" w:rsidRPr="009949B9" w:rsidRDefault="00905EEF" w:rsidP="00697BCE">
      <w:pPr>
        <w:pStyle w:val="NoSpacing"/>
        <w:rPr>
          <w:color w:val="auto"/>
          <w:lang w:val="en-GB"/>
        </w:rPr>
      </w:pPr>
      <w:r w:rsidRPr="009949B9">
        <w:rPr>
          <w:color w:val="auto"/>
          <w:lang w:val="en-GB"/>
        </w:rPr>
        <w:t>During 13 months of operation</w:t>
      </w:r>
      <w:r w:rsidR="008C7B56">
        <w:rPr>
          <w:color w:val="auto"/>
          <w:lang w:val="en-GB"/>
        </w:rPr>
        <w:t>,</w:t>
      </w:r>
      <w:r w:rsidRPr="009949B9">
        <w:rPr>
          <w:color w:val="auto"/>
          <w:lang w:val="en-GB"/>
        </w:rPr>
        <w:t xml:space="preserve"> 165 people were referred to the MWOK pilot. Most clients were between the age of 40 and 70</w:t>
      </w:r>
      <w:r w:rsidR="008C7B56">
        <w:rPr>
          <w:color w:val="auto"/>
          <w:lang w:val="en-GB"/>
        </w:rPr>
        <w:t xml:space="preserve"> years</w:t>
      </w:r>
      <w:r w:rsidRPr="009949B9">
        <w:rPr>
          <w:color w:val="auto"/>
          <w:lang w:val="en-GB"/>
        </w:rPr>
        <w:t>, but range</w:t>
      </w:r>
      <w:r w:rsidR="008C7B56">
        <w:rPr>
          <w:color w:val="auto"/>
          <w:lang w:val="en-GB"/>
        </w:rPr>
        <w:t>d</w:t>
      </w:r>
      <w:r w:rsidRPr="009949B9">
        <w:rPr>
          <w:color w:val="auto"/>
          <w:lang w:val="en-GB"/>
        </w:rPr>
        <w:t xml:space="preserve"> from </w:t>
      </w:r>
      <w:r w:rsidR="008C7B56">
        <w:rPr>
          <w:color w:val="auto"/>
          <w:lang w:val="en-GB"/>
        </w:rPr>
        <w:t>1</w:t>
      </w:r>
      <w:r w:rsidRPr="009949B9">
        <w:rPr>
          <w:color w:val="auto"/>
          <w:lang w:val="en-GB"/>
        </w:rPr>
        <w:t xml:space="preserve"> to 97</w:t>
      </w:r>
      <w:r w:rsidR="008C7B56">
        <w:rPr>
          <w:color w:val="auto"/>
          <w:lang w:val="en-GB"/>
        </w:rPr>
        <w:t xml:space="preserve"> years</w:t>
      </w:r>
      <w:r w:rsidRPr="009949B9">
        <w:rPr>
          <w:color w:val="auto"/>
          <w:lang w:val="en-GB"/>
        </w:rPr>
        <w:t>. The majority (61</w:t>
      </w:r>
      <w:r w:rsidR="00973820">
        <w:rPr>
          <w:color w:val="auto"/>
          <w:lang w:val="en-GB"/>
        </w:rPr>
        <w:t xml:space="preserve"> percent</w:t>
      </w:r>
      <w:r w:rsidRPr="009949B9">
        <w:rPr>
          <w:color w:val="auto"/>
          <w:lang w:val="en-GB"/>
        </w:rPr>
        <w:t>) of referrals were Māori.</w:t>
      </w:r>
      <w:r w:rsidR="00B248B5" w:rsidRPr="009949B9">
        <w:rPr>
          <w:color w:val="auto"/>
          <w:lang w:val="en-GB"/>
        </w:rPr>
        <w:t xml:space="preserve"> </w:t>
      </w:r>
      <w:r w:rsidR="00BD2703" w:rsidRPr="009949B9">
        <w:rPr>
          <w:color w:val="auto"/>
          <w:lang w:val="en-GB"/>
        </w:rPr>
        <w:t xml:space="preserve">Details of the total pool </w:t>
      </w:r>
      <w:r w:rsidR="008C7B56">
        <w:rPr>
          <w:color w:val="auto"/>
          <w:lang w:val="en-GB"/>
        </w:rPr>
        <w:t xml:space="preserve">from which </w:t>
      </w:r>
      <w:r w:rsidR="00BD2703" w:rsidRPr="009949B9">
        <w:rPr>
          <w:color w:val="auto"/>
          <w:lang w:val="en-GB"/>
        </w:rPr>
        <w:t>this sample was drawn were</w:t>
      </w:r>
      <w:r w:rsidR="00B248B5" w:rsidRPr="009949B9">
        <w:rPr>
          <w:color w:val="auto"/>
          <w:lang w:val="en-GB"/>
        </w:rPr>
        <w:t xml:space="preserve"> not reported.</w:t>
      </w:r>
    </w:p>
    <w:p w:rsidR="00905EEF" w:rsidRPr="009949B9" w:rsidRDefault="00905EEF" w:rsidP="00697BCE">
      <w:pPr>
        <w:pStyle w:val="NoSpacing"/>
        <w:rPr>
          <w:color w:val="auto"/>
          <w:lang w:val="en-GB"/>
        </w:rPr>
      </w:pPr>
      <w:r w:rsidRPr="009949B9">
        <w:rPr>
          <w:color w:val="auto"/>
          <w:lang w:val="en-GB"/>
        </w:rPr>
        <w:t>The total cost of the programme (excluding the evaluation) was $384,425, giving a cost per enrolled participant of $2,329.</w:t>
      </w:r>
    </w:p>
    <w:p w:rsidR="00905EEF" w:rsidRPr="009949B9" w:rsidRDefault="00905EEF" w:rsidP="00905EEF">
      <w:pPr>
        <w:pStyle w:val="Heading4"/>
        <w:rPr>
          <w:color w:val="auto"/>
          <w:lang w:val="en-GB"/>
        </w:rPr>
      </w:pPr>
      <w:r w:rsidRPr="009949B9">
        <w:rPr>
          <w:color w:val="auto"/>
          <w:lang w:val="en-GB"/>
        </w:rPr>
        <w:t>Outcomes</w:t>
      </w:r>
    </w:p>
    <w:p w:rsidR="00905EEF" w:rsidRPr="009949B9" w:rsidRDefault="00905EEF" w:rsidP="00697BCE">
      <w:pPr>
        <w:pStyle w:val="NoSpacing"/>
        <w:rPr>
          <w:color w:val="auto"/>
          <w:lang w:val="en-GB"/>
        </w:rPr>
      </w:pPr>
      <w:r w:rsidRPr="009949B9">
        <w:rPr>
          <w:color w:val="auto"/>
          <w:lang w:val="en-GB"/>
        </w:rPr>
        <w:t>The evaluation looked at changes in indicators or perceptions of wellness or self-management</w:t>
      </w:r>
      <w:r w:rsidR="008C7B56">
        <w:rPr>
          <w:color w:val="auto"/>
          <w:lang w:val="en-GB"/>
        </w:rPr>
        <w:t>,</w:t>
      </w:r>
      <w:r w:rsidRPr="009949B9">
        <w:rPr>
          <w:color w:val="auto"/>
          <w:lang w:val="en-GB"/>
        </w:rPr>
        <w:t xml:space="preserve"> as well as barriers and facilitators of implementation and success.</w:t>
      </w:r>
    </w:p>
    <w:p w:rsidR="00905EEF" w:rsidRPr="009949B9" w:rsidRDefault="00905EEF" w:rsidP="00697BCE">
      <w:pPr>
        <w:pStyle w:val="NoSpacing"/>
        <w:rPr>
          <w:color w:val="auto"/>
          <w:lang w:val="en-GB"/>
        </w:rPr>
      </w:pPr>
      <w:r w:rsidRPr="009949B9">
        <w:rPr>
          <w:color w:val="auto"/>
          <w:lang w:val="en-GB"/>
        </w:rPr>
        <w:t xml:space="preserve">MedTech data from the two practices showed an overall increase in the number of GP encounters of MWOK patients from an average of </w:t>
      </w:r>
      <w:r w:rsidR="008C7B56">
        <w:rPr>
          <w:color w:val="auto"/>
          <w:lang w:val="en-GB"/>
        </w:rPr>
        <w:t>12</w:t>
      </w:r>
      <w:r w:rsidRPr="009949B9">
        <w:rPr>
          <w:color w:val="auto"/>
          <w:lang w:val="en-GB"/>
        </w:rPr>
        <w:t xml:space="preserve"> in 2013-14 to 15 in 2014-15. When broken down by baseline GP utilisation there was an overall increase in GP encounters in initial low and medium users (3 to 10 and 12 to 1</w:t>
      </w:r>
      <w:r w:rsidR="008C7B56">
        <w:rPr>
          <w:color w:val="auto"/>
          <w:lang w:val="en-GB"/>
        </w:rPr>
        <w:t>6</w:t>
      </w:r>
      <w:r w:rsidRPr="009949B9">
        <w:rPr>
          <w:color w:val="auto"/>
          <w:lang w:val="en-GB"/>
        </w:rPr>
        <w:t xml:space="preserve"> encounters per year, respectively) and a decrease in</w:t>
      </w:r>
      <w:r w:rsidR="008C7B56">
        <w:rPr>
          <w:color w:val="auto"/>
          <w:lang w:val="en-GB"/>
        </w:rPr>
        <w:t xml:space="preserve"> initial high </w:t>
      </w:r>
      <w:r w:rsidRPr="009949B9">
        <w:rPr>
          <w:color w:val="auto"/>
          <w:lang w:val="en-GB"/>
        </w:rPr>
        <w:t>users (26 to 2</w:t>
      </w:r>
      <w:r w:rsidR="008C7B56">
        <w:rPr>
          <w:color w:val="auto"/>
          <w:lang w:val="en-GB"/>
        </w:rPr>
        <w:t>3</w:t>
      </w:r>
      <w:r w:rsidRPr="009949B9">
        <w:rPr>
          <w:color w:val="auto"/>
          <w:lang w:val="en-GB"/>
        </w:rPr>
        <w:t>) encounters per year.</w:t>
      </w:r>
    </w:p>
    <w:p w:rsidR="00905EEF" w:rsidRPr="009949B9" w:rsidRDefault="00905EEF" w:rsidP="00697BCE">
      <w:pPr>
        <w:pStyle w:val="NoSpacing"/>
        <w:rPr>
          <w:color w:val="auto"/>
          <w:lang w:val="en-GB"/>
        </w:rPr>
      </w:pPr>
      <w:r w:rsidRPr="009949B9">
        <w:rPr>
          <w:color w:val="auto"/>
          <w:lang w:val="en-GB"/>
        </w:rPr>
        <w:t>A total of 54 patients had completed the Patient Assessment of Care for Chronic Conditions (PACIC),</w:t>
      </w:r>
      <w:r w:rsidR="00141934" w:rsidRPr="009949B9">
        <w:rPr>
          <w:rStyle w:val="FootnoteReference"/>
          <w:color w:val="auto"/>
          <w:lang w:val="en-GB"/>
        </w:rPr>
        <w:footnoteReference w:id="2"/>
      </w:r>
      <w:r w:rsidRPr="009949B9">
        <w:rPr>
          <w:color w:val="auto"/>
          <w:lang w:val="en-GB"/>
        </w:rPr>
        <w:t xml:space="preserve"> but only 10 had competed both a pre</w:t>
      </w:r>
      <w:r w:rsidR="008C7B56">
        <w:rPr>
          <w:color w:val="auto"/>
          <w:lang w:val="en-GB"/>
        </w:rPr>
        <w:t>-</w:t>
      </w:r>
      <w:r w:rsidRPr="009949B9">
        <w:rPr>
          <w:color w:val="auto"/>
          <w:lang w:val="en-GB"/>
        </w:rPr>
        <w:t xml:space="preserve"> and post assessment that allowed measurement of change. In these 10 patients</w:t>
      </w:r>
      <w:r w:rsidR="008C7B56">
        <w:rPr>
          <w:color w:val="auto"/>
          <w:lang w:val="en-GB"/>
        </w:rPr>
        <w:t>,</w:t>
      </w:r>
      <w:r w:rsidRPr="009949B9">
        <w:rPr>
          <w:color w:val="auto"/>
          <w:lang w:val="en-GB"/>
        </w:rPr>
        <w:t xml:space="preserve"> there was a significant improvement in all of the five categories.</w:t>
      </w:r>
    </w:p>
    <w:p w:rsidR="00905EEF" w:rsidRPr="009949B9" w:rsidRDefault="00905EEF" w:rsidP="00C408F2">
      <w:pPr>
        <w:pStyle w:val="ListParagraph"/>
        <w:rPr>
          <w:color w:val="auto"/>
        </w:rPr>
      </w:pPr>
      <w:r w:rsidRPr="009949B9">
        <w:rPr>
          <w:color w:val="auto"/>
        </w:rPr>
        <w:t>patient activation from 3.3 to 4.9 (</w:t>
      </w:r>
      <w:r w:rsidR="00B65469" w:rsidRPr="009949B9">
        <w:rPr>
          <w:i/>
          <w:color w:val="auto"/>
        </w:rPr>
        <w:t>p&lt;</w:t>
      </w:r>
      <w:r w:rsidRPr="009949B9">
        <w:rPr>
          <w:i/>
          <w:color w:val="auto"/>
        </w:rPr>
        <w:t>0.0</w:t>
      </w:r>
      <w:r w:rsidR="00B65469" w:rsidRPr="009949B9">
        <w:rPr>
          <w:i/>
          <w:color w:val="auto"/>
        </w:rPr>
        <w:t>1</w:t>
      </w:r>
      <w:r w:rsidRPr="009949B9">
        <w:rPr>
          <w:color w:val="auto"/>
        </w:rPr>
        <w:t>)</w:t>
      </w:r>
    </w:p>
    <w:p w:rsidR="00905EEF" w:rsidRPr="009949B9" w:rsidRDefault="00905EEF" w:rsidP="00C408F2">
      <w:pPr>
        <w:pStyle w:val="ListParagraph"/>
        <w:rPr>
          <w:color w:val="auto"/>
        </w:rPr>
      </w:pPr>
      <w:r w:rsidRPr="009949B9">
        <w:rPr>
          <w:color w:val="auto"/>
        </w:rPr>
        <w:t>decision support from 3.0 to 4.9 (</w:t>
      </w:r>
      <w:r w:rsidRPr="009949B9">
        <w:rPr>
          <w:i/>
          <w:color w:val="auto"/>
        </w:rPr>
        <w:t>p</w:t>
      </w:r>
      <w:r w:rsidR="00B65469" w:rsidRPr="009949B9">
        <w:rPr>
          <w:i/>
          <w:color w:val="auto"/>
        </w:rPr>
        <w:t>&lt;</w:t>
      </w:r>
      <w:r w:rsidRPr="009949B9">
        <w:rPr>
          <w:i/>
          <w:color w:val="auto"/>
        </w:rPr>
        <w:t>0.0</w:t>
      </w:r>
      <w:r w:rsidR="00B65469" w:rsidRPr="009949B9">
        <w:rPr>
          <w:i/>
          <w:color w:val="auto"/>
        </w:rPr>
        <w:t>1</w:t>
      </w:r>
      <w:r w:rsidRPr="009949B9">
        <w:rPr>
          <w:color w:val="auto"/>
        </w:rPr>
        <w:t>)</w:t>
      </w:r>
    </w:p>
    <w:p w:rsidR="00905EEF" w:rsidRPr="009949B9" w:rsidRDefault="00905EEF" w:rsidP="00C408F2">
      <w:pPr>
        <w:pStyle w:val="ListParagraph"/>
        <w:rPr>
          <w:color w:val="auto"/>
        </w:rPr>
      </w:pPr>
      <w:r w:rsidRPr="009949B9">
        <w:rPr>
          <w:color w:val="auto"/>
        </w:rPr>
        <w:t>goal setting from 2.9 to 4.7 (</w:t>
      </w:r>
      <w:r w:rsidRPr="009949B9">
        <w:rPr>
          <w:i/>
          <w:color w:val="auto"/>
        </w:rPr>
        <w:t>p</w:t>
      </w:r>
      <w:r w:rsidR="00B65469" w:rsidRPr="009949B9">
        <w:rPr>
          <w:i/>
          <w:color w:val="auto"/>
        </w:rPr>
        <w:t>&lt;</w:t>
      </w:r>
      <w:r w:rsidRPr="009949B9">
        <w:rPr>
          <w:i/>
          <w:color w:val="auto"/>
        </w:rPr>
        <w:t>0.0</w:t>
      </w:r>
      <w:r w:rsidR="00B65469" w:rsidRPr="009949B9">
        <w:rPr>
          <w:i/>
          <w:color w:val="auto"/>
        </w:rPr>
        <w:t>1</w:t>
      </w:r>
      <w:r w:rsidRPr="009949B9">
        <w:rPr>
          <w:color w:val="auto"/>
        </w:rPr>
        <w:t>)</w:t>
      </w:r>
    </w:p>
    <w:p w:rsidR="00905EEF" w:rsidRPr="009949B9" w:rsidRDefault="00905EEF" w:rsidP="00C408F2">
      <w:pPr>
        <w:pStyle w:val="ListParagraph"/>
        <w:rPr>
          <w:color w:val="auto"/>
        </w:rPr>
      </w:pPr>
      <w:r w:rsidRPr="009949B9">
        <w:rPr>
          <w:color w:val="auto"/>
        </w:rPr>
        <w:t>contextual counselling from 3.0 to 4.9 (</w:t>
      </w:r>
      <w:r w:rsidRPr="009949B9">
        <w:rPr>
          <w:i/>
          <w:color w:val="auto"/>
        </w:rPr>
        <w:t>p</w:t>
      </w:r>
      <w:r w:rsidR="00B65469" w:rsidRPr="009949B9">
        <w:rPr>
          <w:i/>
          <w:color w:val="auto"/>
        </w:rPr>
        <w:t>&lt;</w:t>
      </w:r>
      <w:r w:rsidRPr="009949B9">
        <w:rPr>
          <w:i/>
          <w:color w:val="auto"/>
        </w:rPr>
        <w:t>0.0</w:t>
      </w:r>
      <w:r w:rsidR="00B65469" w:rsidRPr="009949B9">
        <w:rPr>
          <w:i/>
          <w:color w:val="auto"/>
        </w:rPr>
        <w:t>1</w:t>
      </w:r>
      <w:r w:rsidRPr="009949B9">
        <w:rPr>
          <w:color w:val="auto"/>
        </w:rPr>
        <w:t>)</w:t>
      </w:r>
    </w:p>
    <w:p w:rsidR="00905EEF" w:rsidRPr="009949B9" w:rsidRDefault="00905EEF" w:rsidP="00C408F2">
      <w:pPr>
        <w:pStyle w:val="ListParagraph"/>
        <w:rPr>
          <w:color w:val="auto"/>
        </w:rPr>
      </w:pPr>
      <w:r w:rsidRPr="009949B9">
        <w:rPr>
          <w:color w:val="auto"/>
        </w:rPr>
        <w:t>coordination from 2.8 to 4.4 (</w:t>
      </w:r>
      <w:r w:rsidRPr="009949B9">
        <w:rPr>
          <w:i/>
          <w:color w:val="auto"/>
        </w:rPr>
        <w:t>p</w:t>
      </w:r>
      <w:r w:rsidR="00B65469" w:rsidRPr="009949B9">
        <w:rPr>
          <w:i/>
          <w:color w:val="auto"/>
        </w:rPr>
        <w:t>&lt;</w:t>
      </w:r>
      <w:r w:rsidRPr="009949B9">
        <w:rPr>
          <w:i/>
          <w:color w:val="auto"/>
        </w:rPr>
        <w:t>0.0</w:t>
      </w:r>
      <w:r w:rsidR="00B65469" w:rsidRPr="009949B9">
        <w:rPr>
          <w:i/>
          <w:color w:val="auto"/>
        </w:rPr>
        <w:t>1</w:t>
      </w:r>
      <w:r w:rsidRPr="009949B9">
        <w:rPr>
          <w:color w:val="auto"/>
        </w:rPr>
        <w:t>)</w:t>
      </w:r>
    </w:p>
    <w:p w:rsidR="00905EEF" w:rsidRPr="009949B9" w:rsidRDefault="00905EEF" w:rsidP="00697BCE">
      <w:pPr>
        <w:pStyle w:val="NoSpacing"/>
        <w:rPr>
          <w:color w:val="auto"/>
          <w:lang w:val="en-GB"/>
        </w:rPr>
      </w:pPr>
      <w:r w:rsidRPr="009949B9">
        <w:rPr>
          <w:color w:val="auto"/>
          <w:lang w:val="en-GB"/>
        </w:rPr>
        <w:t>Seven patients completed the CollaboRATE assessment tool</w:t>
      </w:r>
      <w:r w:rsidRPr="009949B9">
        <w:rPr>
          <w:rStyle w:val="FootnoteReference"/>
          <w:color w:val="auto"/>
          <w:lang w:val="en-GB"/>
        </w:rPr>
        <w:footnoteReference w:id="3"/>
      </w:r>
      <w:r w:rsidR="00A97778">
        <w:rPr>
          <w:color w:val="auto"/>
          <w:lang w:val="en-GB"/>
        </w:rPr>
        <w:t xml:space="preserve"> pre- and post-</w:t>
      </w:r>
      <w:r w:rsidRPr="009949B9">
        <w:rPr>
          <w:color w:val="auto"/>
          <w:lang w:val="en-GB"/>
        </w:rPr>
        <w:t>programme. Only one patient showed a significant improvement. However qualitative data demonstrated that the improvements seen in health literacy resulted in patients being more involved in their own care. For example, improved knowledge regarding risk factors for chronic illness led some patients to make changes to their smoking and diet. Others reported greater monitoring of their own health indicators. The programme also helped patients deal with some of their social needs, which</w:t>
      </w:r>
      <w:r w:rsidR="008C7B56">
        <w:rPr>
          <w:color w:val="auto"/>
          <w:lang w:val="en-GB"/>
        </w:rPr>
        <w:t xml:space="preserve"> in turn</w:t>
      </w:r>
      <w:r w:rsidRPr="009949B9">
        <w:rPr>
          <w:color w:val="auto"/>
          <w:lang w:val="en-GB"/>
        </w:rPr>
        <w:t xml:space="preserve"> allowed them to focus on their health needs.</w:t>
      </w:r>
    </w:p>
    <w:p w:rsidR="00905EEF" w:rsidRPr="009949B9" w:rsidRDefault="00905EEF" w:rsidP="00697BCE">
      <w:pPr>
        <w:pStyle w:val="NoSpacing"/>
        <w:rPr>
          <w:color w:val="auto"/>
          <w:lang w:val="en-GB"/>
        </w:rPr>
      </w:pPr>
      <w:r w:rsidRPr="009949B9">
        <w:rPr>
          <w:color w:val="auto"/>
          <w:lang w:val="en-GB"/>
        </w:rPr>
        <w:t>Patients also noted improvements in their health (</w:t>
      </w:r>
      <w:r w:rsidR="0034188F">
        <w:rPr>
          <w:color w:val="auto"/>
          <w:lang w:val="en-GB"/>
        </w:rPr>
        <w:t>eg,</w:t>
      </w:r>
      <w:r w:rsidRPr="009949B9">
        <w:rPr>
          <w:color w:val="auto"/>
          <w:lang w:val="en-GB"/>
        </w:rPr>
        <w:t xml:space="preserve"> blood pressure, HbA1c), mental wellbeing and quality of life.</w:t>
      </w:r>
    </w:p>
    <w:p w:rsidR="00905EEF" w:rsidRPr="009949B9" w:rsidRDefault="00905EEF" w:rsidP="00697BCE">
      <w:pPr>
        <w:pStyle w:val="NoSpacing"/>
        <w:rPr>
          <w:color w:val="auto"/>
          <w:lang w:val="en-GB"/>
        </w:rPr>
      </w:pPr>
      <w:r w:rsidRPr="009949B9">
        <w:rPr>
          <w:color w:val="auto"/>
          <w:lang w:val="en-GB"/>
        </w:rPr>
        <w:t xml:space="preserve">Qualitative data demonstrated the importance of the nurse-kaiawhina partnership. The kaiawhina were particularly important for reaching highly disengaged or underserved patients, who were also Māori. Kaiawhina were seen as having a better understanding of the lived experience of the clients and were able to communicate more effectively than </w:t>
      </w:r>
      <w:r w:rsidR="00A97778" w:rsidRPr="009949B9">
        <w:rPr>
          <w:color w:val="auto"/>
          <w:lang w:val="en-GB"/>
        </w:rPr>
        <w:t>Pākehā</w:t>
      </w:r>
      <w:r w:rsidRPr="009949B9">
        <w:rPr>
          <w:color w:val="auto"/>
          <w:lang w:val="en-GB"/>
        </w:rPr>
        <w:t xml:space="preserve"> health care professionals.</w:t>
      </w:r>
    </w:p>
    <w:p w:rsidR="00905EEF" w:rsidRPr="009949B9" w:rsidRDefault="00905EEF" w:rsidP="00697BCE">
      <w:pPr>
        <w:pStyle w:val="NoSpacing"/>
        <w:rPr>
          <w:color w:val="auto"/>
          <w:lang w:val="en-GB"/>
        </w:rPr>
      </w:pPr>
      <w:r w:rsidRPr="009949B9">
        <w:rPr>
          <w:color w:val="auto"/>
          <w:lang w:val="en-GB"/>
        </w:rPr>
        <w:t>One of the GP practices changed to a more multidisciplinary practice model as a result of being involved in the MWOK pilot.</w:t>
      </w:r>
    </w:p>
    <w:p w:rsidR="00905EEF" w:rsidRPr="009949B9" w:rsidRDefault="00905EEF" w:rsidP="00905EEF">
      <w:pPr>
        <w:pStyle w:val="Heading4"/>
        <w:rPr>
          <w:color w:val="auto"/>
          <w:lang w:val="en-GB"/>
        </w:rPr>
      </w:pPr>
      <w:r w:rsidRPr="009949B9">
        <w:rPr>
          <w:color w:val="auto"/>
          <w:lang w:val="en-GB"/>
        </w:rPr>
        <w:t>Summary</w:t>
      </w:r>
    </w:p>
    <w:p w:rsidR="00905EEF" w:rsidRPr="009949B9" w:rsidRDefault="00905EEF" w:rsidP="00BA552C">
      <w:pPr>
        <w:pStyle w:val="NoSpacing"/>
        <w:rPr>
          <w:color w:val="auto"/>
          <w:lang w:val="en-GB"/>
        </w:rPr>
      </w:pPr>
      <w:r w:rsidRPr="009949B9">
        <w:rPr>
          <w:color w:val="auto"/>
          <w:lang w:val="en-GB"/>
        </w:rPr>
        <w:t>The MWOK model of ca</w:t>
      </w:r>
      <w:r w:rsidR="008C7B56">
        <w:rPr>
          <w:color w:val="auto"/>
          <w:lang w:val="en-GB"/>
        </w:rPr>
        <w:t>re used a partnership approach in the</w:t>
      </w:r>
      <w:r w:rsidRPr="009949B9">
        <w:rPr>
          <w:color w:val="auto"/>
          <w:lang w:val="en-GB"/>
        </w:rPr>
        <w:t xml:space="preserve"> management of LTCs, with a kaiawhina role being seen as critical to the success of this model. The kaiawhina staff were able to work more closely with the priority population and provided a ‘bridge’ between patients and GP practices.</w:t>
      </w:r>
    </w:p>
    <w:p w:rsidR="00905EEF" w:rsidRPr="009949B9" w:rsidRDefault="00905EEF" w:rsidP="00BA552C">
      <w:pPr>
        <w:pStyle w:val="NoSpacing"/>
        <w:rPr>
          <w:color w:val="auto"/>
          <w:lang w:val="en-GB"/>
        </w:rPr>
      </w:pPr>
      <w:r w:rsidRPr="009949B9">
        <w:rPr>
          <w:color w:val="auto"/>
          <w:lang w:val="en-GB"/>
        </w:rPr>
        <w:t xml:space="preserve">The MWOK model was intensive and utilised home visits. This meant that a limited number of people could be accepted onto the programme. It also meant that the cost per enrolled </w:t>
      </w:r>
      <w:r w:rsidR="008C7B56" w:rsidRPr="009949B9">
        <w:rPr>
          <w:color w:val="auto"/>
          <w:lang w:val="en-GB"/>
        </w:rPr>
        <w:t xml:space="preserve">patient </w:t>
      </w:r>
      <w:r w:rsidRPr="009949B9">
        <w:rPr>
          <w:color w:val="auto"/>
          <w:lang w:val="en-GB"/>
        </w:rPr>
        <w:t>was higher. However</w:t>
      </w:r>
      <w:r w:rsidR="008C7B56">
        <w:rPr>
          <w:color w:val="auto"/>
          <w:lang w:val="en-GB"/>
        </w:rPr>
        <w:t>,</w:t>
      </w:r>
      <w:r w:rsidRPr="009949B9">
        <w:rPr>
          <w:color w:val="auto"/>
          <w:lang w:val="en-GB"/>
        </w:rPr>
        <w:t xml:space="preserve"> the programme achieved its goals in reaching the priority population.</w:t>
      </w:r>
    </w:p>
    <w:p w:rsidR="00905EEF" w:rsidRPr="009949B9" w:rsidRDefault="00905EEF" w:rsidP="00BA552C">
      <w:pPr>
        <w:pStyle w:val="NoSpacing"/>
        <w:rPr>
          <w:color w:val="auto"/>
          <w:lang w:val="en-GB"/>
        </w:rPr>
      </w:pPr>
      <w:r w:rsidRPr="009949B9">
        <w:rPr>
          <w:color w:val="auto"/>
          <w:lang w:val="en-GB"/>
        </w:rPr>
        <w:t>Quantitative and qualitative assessments showed some improvements in self-management. However, further work could be done to demonstrate quantitative improvements in health.</w:t>
      </w:r>
    </w:p>
    <w:p w:rsidR="00905EEF" w:rsidRPr="009949B9" w:rsidRDefault="00905EEF" w:rsidP="00BA552C">
      <w:pPr>
        <w:pStyle w:val="NoSpacing"/>
        <w:rPr>
          <w:color w:val="auto"/>
          <w:lang w:val="en-GB"/>
        </w:rPr>
      </w:pPr>
      <w:r w:rsidRPr="009949B9">
        <w:rPr>
          <w:color w:val="auto"/>
          <w:lang w:val="en-GB"/>
        </w:rPr>
        <w:t>If this model is implemented on a wider scale</w:t>
      </w:r>
      <w:r w:rsidR="008C7B56">
        <w:rPr>
          <w:color w:val="auto"/>
          <w:lang w:val="en-GB"/>
        </w:rPr>
        <w:t>,</w:t>
      </w:r>
      <w:r w:rsidRPr="009949B9">
        <w:rPr>
          <w:color w:val="auto"/>
          <w:lang w:val="en-GB"/>
        </w:rPr>
        <w:t xml:space="preserve"> careful attention needs to be paid to recruitment, staff training and mentoring, communication with GP practices and monitoring of outcomes. This project had the most expensive per patient cost</w:t>
      </w:r>
      <w:r w:rsidR="008C7B56">
        <w:rPr>
          <w:color w:val="auto"/>
          <w:lang w:val="en-GB"/>
        </w:rPr>
        <w:t>;</w:t>
      </w:r>
      <w:r w:rsidRPr="009949B9">
        <w:rPr>
          <w:color w:val="auto"/>
          <w:lang w:val="en-GB"/>
        </w:rPr>
        <w:t xml:space="preserve"> however</w:t>
      </w:r>
      <w:r w:rsidR="008C7B56">
        <w:rPr>
          <w:color w:val="auto"/>
          <w:lang w:val="en-GB"/>
        </w:rPr>
        <w:t>, given the hard-</w:t>
      </w:r>
      <w:r w:rsidRPr="009949B9">
        <w:rPr>
          <w:color w:val="auto"/>
          <w:lang w:val="en-GB"/>
        </w:rPr>
        <w:t>to</w:t>
      </w:r>
      <w:r w:rsidR="008C7B56">
        <w:rPr>
          <w:color w:val="auto"/>
          <w:lang w:val="en-GB"/>
        </w:rPr>
        <w:t>-</w:t>
      </w:r>
      <w:r w:rsidRPr="009949B9">
        <w:rPr>
          <w:color w:val="auto"/>
          <w:lang w:val="en-GB"/>
        </w:rPr>
        <w:t>reach</w:t>
      </w:r>
      <w:r w:rsidR="008C7B56">
        <w:rPr>
          <w:color w:val="auto"/>
          <w:lang w:val="en-GB"/>
        </w:rPr>
        <w:t xml:space="preserve"> target</w:t>
      </w:r>
      <w:r w:rsidRPr="009949B9">
        <w:rPr>
          <w:color w:val="auto"/>
          <w:lang w:val="en-GB"/>
        </w:rPr>
        <w:t xml:space="preserve"> population and geographical reach, this programme may still represent value for money. A more formal assessment of this should be considered before the model is implemented more widely.</w:t>
      </w:r>
    </w:p>
    <w:p w:rsidR="00905EEF" w:rsidRPr="00D516D3" w:rsidRDefault="00905EEF" w:rsidP="00034C96">
      <w:pPr>
        <w:pStyle w:val="Heading3"/>
      </w:pPr>
      <w:bookmarkStart w:id="14" w:name="_Toc465944117"/>
      <w:r w:rsidRPr="00D516D3">
        <w:t>ProCare</w:t>
      </w:r>
      <w:bookmarkEnd w:id="14"/>
    </w:p>
    <w:p w:rsidR="00905EEF" w:rsidRPr="009949B9" w:rsidRDefault="00905EEF" w:rsidP="00BA552C">
      <w:pPr>
        <w:pStyle w:val="NoSpacing"/>
        <w:rPr>
          <w:color w:val="auto"/>
          <w:lang w:val="en-GB"/>
        </w:rPr>
      </w:pPr>
      <w:r w:rsidRPr="009949B9">
        <w:rPr>
          <w:color w:val="auto"/>
          <w:lang w:val="en-GB"/>
        </w:rPr>
        <w:t>ProCare delivered a shared care and self-management project in two GP practices; Pukekohe Family Health Centre (PFHC) and Clendon Medical Centre (CMC).</w:t>
      </w:r>
    </w:p>
    <w:p w:rsidR="00905EEF" w:rsidRPr="009949B9" w:rsidRDefault="00905EEF" w:rsidP="00BA552C">
      <w:pPr>
        <w:pStyle w:val="NoSpacing"/>
        <w:rPr>
          <w:color w:val="auto"/>
          <w:lang w:val="en-GB"/>
        </w:rPr>
      </w:pPr>
      <w:r w:rsidRPr="009949B9">
        <w:rPr>
          <w:color w:val="auto"/>
          <w:lang w:val="en-GB"/>
        </w:rPr>
        <w:t>The CMC is a Very Low Cost Access (VLCA) practice with a large population of Pacific patients and a locality with high rates of poverty and people with complex health needs. The PFHC is a rural practice with patients mainly of European descent, but with significant Māori and ethnic Indian and East Asian communities, and a mix of people from different soci</w:t>
      </w:r>
      <w:r w:rsidR="008C7B56">
        <w:rPr>
          <w:color w:val="auto"/>
          <w:lang w:val="en-GB"/>
        </w:rPr>
        <w:t>o</w:t>
      </w:r>
      <w:r w:rsidRPr="009949B9">
        <w:rPr>
          <w:color w:val="auto"/>
          <w:lang w:val="en-GB"/>
        </w:rPr>
        <w:t>economic groups.</w:t>
      </w:r>
    </w:p>
    <w:p w:rsidR="00905EEF" w:rsidRPr="009949B9" w:rsidRDefault="00905EEF" w:rsidP="00905EEF">
      <w:pPr>
        <w:pStyle w:val="Heading4"/>
        <w:rPr>
          <w:color w:val="auto"/>
          <w:lang w:val="en-GB"/>
        </w:rPr>
      </w:pPr>
      <w:r w:rsidRPr="009949B9">
        <w:rPr>
          <w:color w:val="auto"/>
          <w:lang w:val="en-GB"/>
        </w:rPr>
        <w:t>The programme</w:t>
      </w:r>
    </w:p>
    <w:p w:rsidR="00905EEF" w:rsidRPr="009949B9" w:rsidRDefault="00905EEF" w:rsidP="00BA552C">
      <w:pPr>
        <w:pStyle w:val="NoSpacing"/>
        <w:rPr>
          <w:color w:val="auto"/>
          <w:lang w:val="en-GB"/>
        </w:rPr>
      </w:pPr>
      <w:r w:rsidRPr="009949B9">
        <w:rPr>
          <w:color w:val="auto"/>
          <w:lang w:val="en-GB"/>
        </w:rPr>
        <w:t>This programme was rolled out in conjunction with the At Risk Individuals (ARI) project and involved a three-stage patient journey: (1) assessment and enrolment;</w:t>
      </w:r>
      <w:r w:rsidRPr="009949B9">
        <w:rPr>
          <w:rFonts w:cs="Calibri Light"/>
          <w:color w:val="auto"/>
          <w:lang w:val="en-GB"/>
        </w:rPr>
        <w:t xml:space="preserve"> </w:t>
      </w:r>
      <w:r w:rsidRPr="009949B9">
        <w:rPr>
          <w:color w:val="auto"/>
          <w:lang w:val="en-GB"/>
        </w:rPr>
        <w:t>(2) up to 12 months of coordinated care; and (3) transition off ARI or reenrolment as</w:t>
      </w:r>
      <w:r w:rsidRPr="009949B9">
        <w:rPr>
          <w:rFonts w:cs="Calibri Light"/>
          <w:color w:val="auto"/>
          <w:lang w:val="en-GB"/>
        </w:rPr>
        <w:t xml:space="preserve"> </w:t>
      </w:r>
      <w:r w:rsidRPr="009949B9">
        <w:rPr>
          <w:color w:val="auto"/>
          <w:lang w:val="en-GB"/>
        </w:rPr>
        <w:t>needed.</w:t>
      </w:r>
    </w:p>
    <w:p w:rsidR="00905EEF" w:rsidRPr="009949B9" w:rsidRDefault="008C7B56" w:rsidP="00BA552C">
      <w:pPr>
        <w:pStyle w:val="NoSpacing"/>
        <w:rPr>
          <w:color w:val="auto"/>
          <w:lang w:val="en-GB" w:eastAsia="en-AU"/>
        </w:rPr>
      </w:pPr>
      <w:r>
        <w:rPr>
          <w:color w:val="auto"/>
          <w:lang w:val="en-GB" w:eastAsia="en-AU"/>
        </w:rPr>
        <w:t>The programme utilised the six</w:t>
      </w:r>
      <w:r w:rsidR="00905EEF" w:rsidRPr="009949B9">
        <w:rPr>
          <w:color w:val="auto"/>
          <w:lang w:val="en-GB" w:eastAsia="en-AU"/>
        </w:rPr>
        <w:t>-week Stanford self-mana</w:t>
      </w:r>
      <w:r>
        <w:rPr>
          <w:color w:val="auto"/>
          <w:lang w:val="en-GB" w:eastAsia="en-AU"/>
        </w:rPr>
        <w:t>gement programme (SMP). Groups we</w:t>
      </w:r>
      <w:r w:rsidR="00905EEF" w:rsidRPr="009949B9">
        <w:rPr>
          <w:color w:val="auto"/>
          <w:lang w:val="en-GB" w:eastAsia="en-AU"/>
        </w:rPr>
        <w:t>re aligned</w:t>
      </w:r>
      <w:r>
        <w:rPr>
          <w:color w:val="auto"/>
          <w:lang w:val="en-GB" w:eastAsia="en-AU"/>
        </w:rPr>
        <w:t xml:space="preserve"> according to need</w:t>
      </w:r>
      <w:r w:rsidR="00905EEF" w:rsidRPr="009949B9">
        <w:rPr>
          <w:color w:val="auto"/>
          <w:lang w:val="en-GB" w:eastAsia="en-AU"/>
        </w:rPr>
        <w:t xml:space="preserve"> </w:t>
      </w:r>
      <w:r>
        <w:rPr>
          <w:color w:val="auto"/>
          <w:lang w:val="en-GB" w:eastAsia="en-AU"/>
        </w:rPr>
        <w:t>(</w:t>
      </w:r>
      <w:r w:rsidR="0034188F">
        <w:rPr>
          <w:color w:val="auto"/>
          <w:lang w:val="en-GB" w:eastAsia="en-AU"/>
        </w:rPr>
        <w:t>eg,</w:t>
      </w:r>
      <w:r w:rsidR="00905EEF" w:rsidRPr="009949B9">
        <w:rPr>
          <w:color w:val="auto"/>
          <w:lang w:val="en-GB" w:eastAsia="en-AU"/>
        </w:rPr>
        <w:t xml:space="preserve"> diabetes, chronic pain, and generic health issues</w:t>
      </w:r>
      <w:r>
        <w:rPr>
          <w:color w:val="auto"/>
          <w:lang w:val="en-GB" w:eastAsia="en-AU"/>
        </w:rPr>
        <w:t>)</w:t>
      </w:r>
      <w:r w:rsidR="00905EEF" w:rsidRPr="009949B9">
        <w:rPr>
          <w:color w:val="auto"/>
          <w:lang w:val="en-GB" w:eastAsia="en-AU"/>
        </w:rPr>
        <w:t>. All patien</w:t>
      </w:r>
      <w:r>
        <w:rPr>
          <w:color w:val="auto"/>
          <w:lang w:val="en-GB" w:eastAsia="en-AU"/>
        </w:rPr>
        <w:t>ts enrolled into the programme we</w:t>
      </w:r>
      <w:r w:rsidR="00905EEF" w:rsidRPr="009949B9">
        <w:rPr>
          <w:color w:val="auto"/>
          <w:lang w:val="en-GB" w:eastAsia="en-AU"/>
        </w:rPr>
        <w:t>re automatically referred to the PHO self-</w:t>
      </w:r>
      <w:r>
        <w:rPr>
          <w:color w:val="auto"/>
          <w:lang w:val="en-GB" w:eastAsia="en-AU"/>
        </w:rPr>
        <w:t>management coordinator who called</w:t>
      </w:r>
      <w:r w:rsidR="00905EEF" w:rsidRPr="009949B9">
        <w:rPr>
          <w:color w:val="auto"/>
          <w:lang w:val="en-GB" w:eastAsia="en-AU"/>
        </w:rPr>
        <w:t xml:space="preserve"> and invite</w:t>
      </w:r>
      <w:r>
        <w:rPr>
          <w:color w:val="auto"/>
          <w:lang w:val="en-GB" w:eastAsia="en-AU"/>
        </w:rPr>
        <w:t>d</w:t>
      </w:r>
      <w:r w:rsidR="00905EEF" w:rsidRPr="009949B9">
        <w:rPr>
          <w:color w:val="auto"/>
          <w:lang w:val="en-GB" w:eastAsia="en-AU"/>
        </w:rPr>
        <w:t xml:space="preserve"> patients to the relevant </w:t>
      </w:r>
      <w:r>
        <w:rPr>
          <w:color w:val="auto"/>
          <w:lang w:val="en-GB" w:eastAsia="en-AU"/>
        </w:rPr>
        <w:t>practice programme</w:t>
      </w:r>
      <w:r w:rsidR="00905EEF" w:rsidRPr="009949B9">
        <w:rPr>
          <w:color w:val="auto"/>
          <w:lang w:val="en-GB" w:eastAsia="en-AU"/>
        </w:rPr>
        <w:t xml:space="preserve">. Programmes </w:t>
      </w:r>
      <w:r>
        <w:rPr>
          <w:color w:val="auto"/>
          <w:lang w:val="en-GB" w:eastAsia="en-AU"/>
        </w:rPr>
        <w:t>we</w:t>
      </w:r>
      <w:r w:rsidR="00905EEF" w:rsidRPr="009949B9">
        <w:rPr>
          <w:color w:val="auto"/>
          <w:lang w:val="en-GB" w:eastAsia="en-AU"/>
        </w:rPr>
        <w:t>re run at either a local community centre or at the practice.</w:t>
      </w:r>
    </w:p>
    <w:p w:rsidR="00905EEF" w:rsidRPr="009949B9" w:rsidRDefault="00905EEF" w:rsidP="00BA552C">
      <w:pPr>
        <w:pStyle w:val="NoSpacing"/>
        <w:rPr>
          <w:color w:val="auto"/>
          <w:lang w:val="en-GB"/>
        </w:rPr>
      </w:pPr>
      <w:r w:rsidRPr="009949B9">
        <w:rPr>
          <w:color w:val="auto"/>
          <w:lang w:val="en-GB" w:eastAsia="en-AU"/>
        </w:rPr>
        <w:t>The CMC had trialled Stanford SMP in the past and had poor engagement from patients. Therefore</w:t>
      </w:r>
      <w:r w:rsidR="008C7B56">
        <w:rPr>
          <w:color w:val="auto"/>
          <w:lang w:val="en-GB" w:eastAsia="en-AU"/>
        </w:rPr>
        <w:t>,</w:t>
      </w:r>
      <w:r w:rsidRPr="009949B9">
        <w:rPr>
          <w:color w:val="auto"/>
          <w:lang w:val="en-GB" w:eastAsia="en-AU"/>
        </w:rPr>
        <w:t xml:space="preserve"> the nursing team</w:t>
      </w:r>
      <w:r w:rsidR="008C7B56">
        <w:rPr>
          <w:color w:val="auto"/>
          <w:lang w:val="en-GB" w:eastAsia="en-AU"/>
        </w:rPr>
        <w:t xml:space="preserve"> worked with ProCare’s Pacific dietitian to develop a shorter three</w:t>
      </w:r>
      <w:r w:rsidRPr="009949B9">
        <w:rPr>
          <w:color w:val="auto"/>
          <w:lang w:val="en-GB" w:eastAsia="en-AU"/>
        </w:rPr>
        <w:t>-</w:t>
      </w:r>
      <w:r w:rsidR="008C7B56">
        <w:rPr>
          <w:color w:val="auto"/>
          <w:lang w:val="en-GB" w:eastAsia="en-AU"/>
        </w:rPr>
        <w:t xml:space="preserve">four </w:t>
      </w:r>
      <w:r w:rsidRPr="009949B9">
        <w:rPr>
          <w:color w:val="auto"/>
          <w:lang w:val="en-GB" w:eastAsia="en-AU"/>
        </w:rPr>
        <w:t>week programme with a focus on diabetes and a strong nutrition component. Howev</w:t>
      </w:r>
      <w:r w:rsidR="008C7B56">
        <w:rPr>
          <w:color w:val="auto"/>
          <w:lang w:val="en-GB" w:eastAsia="en-AU"/>
        </w:rPr>
        <w:t>er, when this modified diabetes-</w:t>
      </w:r>
      <w:r w:rsidRPr="009949B9">
        <w:rPr>
          <w:color w:val="auto"/>
          <w:lang w:val="en-GB" w:eastAsia="en-AU"/>
        </w:rPr>
        <w:t>specific SMP was trialled only four of the 10 invited participants attended the first session and none returned for following sessions. Seeing the success of the Stanford SMPs run in PFHC</w:t>
      </w:r>
      <w:r w:rsidR="008C7B56">
        <w:rPr>
          <w:color w:val="auto"/>
          <w:lang w:val="en-GB" w:eastAsia="en-AU"/>
        </w:rPr>
        <w:t>,</w:t>
      </w:r>
      <w:r w:rsidRPr="009949B9">
        <w:rPr>
          <w:color w:val="auto"/>
          <w:lang w:val="en-GB" w:eastAsia="en-AU"/>
        </w:rPr>
        <w:t xml:space="preserve"> the CMC decided to adopt this approach </w:t>
      </w:r>
      <w:r w:rsidR="008C7B56">
        <w:rPr>
          <w:color w:val="auto"/>
          <w:lang w:val="en-GB" w:eastAsia="en-AU"/>
        </w:rPr>
        <w:t xml:space="preserve">by </w:t>
      </w:r>
      <w:r w:rsidRPr="009949B9">
        <w:rPr>
          <w:color w:val="auto"/>
          <w:lang w:val="en-GB" w:eastAsia="en-AU"/>
        </w:rPr>
        <w:t>adding an incentives component where patients who attend</w:t>
      </w:r>
      <w:r w:rsidR="008C7B56">
        <w:rPr>
          <w:color w:val="auto"/>
          <w:lang w:val="en-GB" w:eastAsia="en-AU"/>
        </w:rPr>
        <w:t>ed</w:t>
      </w:r>
      <w:r w:rsidRPr="009949B9">
        <w:rPr>
          <w:color w:val="auto"/>
          <w:lang w:val="en-GB" w:eastAsia="en-AU"/>
        </w:rPr>
        <w:t xml:space="preserve"> at least five of the </w:t>
      </w:r>
      <w:r w:rsidR="008C7B56">
        <w:rPr>
          <w:color w:val="auto"/>
          <w:lang w:val="en-GB" w:eastAsia="en-AU"/>
        </w:rPr>
        <w:t>six</w:t>
      </w:r>
      <w:r w:rsidRPr="009949B9">
        <w:rPr>
          <w:color w:val="auto"/>
          <w:lang w:val="en-GB" w:eastAsia="en-AU"/>
        </w:rPr>
        <w:t xml:space="preserve"> sessions receive</w:t>
      </w:r>
      <w:r w:rsidR="008C7B56">
        <w:rPr>
          <w:color w:val="auto"/>
          <w:lang w:val="en-GB" w:eastAsia="en-AU"/>
        </w:rPr>
        <w:t>d</w:t>
      </w:r>
      <w:r w:rsidRPr="009949B9">
        <w:rPr>
          <w:color w:val="auto"/>
          <w:lang w:val="en-GB" w:eastAsia="en-AU"/>
        </w:rPr>
        <w:t xml:space="preserve"> a healthy food hamper.</w:t>
      </w:r>
    </w:p>
    <w:p w:rsidR="00905EEF" w:rsidRPr="009949B9" w:rsidRDefault="00905EEF" w:rsidP="00BA552C">
      <w:pPr>
        <w:pStyle w:val="NoSpacing"/>
        <w:rPr>
          <w:color w:val="auto"/>
          <w:lang w:val="en-GB" w:eastAsia="en-AU"/>
        </w:rPr>
      </w:pPr>
      <w:r w:rsidRPr="009949B9">
        <w:rPr>
          <w:color w:val="auto"/>
          <w:lang w:val="en-GB" w:eastAsia="en-AU"/>
        </w:rPr>
        <w:t xml:space="preserve">Both practice programmes included input from a health psychologist, and </w:t>
      </w:r>
      <w:r w:rsidRPr="009949B9">
        <w:rPr>
          <w:color w:val="auto"/>
          <w:lang w:val="en-GB"/>
        </w:rPr>
        <w:t>a community health coordinator/social worker. The PFHC also included pharmacy medication support services and palliative care. The CMC included a mindfulness course. CMC GP visits were free, whereas the PFHC</w:t>
      </w:r>
      <w:r w:rsidRPr="009949B9">
        <w:rPr>
          <w:color w:val="auto"/>
          <w:lang w:val="en-GB" w:eastAsia="en-AU"/>
        </w:rPr>
        <w:t xml:space="preserve"> patients </w:t>
      </w:r>
      <w:r w:rsidR="008C7B56">
        <w:rPr>
          <w:color w:val="auto"/>
          <w:lang w:val="en-GB" w:eastAsia="en-AU"/>
        </w:rPr>
        <w:t>paid to attend</w:t>
      </w:r>
      <w:r w:rsidRPr="009949B9">
        <w:rPr>
          <w:color w:val="auto"/>
          <w:lang w:val="en-GB" w:eastAsia="en-AU"/>
        </w:rPr>
        <w:t>. All nurse visits were free.</w:t>
      </w:r>
    </w:p>
    <w:p w:rsidR="00905EEF" w:rsidRPr="009949B9" w:rsidRDefault="00905EEF" w:rsidP="00BA552C">
      <w:pPr>
        <w:pStyle w:val="NoSpacing"/>
        <w:rPr>
          <w:color w:val="auto"/>
          <w:lang w:val="en-GB"/>
        </w:rPr>
      </w:pPr>
      <w:r w:rsidRPr="009949B9">
        <w:rPr>
          <w:color w:val="auto"/>
          <w:lang w:val="en-GB"/>
        </w:rPr>
        <w:t xml:space="preserve">An eShared Care tool (Collaborative Care Management Solution or CCMS) was used. This allowed clinicians to develop and manage a patient-centred care plan that </w:t>
      </w:r>
      <w:r w:rsidR="008C7B56">
        <w:rPr>
          <w:color w:val="auto"/>
          <w:lang w:val="en-GB"/>
        </w:rPr>
        <w:t>could</w:t>
      </w:r>
      <w:r w:rsidRPr="009949B9">
        <w:rPr>
          <w:color w:val="auto"/>
          <w:lang w:val="en-GB"/>
        </w:rPr>
        <w:t xml:space="preserve"> be accessed by other clinical specialties not necessarily linked to the practice.</w:t>
      </w:r>
    </w:p>
    <w:p w:rsidR="00905EEF" w:rsidRPr="009949B9" w:rsidRDefault="00905EEF" w:rsidP="00BA552C">
      <w:pPr>
        <w:pStyle w:val="NoSpacing"/>
        <w:rPr>
          <w:color w:val="auto"/>
          <w:lang w:val="en-GB" w:eastAsia="en-AU"/>
        </w:rPr>
      </w:pPr>
      <w:r w:rsidRPr="009949B9">
        <w:rPr>
          <w:color w:val="auto"/>
          <w:lang w:val="en-GB"/>
        </w:rPr>
        <w:t xml:space="preserve">As part of implementation of the ARI programme, practices were supported through a change management process to inform and upskill team members. The </w:t>
      </w:r>
      <w:r w:rsidRPr="009949B9">
        <w:rPr>
          <w:color w:val="auto"/>
          <w:lang w:val="en-GB" w:eastAsia="en-AU"/>
        </w:rPr>
        <w:t>change management components included executive sponsorship, delegated leadership, fortnightly project meetings, a focus on clinical outcomes, patie</w:t>
      </w:r>
      <w:r w:rsidR="008C7B56">
        <w:rPr>
          <w:color w:val="auto"/>
          <w:lang w:val="en-GB" w:eastAsia="en-AU"/>
        </w:rPr>
        <w:t>nt success stories/feedback, on</w:t>
      </w:r>
      <w:r w:rsidRPr="009949B9">
        <w:rPr>
          <w:color w:val="auto"/>
          <w:lang w:val="en-GB" w:eastAsia="en-AU"/>
        </w:rPr>
        <w:t>going training requirements, and dedicated onsite change management support.</w:t>
      </w:r>
    </w:p>
    <w:p w:rsidR="00905EEF" w:rsidRPr="009949B9" w:rsidRDefault="00905EEF" w:rsidP="00BA552C">
      <w:pPr>
        <w:pStyle w:val="NoSpacing"/>
        <w:rPr>
          <w:color w:val="auto"/>
          <w:lang w:val="en-GB"/>
        </w:rPr>
      </w:pPr>
      <w:r w:rsidRPr="009949B9">
        <w:rPr>
          <w:color w:val="auto"/>
          <w:lang w:val="en-GB"/>
        </w:rPr>
        <w:t>Both practices had a target of enrolling 3</w:t>
      </w:r>
      <w:r w:rsidR="00973820">
        <w:rPr>
          <w:color w:val="auto"/>
          <w:lang w:val="en-GB"/>
        </w:rPr>
        <w:t xml:space="preserve"> percent</w:t>
      </w:r>
      <w:r w:rsidRPr="009949B9">
        <w:rPr>
          <w:color w:val="auto"/>
          <w:lang w:val="en-GB"/>
        </w:rPr>
        <w:t xml:space="preserve"> of their population on the programme within </w:t>
      </w:r>
      <w:r w:rsidR="008C7B56">
        <w:rPr>
          <w:color w:val="auto"/>
          <w:lang w:val="en-GB"/>
        </w:rPr>
        <w:t>12</w:t>
      </w:r>
      <w:r w:rsidRPr="009949B9">
        <w:rPr>
          <w:color w:val="auto"/>
          <w:lang w:val="en-GB"/>
        </w:rPr>
        <w:t xml:space="preserve"> months of starting the pilot.</w:t>
      </w:r>
    </w:p>
    <w:p w:rsidR="00905EEF" w:rsidRPr="009949B9" w:rsidRDefault="00905EEF" w:rsidP="00905EEF">
      <w:pPr>
        <w:pStyle w:val="Heading4"/>
        <w:rPr>
          <w:color w:val="auto"/>
          <w:lang w:val="en-GB"/>
        </w:rPr>
      </w:pPr>
      <w:r w:rsidRPr="009949B9">
        <w:rPr>
          <w:color w:val="auto"/>
          <w:lang w:val="en-GB"/>
        </w:rPr>
        <w:t>Participants</w:t>
      </w:r>
    </w:p>
    <w:p w:rsidR="00BD2703" w:rsidRPr="009949B9" w:rsidRDefault="00905EEF" w:rsidP="00BD2703">
      <w:pPr>
        <w:pStyle w:val="NoSpacing"/>
        <w:rPr>
          <w:color w:val="auto"/>
          <w:lang w:val="en-GB"/>
        </w:rPr>
      </w:pPr>
      <w:r w:rsidRPr="009949B9">
        <w:rPr>
          <w:color w:val="auto"/>
          <w:lang w:val="en-GB"/>
        </w:rPr>
        <w:t>During the 16-month pilot the programme enrolled 332 patients at CMC and 792 patients from PFHC. The PFHC had greater numbers due to its size and the use of a more systematic implementation process.</w:t>
      </w:r>
      <w:r w:rsidR="00BD2703" w:rsidRPr="009949B9">
        <w:rPr>
          <w:color w:val="auto"/>
          <w:lang w:val="en-GB"/>
        </w:rPr>
        <w:t xml:space="preserve"> Details of the total pool that these samples were drawn from were not reported.</w:t>
      </w:r>
    </w:p>
    <w:p w:rsidR="00905EEF" w:rsidRPr="009949B9" w:rsidRDefault="00905EEF" w:rsidP="00BA552C">
      <w:pPr>
        <w:pStyle w:val="NoSpacing"/>
        <w:rPr>
          <w:color w:val="auto"/>
          <w:lang w:val="en-GB"/>
        </w:rPr>
      </w:pPr>
      <w:r w:rsidRPr="009949B9">
        <w:rPr>
          <w:color w:val="auto"/>
          <w:lang w:val="en-GB"/>
        </w:rPr>
        <w:t xml:space="preserve">The majority of participants were between 45 and 75 years of age. </w:t>
      </w:r>
    </w:p>
    <w:p w:rsidR="00905EEF" w:rsidRPr="009949B9" w:rsidRDefault="00905EEF" w:rsidP="00BA552C">
      <w:pPr>
        <w:pStyle w:val="NoSpacing"/>
        <w:rPr>
          <w:color w:val="auto"/>
          <w:lang w:val="en-GB"/>
        </w:rPr>
      </w:pPr>
      <w:r w:rsidRPr="009949B9">
        <w:rPr>
          <w:color w:val="auto"/>
          <w:lang w:val="en-GB"/>
        </w:rPr>
        <w:t>The CMC enrolled a slightly greater proportion of Pacific patients when considering both practice demographics and calculated risk. The proportion of Māori patients roughly matched the practice demographic. The PFHC h</w:t>
      </w:r>
      <w:r w:rsidR="00115117" w:rsidRPr="009949B9">
        <w:rPr>
          <w:color w:val="auto"/>
          <w:lang w:val="en-GB"/>
        </w:rPr>
        <w:t>ad higher enrolment of both Mā</w:t>
      </w:r>
      <w:r w:rsidRPr="009949B9">
        <w:rPr>
          <w:color w:val="auto"/>
          <w:lang w:val="en-GB"/>
        </w:rPr>
        <w:t xml:space="preserve">ori and Pacific people and </w:t>
      </w:r>
      <w:r w:rsidR="008C7B56">
        <w:rPr>
          <w:color w:val="auto"/>
          <w:lang w:val="en-GB"/>
        </w:rPr>
        <w:t>fewer from</w:t>
      </w:r>
      <w:r w:rsidRPr="009949B9">
        <w:rPr>
          <w:color w:val="auto"/>
          <w:lang w:val="en-GB"/>
        </w:rPr>
        <w:t xml:space="preserve"> ‘Other’ ethnic groups when considering both practice demographics and calculated risk.</w:t>
      </w:r>
    </w:p>
    <w:p w:rsidR="00905EEF" w:rsidRPr="009949B9" w:rsidRDefault="00905EEF" w:rsidP="00BA552C">
      <w:pPr>
        <w:pStyle w:val="NoSpacing"/>
        <w:rPr>
          <w:color w:val="auto"/>
          <w:lang w:val="en-GB"/>
        </w:rPr>
      </w:pPr>
      <w:r w:rsidRPr="009949B9">
        <w:rPr>
          <w:color w:val="auto"/>
          <w:lang w:val="en-GB"/>
        </w:rPr>
        <w:t>The total cost of the programme (excluding the evaluation) was $350,000, giving a cost per enrolled participant of $311.</w:t>
      </w:r>
    </w:p>
    <w:p w:rsidR="00905EEF" w:rsidRPr="009949B9" w:rsidRDefault="00905EEF" w:rsidP="00905EEF">
      <w:pPr>
        <w:pStyle w:val="Heading4"/>
        <w:rPr>
          <w:color w:val="auto"/>
          <w:lang w:val="en-GB"/>
        </w:rPr>
      </w:pPr>
      <w:r w:rsidRPr="009949B9">
        <w:rPr>
          <w:color w:val="auto"/>
          <w:lang w:val="en-GB"/>
        </w:rPr>
        <w:t>Outcomes</w:t>
      </w:r>
    </w:p>
    <w:p w:rsidR="00905EEF" w:rsidRPr="009949B9" w:rsidRDefault="00905EEF" w:rsidP="00BA552C">
      <w:pPr>
        <w:pStyle w:val="NoSpacing"/>
        <w:rPr>
          <w:color w:val="auto"/>
          <w:lang w:val="en-GB"/>
        </w:rPr>
      </w:pPr>
      <w:r w:rsidRPr="009949B9">
        <w:rPr>
          <w:color w:val="auto"/>
          <w:lang w:val="en-GB"/>
        </w:rPr>
        <w:t>The Partners in Health (PIH) questionnaire was used to collect scores at the time of enrolment in the ARI programme</w:t>
      </w:r>
      <w:r w:rsidR="00776E07">
        <w:rPr>
          <w:color w:val="auto"/>
          <w:lang w:val="en-GB"/>
        </w:rPr>
        <w:t>,</w:t>
      </w:r>
      <w:r w:rsidRPr="009949B9">
        <w:rPr>
          <w:color w:val="auto"/>
          <w:lang w:val="en-GB"/>
        </w:rPr>
        <w:t xml:space="preserve"> and again in ten to twelve months when individuals were either re-enrolled or graduated from the programme. The mean change score for CMC was 5.40 (95</w:t>
      </w:r>
      <w:r w:rsidR="00973820">
        <w:rPr>
          <w:color w:val="auto"/>
          <w:lang w:val="en-GB"/>
        </w:rPr>
        <w:t xml:space="preserve"> percent</w:t>
      </w:r>
      <w:r w:rsidRPr="009949B9">
        <w:rPr>
          <w:color w:val="auto"/>
          <w:lang w:val="en-GB"/>
        </w:rPr>
        <w:t xml:space="preserve"> CI 0.41 to 10.40) and 4.29 (95</w:t>
      </w:r>
      <w:r w:rsidR="00973820">
        <w:rPr>
          <w:color w:val="auto"/>
          <w:lang w:val="en-GB"/>
        </w:rPr>
        <w:t xml:space="preserve"> percent</w:t>
      </w:r>
      <w:r w:rsidRPr="009949B9">
        <w:rPr>
          <w:color w:val="auto"/>
          <w:lang w:val="en-GB"/>
        </w:rPr>
        <w:t xml:space="preserve"> CI</w:t>
      </w:r>
      <w:r w:rsidRPr="009949B9">
        <w:rPr>
          <w:rFonts w:cs="Calibri Light"/>
          <w:color w:val="auto"/>
          <w:lang w:val="en-GB"/>
        </w:rPr>
        <w:t xml:space="preserve"> </w:t>
      </w:r>
      <w:r w:rsidRPr="009949B9">
        <w:rPr>
          <w:color w:val="auto"/>
          <w:lang w:val="en-GB"/>
        </w:rPr>
        <w:t xml:space="preserve">3.14 to 6.69) for PFHC. The number of patients completing both pre- and </w:t>
      </w:r>
      <w:r w:rsidR="00A97778" w:rsidRPr="009949B9">
        <w:rPr>
          <w:color w:val="auto"/>
          <w:lang w:val="en-GB"/>
        </w:rPr>
        <w:t>post-surveys</w:t>
      </w:r>
      <w:r w:rsidRPr="009949B9">
        <w:rPr>
          <w:color w:val="auto"/>
          <w:lang w:val="en-GB"/>
        </w:rPr>
        <w:t xml:space="preserve"> is not stated, but the wide confidence intervals suggest that the number of respondents was low. As a comparison, in practices doing</w:t>
      </w:r>
      <w:r w:rsidR="00776E07">
        <w:rPr>
          <w:color w:val="auto"/>
          <w:lang w:val="en-GB"/>
        </w:rPr>
        <w:t xml:space="preserve"> only</w:t>
      </w:r>
      <w:r w:rsidRPr="009949B9">
        <w:rPr>
          <w:color w:val="auto"/>
          <w:lang w:val="en-GB"/>
        </w:rPr>
        <w:t xml:space="preserve"> the ARI model of care</w:t>
      </w:r>
      <w:r w:rsidR="00776E07">
        <w:rPr>
          <w:color w:val="auto"/>
          <w:lang w:val="en-GB"/>
        </w:rPr>
        <w:t>,</w:t>
      </w:r>
      <w:r w:rsidRPr="009949B9">
        <w:rPr>
          <w:color w:val="auto"/>
          <w:lang w:val="en-GB"/>
        </w:rPr>
        <w:t xml:space="preserve"> the PIH change score was 3.47 (95</w:t>
      </w:r>
      <w:r w:rsidR="00973820">
        <w:rPr>
          <w:color w:val="auto"/>
          <w:lang w:val="en-GB"/>
        </w:rPr>
        <w:t xml:space="preserve"> percent</w:t>
      </w:r>
      <w:r w:rsidRPr="009949B9">
        <w:rPr>
          <w:color w:val="auto"/>
          <w:lang w:val="en-GB"/>
        </w:rPr>
        <w:t xml:space="preserve"> CI 2.43 to 4.52), which suggests that the more comprehensive</w:t>
      </w:r>
      <w:r w:rsidR="00776E07">
        <w:rPr>
          <w:color w:val="auto"/>
          <w:lang w:val="en-GB"/>
        </w:rPr>
        <w:t xml:space="preserve"> model</w:t>
      </w:r>
      <w:r w:rsidRPr="009949B9">
        <w:rPr>
          <w:color w:val="auto"/>
          <w:lang w:val="en-GB"/>
        </w:rPr>
        <w:t xml:space="preserve"> used in the two pilot practices might provide some additional benefit.</w:t>
      </w:r>
    </w:p>
    <w:p w:rsidR="00905EEF" w:rsidRPr="009949B9" w:rsidRDefault="00905EEF" w:rsidP="00BA552C">
      <w:pPr>
        <w:pStyle w:val="NoSpacing"/>
        <w:rPr>
          <w:color w:val="auto"/>
          <w:lang w:val="en-GB"/>
        </w:rPr>
      </w:pPr>
      <w:r w:rsidRPr="009949B9">
        <w:rPr>
          <w:color w:val="auto"/>
          <w:lang w:val="en-GB"/>
        </w:rPr>
        <w:t>Health literacy (knowledge of health condition, knowledge of medications, knowledge of early warning signs of acute deterioration of LTCs and acting on these signs) improved significantly at both practices.</w:t>
      </w:r>
    </w:p>
    <w:p w:rsidR="00905EEF" w:rsidRPr="009949B9" w:rsidRDefault="00905EEF" w:rsidP="00BA552C">
      <w:pPr>
        <w:pStyle w:val="NoSpacing"/>
        <w:rPr>
          <w:color w:val="auto"/>
          <w:lang w:val="en-GB"/>
        </w:rPr>
      </w:pPr>
      <w:r w:rsidRPr="009949B9">
        <w:rPr>
          <w:color w:val="auto"/>
          <w:lang w:val="en-GB"/>
        </w:rPr>
        <w:t xml:space="preserve">In terms of practice level changes (measured using the Primary Care Resources and Supports for Chronic Disease Self-Management questionnaire administered pre- and </w:t>
      </w:r>
      <w:r w:rsidR="00A97778" w:rsidRPr="009949B9">
        <w:rPr>
          <w:color w:val="auto"/>
          <w:lang w:val="en-GB"/>
        </w:rPr>
        <w:t>post</w:t>
      </w:r>
      <w:r w:rsidR="00A97778">
        <w:rPr>
          <w:color w:val="auto"/>
          <w:lang w:val="en-GB"/>
        </w:rPr>
        <w:t>-</w:t>
      </w:r>
      <w:r w:rsidR="00A97778" w:rsidRPr="009949B9">
        <w:rPr>
          <w:color w:val="auto"/>
          <w:lang w:val="en-GB"/>
        </w:rPr>
        <w:t>implementation</w:t>
      </w:r>
      <w:r w:rsidRPr="009949B9">
        <w:rPr>
          <w:color w:val="auto"/>
          <w:lang w:val="en-GB"/>
        </w:rPr>
        <w:t>)</w:t>
      </w:r>
      <w:r w:rsidR="00776E07">
        <w:rPr>
          <w:color w:val="auto"/>
          <w:lang w:val="en-GB"/>
        </w:rPr>
        <w:t xml:space="preserve">, participants self-reported </w:t>
      </w:r>
      <w:r w:rsidRPr="009949B9">
        <w:rPr>
          <w:color w:val="auto"/>
          <w:lang w:val="en-GB"/>
        </w:rPr>
        <w:t>a general improvement in self-management processes at both patient/clinician and organisational levels.</w:t>
      </w:r>
    </w:p>
    <w:p w:rsidR="00905EEF" w:rsidRPr="009949B9" w:rsidRDefault="00905EEF" w:rsidP="00BA552C">
      <w:pPr>
        <w:pStyle w:val="NoSpacing"/>
        <w:rPr>
          <w:color w:val="auto"/>
          <w:lang w:val="en-GB"/>
        </w:rPr>
      </w:pPr>
      <w:r w:rsidRPr="009949B9">
        <w:rPr>
          <w:color w:val="auto"/>
          <w:lang w:val="en-GB"/>
        </w:rPr>
        <w:t>Those patients who completed feedback questionnaires (11</w:t>
      </w:r>
      <w:r w:rsidR="00973820">
        <w:rPr>
          <w:color w:val="auto"/>
          <w:lang w:val="en-GB"/>
        </w:rPr>
        <w:t xml:space="preserve"> percent</w:t>
      </w:r>
      <w:r w:rsidRPr="009949B9">
        <w:rPr>
          <w:color w:val="auto"/>
          <w:lang w:val="en-GB"/>
        </w:rPr>
        <w:t xml:space="preserve"> from the CMC and 14</w:t>
      </w:r>
      <w:r w:rsidR="00973820">
        <w:rPr>
          <w:color w:val="auto"/>
          <w:lang w:val="en-GB"/>
        </w:rPr>
        <w:t xml:space="preserve"> percent</w:t>
      </w:r>
      <w:r w:rsidRPr="009949B9">
        <w:rPr>
          <w:color w:val="auto"/>
          <w:lang w:val="en-GB"/>
        </w:rPr>
        <w:t xml:space="preserve"> from the PFHC) showed a high satisfaction with the programme. For example</w:t>
      </w:r>
      <w:r w:rsidR="00776E07">
        <w:rPr>
          <w:color w:val="auto"/>
          <w:lang w:val="en-GB"/>
        </w:rPr>
        <w:t>,</w:t>
      </w:r>
      <w:r w:rsidRPr="009949B9">
        <w:rPr>
          <w:color w:val="auto"/>
          <w:lang w:val="en-GB"/>
        </w:rPr>
        <w:t xml:space="preserve"> 95</w:t>
      </w:r>
      <w:r w:rsidR="00973820">
        <w:rPr>
          <w:color w:val="auto"/>
          <w:lang w:val="en-GB"/>
        </w:rPr>
        <w:t xml:space="preserve"> percent</w:t>
      </w:r>
      <w:r w:rsidRPr="009949B9">
        <w:rPr>
          <w:color w:val="auto"/>
          <w:lang w:val="en-GB"/>
        </w:rPr>
        <w:t xml:space="preserve"> of CMC and 94</w:t>
      </w:r>
      <w:r w:rsidR="00973820">
        <w:rPr>
          <w:color w:val="auto"/>
          <w:lang w:val="en-GB"/>
        </w:rPr>
        <w:t xml:space="preserve"> percent</w:t>
      </w:r>
      <w:r w:rsidRPr="009949B9">
        <w:rPr>
          <w:color w:val="auto"/>
          <w:lang w:val="en-GB"/>
        </w:rPr>
        <w:t xml:space="preserve"> of PFHC survey respondents agreed that the programme had</w:t>
      </w:r>
      <w:r w:rsidR="00776E07">
        <w:rPr>
          <w:color w:val="auto"/>
          <w:lang w:val="en-GB"/>
        </w:rPr>
        <w:t xml:space="preserve"> improved their health and well</w:t>
      </w:r>
      <w:r w:rsidRPr="009949B9">
        <w:rPr>
          <w:color w:val="auto"/>
          <w:lang w:val="en-GB"/>
        </w:rPr>
        <w:t xml:space="preserve">being. However, there is likely to be some response bias and so </w:t>
      </w:r>
      <w:r w:rsidR="00BE2682">
        <w:rPr>
          <w:color w:val="auto"/>
          <w:lang w:val="en-GB"/>
        </w:rPr>
        <w:t>this</w:t>
      </w:r>
      <w:r w:rsidRPr="009949B9">
        <w:rPr>
          <w:color w:val="auto"/>
          <w:lang w:val="en-GB"/>
        </w:rPr>
        <w:t xml:space="preserve"> data should be interpreted with some caution.</w:t>
      </w:r>
    </w:p>
    <w:p w:rsidR="00905EEF" w:rsidRPr="009949B9" w:rsidRDefault="00905EEF" w:rsidP="00BA552C">
      <w:pPr>
        <w:pStyle w:val="NoSpacing"/>
        <w:rPr>
          <w:color w:val="auto"/>
          <w:lang w:val="en-GB"/>
        </w:rPr>
      </w:pPr>
      <w:r w:rsidRPr="009949B9">
        <w:rPr>
          <w:color w:val="auto"/>
          <w:lang w:val="en-GB"/>
        </w:rPr>
        <w:t>Qualitative feedback indicates that overall</w:t>
      </w:r>
      <w:r w:rsidR="00776E07">
        <w:rPr>
          <w:color w:val="auto"/>
          <w:lang w:val="en-GB"/>
        </w:rPr>
        <w:t>,</w:t>
      </w:r>
      <w:r w:rsidRPr="009949B9">
        <w:rPr>
          <w:color w:val="auto"/>
          <w:lang w:val="en-GB"/>
        </w:rPr>
        <w:t xml:space="preserve"> the programme contributed towards improved wellbeing, understanding and confidence </w:t>
      </w:r>
      <w:r w:rsidR="00776E07">
        <w:rPr>
          <w:color w:val="auto"/>
          <w:lang w:val="en-GB"/>
        </w:rPr>
        <w:t xml:space="preserve">for patients </w:t>
      </w:r>
      <w:r w:rsidRPr="009949B9">
        <w:rPr>
          <w:color w:val="auto"/>
          <w:lang w:val="en-GB"/>
        </w:rPr>
        <w:t xml:space="preserve">to manage their own health, and better communication between patients and their care team. Patients also recognised that they </w:t>
      </w:r>
      <w:r w:rsidR="00776E07">
        <w:rPr>
          <w:color w:val="auto"/>
          <w:lang w:val="en-GB"/>
        </w:rPr>
        <w:t xml:space="preserve">were </w:t>
      </w:r>
      <w:r w:rsidRPr="009949B9">
        <w:rPr>
          <w:color w:val="auto"/>
          <w:lang w:val="en-GB"/>
        </w:rPr>
        <w:t>more motivated to achieve their goals.</w:t>
      </w:r>
    </w:p>
    <w:p w:rsidR="00905EEF" w:rsidRPr="009949B9" w:rsidRDefault="00905EEF" w:rsidP="00BA552C">
      <w:pPr>
        <w:pStyle w:val="NoSpacing"/>
        <w:rPr>
          <w:color w:val="auto"/>
          <w:lang w:val="en-GB"/>
        </w:rPr>
      </w:pPr>
      <w:r w:rsidRPr="009949B9">
        <w:rPr>
          <w:color w:val="auto"/>
          <w:lang w:val="en-GB"/>
        </w:rPr>
        <w:t>The healthcare team reported that the programme provided better access to services and more opportun</w:t>
      </w:r>
      <w:r w:rsidR="00776E07">
        <w:rPr>
          <w:color w:val="auto"/>
          <w:lang w:val="en-GB"/>
        </w:rPr>
        <w:t>ities to access care. The multi</w:t>
      </w:r>
      <w:r w:rsidRPr="009949B9">
        <w:rPr>
          <w:color w:val="auto"/>
          <w:lang w:val="en-GB"/>
        </w:rPr>
        <w:t>disciplinary approached was seen as favourable and a contributing factor to success.</w:t>
      </w:r>
    </w:p>
    <w:p w:rsidR="00905EEF" w:rsidRPr="009949B9" w:rsidRDefault="00905EEF" w:rsidP="00BA552C">
      <w:pPr>
        <w:pStyle w:val="NoSpacing"/>
        <w:rPr>
          <w:color w:val="auto"/>
          <w:lang w:val="en-GB"/>
        </w:rPr>
      </w:pPr>
      <w:r w:rsidRPr="009949B9">
        <w:rPr>
          <w:color w:val="auto"/>
          <w:lang w:val="en-GB"/>
        </w:rPr>
        <w:t>Clinical outcomes associated specifically with the programme have not been reported. However</w:t>
      </w:r>
      <w:r w:rsidR="00776E07">
        <w:rPr>
          <w:color w:val="auto"/>
          <w:lang w:val="en-GB"/>
        </w:rPr>
        <w:t>,</w:t>
      </w:r>
      <w:r w:rsidRPr="009949B9">
        <w:rPr>
          <w:color w:val="auto"/>
          <w:lang w:val="en-GB"/>
        </w:rPr>
        <w:t xml:space="preserve"> analysis of HbA1c data suggests a benefit associated with the ARI programme. Emergency department utilisation and acute admission data have also been examined, but no discernable change over time has been found.</w:t>
      </w:r>
    </w:p>
    <w:p w:rsidR="00905EEF" w:rsidRPr="009949B9" w:rsidRDefault="00905EEF" w:rsidP="00905EEF">
      <w:pPr>
        <w:pStyle w:val="Heading4"/>
        <w:rPr>
          <w:color w:val="auto"/>
          <w:lang w:val="en-GB"/>
        </w:rPr>
      </w:pPr>
      <w:r w:rsidRPr="009949B9">
        <w:rPr>
          <w:color w:val="auto"/>
          <w:lang w:val="en-GB"/>
        </w:rPr>
        <w:t>Summary</w:t>
      </w:r>
    </w:p>
    <w:p w:rsidR="00905EEF" w:rsidRPr="009949B9" w:rsidRDefault="00905EEF" w:rsidP="00F70888">
      <w:pPr>
        <w:pStyle w:val="NoSpacing"/>
        <w:rPr>
          <w:color w:val="auto"/>
          <w:lang w:val="en-GB"/>
        </w:rPr>
      </w:pPr>
      <w:r w:rsidRPr="009949B9">
        <w:rPr>
          <w:color w:val="auto"/>
          <w:lang w:val="en-GB"/>
        </w:rPr>
        <w:t>The ProCare Shared Care and Self-Manage</w:t>
      </w:r>
      <w:r w:rsidR="00776E07">
        <w:rPr>
          <w:color w:val="auto"/>
          <w:lang w:val="en-GB"/>
        </w:rPr>
        <w:t>ment programme utilised the Stan</w:t>
      </w:r>
      <w:r w:rsidRPr="009949B9">
        <w:rPr>
          <w:color w:val="auto"/>
          <w:lang w:val="en-GB"/>
        </w:rPr>
        <w:t>ford SME model, combined with a change management process and an eShared Care tool. The programme was piloted at two GP practices that had different populations and practice business models.</w:t>
      </w:r>
    </w:p>
    <w:p w:rsidR="00905EEF" w:rsidRPr="009949B9" w:rsidRDefault="00905EEF" w:rsidP="00F70888">
      <w:pPr>
        <w:pStyle w:val="NoSpacing"/>
        <w:rPr>
          <w:color w:val="auto"/>
          <w:lang w:val="en-GB"/>
        </w:rPr>
      </w:pPr>
      <w:r w:rsidRPr="009949B9">
        <w:rPr>
          <w:color w:val="auto"/>
          <w:lang w:val="en-GB"/>
        </w:rPr>
        <w:t>The programme recruited 1</w:t>
      </w:r>
      <w:r w:rsidR="00776E07">
        <w:rPr>
          <w:color w:val="auto"/>
          <w:lang w:val="en-GB"/>
        </w:rPr>
        <w:t>,</w:t>
      </w:r>
      <w:r w:rsidRPr="009949B9">
        <w:rPr>
          <w:color w:val="auto"/>
          <w:lang w:val="en-GB"/>
        </w:rPr>
        <w:t xml:space="preserve">124 patients and showed significant increases in health literacy and self-management in those that completed assessments </w:t>
      </w:r>
      <w:r w:rsidR="00776E07">
        <w:rPr>
          <w:color w:val="auto"/>
          <w:lang w:val="en-GB"/>
        </w:rPr>
        <w:t>at</w:t>
      </w:r>
      <w:r w:rsidRPr="009949B9">
        <w:rPr>
          <w:color w:val="auto"/>
          <w:lang w:val="en-GB"/>
        </w:rPr>
        <w:t xml:space="preserve"> enrolment and exit from the programme. Feedback from healthcare staff and patients who participated in the programme was also positive.</w:t>
      </w:r>
    </w:p>
    <w:p w:rsidR="00905EEF" w:rsidRPr="009949B9" w:rsidRDefault="00905EEF" w:rsidP="00F70888">
      <w:pPr>
        <w:pStyle w:val="NoSpacing"/>
        <w:rPr>
          <w:color w:val="auto"/>
          <w:lang w:val="en-GB"/>
        </w:rPr>
      </w:pPr>
      <w:r w:rsidRPr="009949B9">
        <w:rPr>
          <w:color w:val="auto"/>
          <w:lang w:val="en-GB"/>
        </w:rPr>
        <w:t>Although the programme produced some good outcomes, it is not clear in the final report how many patients completed the programme or assessments.</w:t>
      </w:r>
    </w:p>
    <w:p w:rsidR="00905EEF" w:rsidRPr="009949B9" w:rsidRDefault="00905EEF" w:rsidP="00F70888">
      <w:pPr>
        <w:pStyle w:val="NoSpacing"/>
        <w:rPr>
          <w:color w:val="auto"/>
          <w:lang w:val="en-GB"/>
        </w:rPr>
      </w:pPr>
      <w:r w:rsidRPr="009949B9">
        <w:rPr>
          <w:color w:val="auto"/>
          <w:lang w:val="en-GB"/>
        </w:rPr>
        <w:t>It is not possible to show if this programme had any impact</w:t>
      </w:r>
      <w:r w:rsidR="00776E07">
        <w:rPr>
          <w:color w:val="auto"/>
          <w:lang w:val="en-GB"/>
        </w:rPr>
        <w:t xml:space="preserve"> on the use of secondary health</w:t>
      </w:r>
      <w:r w:rsidRPr="009949B9">
        <w:rPr>
          <w:color w:val="auto"/>
          <w:lang w:val="en-GB"/>
        </w:rPr>
        <w:t>care services</w:t>
      </w:r>
      <w:r w:rsidR="00776E07">
        <w:rPr>
          <w:color w:val="auto"/>
          <w:lang w:val="en-GB"/>
        </w:rPr>
        <w:t>,</w:t>
      </w:r>
      <w:r w:rsidRPr="009949B9">
        <w:rPr>
          <w:color w:val="auto"/>
          <w:lang w:val="en-GB"/>
        </w:rPr>
        <w:t xml:space="preserve"> and so further evaluation is warranted.</w:t>
      </w:r>
    </w:p>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sectPr w:rsidR="00905EEF" w:rsidRPr="009949B9" w:rsidSect="00673D90">
          <w:footnotePr>
            <w:numFmt w:val="chicago"/>
          </w:footnotePr>
          <w:pgSz w:w="11900" w:h="16840"/>
          <w:pgMar w:top="1440" w:right="1800" w:bottom="1440" w:left="1800" w:header="708" w:footer="708" w:gutter="0"/>
          <w:cols w:space="708"/>
          <w:docGrid w:linePitch="360"/>
        </w:sectPr>
      </w:pPr>
    </w:p>
    <w:p w:rsidR="00905EEF" w:rsidRPr="009949B9" w:rsidRDefault="00905EEF" w:rsidP="00905EEF">
      <w:pPr>
        <w:rPr>
          <w:rFonts w:ascii="Georgia" w:hAnsi="Georgia"/>
          <w:color w:val="auto"/>
          <w:lang w:val="en-GB"/>
        </w:rPr>
      </w:pPr>
    </w:p>
    <w:p w:rsidR="00905EEF" w:rsidRPr="00776E07" w:rsidRDefault="00905EEF" w:rsidP="00905EEF">
      <w:pPr>
        <w:pStyle w:val="Caption"/>
        <w:keepNext/>
        <w:rPr>
          <w:rFonts w:ascii="Georgia" w:hAnsi="Georgia"/>
          <w:color w:val="auto"/>
          <w:sz w:val="20"/>
          <w:lang w:val="en-GB"/>
        </w:rPr>
      </w:pPr>
      <w:bookmarkStart w:id="15" w:name="_Ref322710176"/>
      <w:r w:rsidRPr="00776E07">
        <w:rPr>
          <w:rFonts w:ascii="Georgia" w:hAnsi="Georgia"/>
          <w:color w:val="auto"/>
          <w:sz w:val="20"/>
          <w:lang w:val="en-GB"/>
        </w:rPr>
        <w:t xml:space="preserve">Table </w:t>
      </w:r>
      <w:r w:rsidR="00B50FC5" w:rsidRPr="00776E07">
        <w:rPr>
          <w:rFonts w:ascii="Georgia" w:hAnsi="Georgia"/>
          <w:color w:val="auto"/>
          <w:sz w:val="20"/>
          <w:lang w:val="en-GB"/>
        </w:rPr>
        <w:fldChar w:fldCharType="begin"/>
      </w:r>
      <w:r w:rsidRPr="00776E07">
        <w:rPr>
          <w:rFonts w:ascii="Georgia" w:hAnsi="Georgia"/>
          <w:color w:val="auto"/>
          <w:sz w:val="20"/>
          <w:lang w:val="en-GB"/>
        </w:rPr>
        <w:instrText xml:space="preserve"> SEQ Table \* ARABIC </w:instrText>
      </w:r>
      <w:r w:rsidR="00B50FC5" w:rsidRPr="00776E07">
        <w:rPr>
          <w:rFonts w:ascii="Georgia" w:hAnsi="Georgia"/>
          <w:color w:val="auto"/>
          <w:sz w:val="20"/>
          <w:lang w:val="en-GB"/>
        </w:rPr>
        <w:fldChar w:fldCharType="separate"/>
      </w:r>
      <w:r w:rsidR="00A43C9A" w:rsidRPr="00776E07">
        <w:rPr>
          <w:rFonts w:ascii="Georgia" w:hAnsi="Georgia"/>
          <w:color w:val="auto"/>
          <w:sz w:val="20"/>
          <w:lang w:val="en-GB"/>
        </w:rPr>
        <w:t>2</w:t>
      </w:r>
      <w:r w:rsidR="00B50FC5" w:rsidRPr="00776E07">
        <w:rPr>
          <w:rFonts w:ascii="Georgia" w:hAnsi="Georgia"/>
          <w:color w:val="auto"/>
          <w:sz w:val="20"/>
          <w:lang w:val="en-GB"/>
        </w:rPr>
        <w:fldChar w:fldCharType="end"/>
      </w:r>
      <w:bookmarkEnd w:id="15"/>
      <w:r w:rsidR="001F763A" w:rsidRPr="00776E07">
        <w:rPr>
          <w:rFonts w:ascii="Georgia" w:hAnsi="Georgia"/>
          <w:color w:val="auto"/>
          <w:sz w:val="20"/>
          <w:lang w:val="en-GB"/>
        </w:rPr>
        <w:t>: Self-</w:t>
      </w:r>
      <w:r w:rsidRPr="00776E07">
        <w:rPr>
          <w:rFonts w:ascii="Georgia" w:hAnsi="Georgia"/>
          <w:color w:val="auto"/>
          <w:sz w:val="20"/>
          <w:lang w:val="en-GB"/>
        </w:rPr>
        <w:t>Management and Shared Care Projects</w:t>
      </w:r>
    </w:p>
    <w:tbl>
      <w:tblPr>
        <w:tblStyle w:val="LightGrid-Accent1"/>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21"/>
        <w:gridCol w:w="3077"/>
        <w:gridCol w:w="3889"/>
        <w:gridCol w:w="5453"/>
      </w:tblGrid>
      <w:tr w:rsidR="00905EEF" w:rsidRPr="00776E07" w:rsidTr="0048208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rPr>
                <w:rFonts w:cs="Arial"/>
                <w:color w:val="auto"/>
                <w:sz w:val="20"/>
                <w:szCs w:val="20"/>
                <w:lang w:val="en-GB"/>
              </w:rPr>
            </w:pPr>
            <w:r w:rsidRPr="00776E07">
              <w:rPr>
                <w:color w:val="auto"/>
                <w:sz w:val="20"/>
                <w:szCs w:val="20"/>
                <w:lang w:val="en-GB"/>
              </w:rPr>
              <w:t>Provider</w:t>
            </w:r>
          </w:p>
        </w:tc>
        <w:tc>
          <w:tcPr>
            <w:tcW w:w="3120"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cnfStyle w:val="100000000000" w:firstRow="1" w:lastRow="0" w:firstColumn="0" w:lastColumn="0" w:oddVBand="0" w:evenVBand="0" w:oddHBand="0" w:evenHBand="0" w:firstRowFirstColumn="0" w:firstRowLastColumn="0" w:lastRowFirstColumn="0" w:lastRowLastColumn="0"/>
              <w:rPr>
                <w:rFonts w:cs="Lato"/>
                <w:color w:val="auto"/>
                <w:sz w:val="20"/>
                <w:szCs w:val="20"/>
                <w:lang w:val="en-GB"/>
              </w:rPr>
            </w:pPr>
            <w:r w:rsidRPr="00776E07">
              <w:rPr>
                <w:color w:val="auto"/>
                <w:sz w:val="20"/>
                <w:szCs w:val="20"/>
                <w:lang w:val="en-GB"/>
              </w:rPr>
              <w:t>Setting &amp; recruitment</w:t>
            </w:r>
          </w:p>
        </w:tc>
        <w:tc>
          <w:tcPr>
            <w:tcW w:w="3969"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776E07">
              <w:rPr>
                <w:color w:val="auto"/>
                <w:sz w:val="20"/>
                <w:szCs w:val="20"/>
                <w:lang w:val="en-GB"/>
              </w:rPr>
              <w:t>Treatment</w:t>
            </w:r>
          </w:p>
        </w:tc>
        <w:tc>
          <w:tcPr>
            <w:tcW w:w="5563"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cnfStyle w:val="100000000000" w:firstRow="1" w:lastRow="0" w:firstColumn="0" w:lastColumn="0" w:oddVBand="0" w:evenVBand="0" w:oddHBand="0" w:evenHBand="0" w:firstRowFirstColumn="0" w:firstRowLastColumn="0" w:lastRowFirstColumn="0" w:lastRowLastColumn="0"/>
              <w:rPr>
                <w:i/>
                <w:color w:val="auto"/>
                <w:sz w:val="20"/>
                <w:szCs w:val="20"/>
                <w:lang w:val="en-GB"/>
              </w:rPr>
            </w:pPr>
            <w:r w:rsidRPr="00776E07">
              <w:rPr>
                <w:color w:val="auto"/>
                <w:sz w:val="20"/>
                <w:szCs w:val="20"/>
                <w:lang w:val="en-GB"/>
              </w:rPr>
              <w:t>Results</w:t>
            </w:r>
          </w:p>
        </w:tc>
      </w:tr>
      <w:tr w:rsidR="00905EEF" w:rsidRPr="00776E07" w:rsidTr="00482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905EEF" w:rsidP="00F70888">
            <w:pPr>
              <w:pStyle w:val="NoSpacing"/>
              <w:spacing w:line="240" w:lineRule="auto"/>
              <w:rPr>
                <w:color w:val="auto"/>
                <w:sz w:val="20"/>
                <w:szCs w:val="20"/>
                <w:lang w:val="en-GB"/>
              </w:rPr>
            </w:pPr>
            <w:r w:rsidRPr="00776E07">
              <w:rPr>
                <w:color w:val="auto"/>
                <w:sz w:val="20"/>
                <w:szCs w:val="20"/>
                <w:lang w:val="en-GB"/>
              </w:rPr>
              <w:t>Alliance Health Plus</w:t>
            </w:r>
          </w:p>
          <w:p w:rsidR="00905EEF" w:rsidRPr="00776E07" w:rsidRDefault="00905EEF" w:rsidP="00F70888">
            <w:pPr>
              <w:pStyle w:val="NoSpacing"/>
              <w:spacing w:line="240" w:lineRule="auto"/>
              <w:rPr>
                <w:color w:val="auto"/>
                <w:sz w:val="20"/>
                <w:szCs w:val="20"/>
                <w:lang w:val="en-GB"/>
              </w:rPr>
            </w:pPr>
          </w:p>
          <w:p w:rsidR="00905EEF" w:rsidRPr="00776E07" w:rsidRDefault="00905EEF" w:rsidP="00F70888">
            <w:pPr>
              <w:pStyle w:val="NoSpacing"/>
              <w:spacing w:line="240" w:lineRule="auto"/>
              <w:rPr>
                <w:color w:val="auto"/>
                <w:sz w:val="20"/>
                <w:szCs w:val="20"/>
                <w:lang w:val="en-GB"/>
              </w:rPr>
            </w:pPr>
            <w:r w:rsidRPr="00776E07">
              <w:rPr>
                <w:color w:val="auto"/>
                <w:sz w:val="20"/>
                <w:szCs w:val="20"/>
                <w:lang w:val="en-GB"/>
              </w:rPr>
              <w:t>Year of Care Model</w:t>
            </w:r>
          </w:p>
        </w:tc>
        <w:tc>
          <w:tcPr>
            <w:tcW w:w="31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76E07" w:rsidRPr="00776E07" w:rsidRDefault="00905EEF" w:rsidP="00776E07">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Three GP practices</w:t>
            </w:r>
            <w:r w:rsidR="00776E07">
              <w:rPr>
                <w:color w:val="auto"/>
                <w:sz w:val="20"/>
                <w:szCs w:val="20"/>
                <w:lang w:val="en-GB"/>
              </w:rPr>
              <w:t>:</w:t>
            </w:r>
          </w:p>
          <w:p w:rsidR="00905EEF" w:rsidRPr="00776E07" w:rsidRDefault="00905EEF" w:rsidP="00F70888">
            <w:pPr>
              <w:pStyle w:val="NoSpacing"/>
              <w:numPr>
                <w:ilvl w:val="0"/>
                <w:numId w:val="31"/>
              </w:numPr>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Avondale</w:t>
            </w:r>
          </w:p>
          <w:p w:rsidR="00905EEF" w:rsidRPr="00776E07" w:rsidRDefault="00905EEF" w:rsidP="00F70888">
            <w:pPr>
              <w:pStyle w:val="NoSpacing"/>
              <w:numPr>
                <w:ilvl w:val="0"/>
                <w:numId w:val="31"/>
              </w:numPr>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Tongan Health Society (THS)</w:t>
            </w:r>
          </w:p>
          <w:p w:rsidR="00905EEF" w:rsidRPr="00776E07" w:rsidRDefault="00905EEF" w:rsidP="00F70888">
            <w:pPr>
              <w:pStyle w:val="NoSpacing"/>
              <w:numPr>
                <w:ilvl w:val="0"/>
                <w:numId w:val="31"/>
              </w:numPr>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Waiuku</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Patients with level 2 or 3 risk: 3</w:t>
            </w:r>
            <w:r w:rsidR="00776E07">
              <w:rPr>
                <w:color w:val="auto"/>
                <w:sz w:val="20"/>
                <w:szCs w:val="20"/>
                <w:lang w:val="en-GB"/>
              </w:rPr>
              <w:t>,</w:t>
            </w:r>
            <w:r w:rsidRPr="00776E07">
              <w:rPr>
                <w:color w:val="auto"/>
                <w:sz w:val="20"/>
                <w:szCs w:val="20"/>
                <w:lang w:val="en-GB"/>
              </w:rPr>
              <w:t>979</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Patients contacted: 1</w:t>
            </w:r>
            <w:r w:rsidR="00776E07">
              <w:rPr>
                <w:color w:val="auto"/>
                <w:sz w:val="20"/>
                <w:szCs w:val="20"/>
                <w:lang w:val="en-GB"/>
              </w:rPr>
              <w:t>,</w:t>
            </w:r>
            <w:r w:rsidRPr="00776E07">
              <w:rPr>
                <w:color w:val="auto"/>
                <w:sz w:val="20"/>
                <w:szCs w:val="20"/>
                <w:lang w:val="en-GB"/>
              </w:rPr>
              <w:t>119 (28</w:t>
            </w:r>
            <w:r w:rsidR="00973820" w:rsidRPr="00776E07">
              <w:rPr>
                <w:color w:val="auto"/>
                <w:sz w:val="20"/>
                <w:szCs w:val="20"/>
                <w:lang w:val="en-GB"/>
              </w:rPr>
              <w:t xml:space="preserve"> percent</w:t>
            </w:r>
            <w:r w:rsidRPr="00776E07">
              <w:rPr>
                <w:color w:val="auto"/>
                <w:sz w:val="20"/>
                <w:szCs w:val="20"/>
                <w:lang w:val="en-GB"/>
              </w:rPr>
              <w:t>)</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Enrolled: 752 (67</w:t>
            </w:r>
            <w:r w:rsidR="00973820" w:rsidRPr="00776E07">
              <w:rPr>
                <w:color w:val="auto"/>
                <w:sz w:val="20"/>
                <w:szCs w:val="20"/>
                <w:lang w:val="en-GB"/>
              </w:rPr>
              <w:t xml:space="preserve"> percent</w:t>
            </w:r>
            <w:r w:rsidRPr="00776E07">
              <w:rPr>
                <w:color w:val="auto"/>
                <w:sz w:val="20"/>
                <w:szCs w:val="20"/>
                <w:lang w:val="en-GB"/>
              </w:rPr>
              <w:t>)</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Completed: 242 (32</w:t>
            </w:r>
            <w:r w:rsidR="00973820" w:rsidRPr="00776E07">
              <w:rPr>
                <w:color w:val="auto"/>
                <w:sz w:val="20"/>
                <w:szCs w:val="20"/>
                <w:lang w:val="en-GB"/>
              </w:rPr>
              <w:t xml:space="preserve"> percent</w:t>
            </w:r>
            <w:r w:rsidRPr="00776E07">
              <w:rPr>
                <w:color w:val="auto"/>
                <w:sz w:val="20"/>
                <w:szCs w:val="20"/>
                <w:lang w:val="en-GB"/>
              </w:rPr>
              <w:t>)</w:t>
            </w:r>
          </w:p>
        </w:tc>
        <w:tc>
          <w:tcPr>
            <w:tcW w:w="39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 xml:space="preserve">Stanford SMP run by </w:t>
            </w:r>
            <w:r w:rsidR="00776E07">
              <w:rPr>
                <w:color w:val="auto"/>
                <w:sz w:val="20"/>
                <w:szCs w:val="20"/>
                <w:lang w:val="en-GB"/>
              </w:rPr>
              <w:t>PNs</w:t>
            </w:r>
            <w:r w:rsidRPr="00776E07">
              <w:rPr>
                <w:color w:val="auto"/>
                <w:sz w:val="20"/>
                <w:szCs w:val="20"/>
                <w:lang w:val="en-GB"/>
              </w:rPr>
              <w:t xml:space="preserve"> and lay staff.</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Practice staff decided to reduce the SMP from 6 to 4 weeks on the basis that more people would attend.</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 xml:space="preserve">Focuses more on dietary and physical activity changes. </w:t>
            </w:r>
            <w:r w:rsidRPr="00776E07">
              <w:rPr>
                <w:i/>
                <w:color w:val="auto"/>
                <w:sz w:val="20"/>
                <w:szCs w:val="20"/>
                <w:lang w:val="en-GB"/>
              </w:rPr>
              <w:t>More didactic approach.</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Each site had at least one staff member trained in the SMP model.</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Sites developed their own resources.</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Care plans developed by PN with patient when they enrolled. Each site had their own plans.</w:t>
            </w:r>
          </w:p>
        </w:tc>
        <w:tc>
          <w:tcPr>
            <w:tcW w:w="556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Increase in primary care use (2</w:t>
            </w:r>
            <w:r w:rsidR="00776E07">
              <w:rPr>
                <w:color w:val="auto"/>
                <w:sz w:val="20"/>
                <w:szCs w:val="20"/>
                <w:lang w:val="en-GB"/>
              </w:rPr>
              <w:t>,</w:t>
            </w:r>
            <w:r w:rsidRPr="00776E07">
              <w:rPr>
                <w:color w:val="auto"/>
                <w:sz w:val="20"/>
                <w:szCs w:val="20"/>
                <w:lang w:val="en-GB"/>
              </w:rPr>
              <w:t>210 to 3</w:t>
            </w:r>
            <w:r w:rsidR="00776E07">
              <w:rPr>
                <w:color w:val="auto"/>
                <w:sz w:val="20"/>
                <w:szCs w:val="20"/>
                <w:lang w:val="en-GB"/>
              </w:rPr>
              <w:t>,</w:t>
            </w:r>
            <w:r w:rsidRPr="00776E07">
              <w:rPr>
                <w:color w:val="auto"/>
                <w:sz w:val="20"/>
                <w:szCs w:val="20"/>
                <w:lang w:val="en-GB"/>
              </w:rPr>
              <w:t>346)</w:t>
            </w:r>
            <w:r w:rsidR="00776E07">
              <w:rPr>
                <w:color w:val="auto"/>
                <w:sz w:val="20"/>
                <w:szCs w:val="20"/>
                <w:lang w:val="en-GB"/>
              </w:rPr>
              <w:t xml:space="preserve">, </w:t>
            </w:r>
            <w:r w:rsidRPr="00776E07">
              <w:rPr>
                <w:color w:val="auto"/>
                <w:sz w:val="20"/>
                <w:szCs w:val="20"/>
                <w:lang w:val="en-GB"/>
              </w:rPr>
              <w:t>and decrease</w:t>
            </w:r>
            <w:r w:rsidR="00776E07">
              <w:rPr>
                <w:color w:val="auto"/>
                <w:sz w:val="20"/>
                <w:szCs w:val="20"/>
                <w:lang w:val="en-GB"/>
              </w:rPr>
              <w:t>s</w:t>
            </w:r>
            <w:r w:rsidRPr="00776E07">
              <w:rPr>
                <w:color w:val="auto"/>
                <w:sz w:val="20"/>
                <w:szCs w:val="20"/>
                <w:lang w:val="en-GB"/>
              </w:rPr>
              <w:t xml:space="preserve"> in ED visits (14 to 8) and hospital visits (51 to 30)</w:t>
            </w:r>
            <w:r w:rsidR="0048208A">
              <w:rPr>
                <w:color w:val="auto"/>
                <w:sz w:val="20"/>
                <w:szCs w:val="20"/>
                <w:lang w:val="en-GB"/>
              </w:rPr>
              <w:t xml:space="preserve"> compared to baseline</w:t>
            </w:r>
            <w:r w:rsidRPr="00776E07">
              <w:rPr>
                <w:color w:val="auto"/>
                <w:sz w:val="20"/>
                <w:szCs w:val="20"/>
                <w:lang w:val="en-GB"/>
              </w:rPr>
              <w:t>.</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Clinical outc</w:t>
            </w:r>
            <w:r w:rsidR="00E72867" w:rsidRPr="00776E07">
              <w:rPr>
                <w:color w:val="auto"/>
                <w:sz w:val="20"/>
                <w:szCs w:val="20"/>
                <w:lang w:val="en-GB"/>
              </w:rPr>
              <w:t>omes before and after enrolment:</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HbA1c: 63 to 60</w:t>
            </w:r>
            <w:r w:rsidR="00776E07">
              <w:rPr>
                <w:color w:val="auto"/>
                <w:sz w:val="20"/>
                <w:szCs w:val="20"/>
                <w:lang w:val="en-GB"/>
              </w:rPr>
              <w:t xml:space="preserve"> </w:t>
            </w:r>
            <w:r w:rsidR="00A97778">
              <w:rPr>
                <w:color w:val="auto"/>
                <w:sz w:val="20"/>
                <w:szCs w:val="20"/>
                <w:lang w:val="en-GB"/>
              </w:rPr>
              <w:t>mmol</w:t>
            </w:r>
            <w:r w:rsidR="00776E07">
              <w:rPr>
                <w:color w:val="auto"/>
                <w:sz w:val="20"/>
                <w:szCs w:val="20"/>
                <w:lang w:val="en-GB"/>
              </w:rPr>
              <w:t>/mol</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BP: 134/76 to 135/75</w:t>
            </w:r>
            <w:r w:rsidR="00776E07">
              <w:rPr>
                <w:color w:val="auto"/>
                <w:sz w:val="20"/>
                <w:szCs w:val="20"/>
                <w:lang w:val="en-GB"/>
              </w:rPr>
              <w:t xml:space="preserve"> mmHg</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Weight: 97 to 96</w:t>
            </w:r>
            <w:r w:rsidR="00776E07">
              <w:rPr>
                <w:color w:val="auto"/>
                <w:sz w:val="20"/>
                <w:szCs w:val="20"/>
                <w:lang w:val="en-GB"/>
              </w:rPr>
              <w:t xml:space="preserve"> kg</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Partners in Health Scale used as a generic assessment scale for chronic condition self-management (rate 0-8, 8=best). Combined cores increased from 74 to 84.</w:t>
            </w:r>
          </w:p>
          <w:p w:rsidR="00E72867" w:rsidRPr="00776E07" w:rsidRDefault="00E72867" w:rsidP="00E72867">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776E07">
              <w:rPr>
                <w:rFonts w:ascii="Georgia" w:hAnsi="Georgia"/>
                <w:color w:val="auto"/>
                <w:szCs w:val="20"/>
                <w:lang w:val="en-GB"/>
              </w:rPr>
              <w:t>Cost per enrolment: $505</w:t>
            </w:r>
          </w:p>
        </w:tc>
      </w:tr>
      <w:tr w:rsidR="00905EEF" w:rsidRPr="00776E07" w:rsidTr="0048208A">
        <w:trPr>
          <w:cnfStyle w:val="000000010000" w:firstRow="0" w:lastRow="0" w:firstColumn="0" w:lastColumn="0" w:oddVBand="0" w:evenVBand="0" w:oddHBand="0" w:evenHBand="1" w:firstRowFirstColumn="0" w:firstRowLastColumn="0" w:lastRowFirstColumn="0" w:lastRowLastColumn="0"/>
          <w:trHeight w:val="2823"/>
        </w:trPr>
        <w:tc>
          <w:tcPr>
            <w:cnfStyle w:val="001000000000" w:firstRow="0" w:lastRow="0" w:firstColumn="1" w:lastColumn="0" w:oddVBand="0"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rPr>
                <w:color w:val="auto"/>
                <w:sz w:val="20"/>
                <w:szCs w:val="20"/>
                <w:lang w:val="en-GB"/>
              </w:rPr>
            </w:pPr>
            <w:r w:rsidRPr="00776E07">
              <w:rPr>
                <w:color w:val="auto"/>
                <w:sz w:val="20"/>
                <w:szCs w:val="20"/>
                <w:lang w:val="en-GB"/>
              </w:rPr>
              <w:t>Hauraki PHO</w:t>
            </w:r>
          </w:p>
          <w:p w:rsidR="00905EEF" w:rsidRPr="00776E07" w:rsidRDefault="00905EEF" w:rsidP="00F70888">
            <w:pPr>
              <w:pStyle w:val="NoSpacing"/>
              <w:spacing w:line="240" w:lineRule="auto"/>
              <w:rPr>
                <w:color w:val="auto"/>
                <w:sz w:val="20"/>
                <w:szCs w:val="20"/>
                <w:lang w:val="en-GB"/>
              </w:rPr>
            </w:pPr>
          </w:p>
          <w:p w:rsidR="00905EEF" w:rsidRPr="00776E07" w:rsidRDefault="00905EEF" w:rsidP="00F70888">
            <w:pPr>
              <w:pStyle w:val="NoSpacing"/>
              <w:spacing w:line="240" w:lineRule="auto"/>
              <w:rPr>
                <w:color w:val="auto"/>
                <w:sz w:val="20"/>
                <w:szCs w:val="20"/>
                <w:lang w:val="en-GB"/>
              </w:rPr>
            </w:pPr>
            <w:r w:rsidRPr="00776E07">
              <w:rPr>
                <w:color w:val="auto"/>
                <w:sz w:val="20"/>
                <w:szCs w:val="20"/>
                <w:lang w:val="en-GB"/>
              </w:rPr>
              <w:t>Manawanui Whai Ora Kaitiaki</w:t>
            </w:r>
          </w:p>
          <w:p w:rsidR="00905EEF" w:rsidRPr="00776E07" w:rsidRDefault="00905EEF" w:rsidP="00F70888">
            <w:pPr>
              <w:pStyle w:val="NoSpacing"/>
              <w:spacing w:line="240" w:lineRule="auto"/>
              <w:rPr>
                <w:rFonts w:cs="Arial"/>
                <w:color w:val="auto"/>
                <w:sz w:val="20"/>
                <w:szCs w:val="20"/>
                <w:lang w:val="en-GB"/>
              </w:rPr>
            </w:pPr>
          </w:p>
        </w:tc>
        <w:tc>
          <w:tcPr>
            <w:tcW w:w="3120"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The project was delivered</w:t>
            </w:r>
            <w:r w:rsidR="00776E07">
              <w:rPr>
                <w:color w:val="auto"/>
                <w:sz w:val="20"/>
                <w:szCs w:val="20"/>
                <w:lang w:val="en-GB"/>
              </w:rPr>
              <w:t xml:space="preserve"> in</w:t>
            </w:r>
            <w:r w:rsidRPr="00776E07">
              <w:rPr>
                <w:color w:val="auto"/>
                <w:sz w:val="20"/>
                <w:szCs w:val="20"/>
                <w:lang w:val="en-GB"/>
              </w:rPr>
              <w:t xml:space="preserve"> two locations, one urban (Hamilton) and one rural (Putaruru).</w:t>
            </w:r>
          </w:p>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p>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To be referred</w:t>
            </w:r>
            <w:r w:rsidR="00776E07">
              <w:rPr>
                <w:color w:val="auto"/>
                <w:sz w:val="20"/>
                <w:szCs w:val="20"/>
                <w:lang w:val="en-GB"/>
              </w:rPr>
              <w:t>,</w:t>
            </w:r>
            <w:r w:rsidRPr="00776E07">
              <w:rPr>
                <w:color w:val="auto"/>
                <w:sz w:val="20"/>
                <w:szCs w:val="20"/>
                <w:lang w:val="en-GB"/>
              </w:rPr>
              <w:t xml:space="preserve"> clients must have</w:t>
            </w:r>
            <w:r w:rsidR="00776E07">
              <w:rPr>
                <w:color w:val="auto"/>
                <w:sz w:val="20"/>
                <w:szCs w:val="20"/>
                <w:lang w:val="en-GB"/>
              </w:rPr>
              <w:t xml:space="preserve"> had</w:t>
            </w:r>
            <w:r w:rsidRPr="00776E07">
              <w:rPr>
                <w:color w:val="auto"/>
                <w:sz w:val="20"/>
                <w:szCs w:val="20"/>
                <w:lang w:val="en-GB"/>
              </w:rPr>
              <w:t xml:space="preserve"> at least two LTCs.</w:t>
            </w:r>
          </w:p>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165 people were referred over 13 months</w:t>
            </w:r>
          </w:p>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Majority aged between 40 and 70 years (range 1-97</w:t>
            </w:r>
            <w:r w:rsidR="002D0E6E">
              <w:rPr>
                <w:color w:val="auto"/>
                <w:sz w:val="20"/>
                <w:szCs w:val="20"/>
                <w:lang w:val="en-GB"/>
              </w:rPr>
              <w:t xml:space="preserve"> years</w:t>
            </w:r>
            <w:r w:rsidRPr="00776E07">
              <w:rPr>
                <w:color w:val="auto"/>
                <w:sz w:val="20"/>
                <w:szCs w:val="20"/>
                <w:lang w:val="en-GB"/>
              </w:rPr>
              <w:t>)</w:t>
            </w:r>
          </w:p>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The majority (61</w:t>
            </w:r>
            <w:r w:rsidR="00973820" w:rsidRPr="00776E07">
              <w:rPr>
                <w:color w:val="auto"/>
                <w:sz w:val="20"/>
                <w:szCs w:val="20"/>
                <w:lang w:val="en-GB"/>
              </w:rPr>
              <w:t xml:space="preserve"> percent</w:t>
            </w:r>
            <w:r w:rsidR="0048208A">
              <w:rPr>
                <w:color w:val="auto"/>
                <w:sz w:val="20"/>
                <w:szCs w:val="20"/>
                <w:lang w:val="en-GB"/>
              </w:rPr>
              <w:t>) of referrals were Māori.</w:t>
            </w:r>
          </w:p>
        </w:tc>
        <w:tc>
          <w:tcPr>
            <w:tcW w:w="3969"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The model of care utilise</w:t>
            </w:r>
            <w:r w:rsidR="00776E07">
              <w:rPr>
                <w:color w:val="auto"/>
                <w:sz w:val="20"/>
                <w:szCs w:val="20"/>
                <w:lang w:val="en-GB"/>
              </w:rPr>
              <w:t>d</w:t>
            </w:r>
            <w:r w:rsidRPr="00776E07">
              <w:rPr>
                <w:color w:val="auto"/>
                <w:sz w:val="20"/>
                <w:szCs w:val="20"/>
                <w:lang w:val="en-GB"/>
              </w:rPr>
              <w:t xml:space="preserve"> the main components of an existing self-management programme called Te Whiringa Ora/Care Connections. </w:t>
            </w:r>
            <w:r w:rsidR="00776E07">
              <w:rPr>
                <w:color w:val="auto"/>
                <w:sz w:val="20"/>
                <w:szCs w:val="20"/>
                <w:lang w:val="en-GB"/>
              </w:rPr>
              <w:t>C</w:t>
            </w:r>
            <w:r w:rsidRPr="00776E07">
              <w:rPr>
                <w:color w:val="auto"/>
                <w:sz w:val="20"/>
                <w:szCs w:val="20"/>
                <w:lang w:val="en-GB"/>
              </w:rPr>
              <w:t>ase managers (registered nurses) and navigators (</w:t>
            </w:r>
            <w:r w:rsidR="00776E07">
              <w:rPr>
                <w:color w:val="auto"/>
                <w:sz w:val="20"/>
                <w:szCs w:val="20"/>
                <w:lang w:val="en-GB"/>
              </w:rPr>
              <w:t>k</w:t>
            </w:r>
            <w:r w:rsidRPr="00776E07">
              <w:rPr>
                <w:color w:val="auto"/>
                <w:sz w:val="20"/>
                <w:szCs w:val="20"/>
                <w:lang w:val="en-GB"/>
              </w:rPr>
              <w:t>aiawhina) support</w:t>
            </w:r>
            <w:r w:rsidR="00776E07">
              <w:rPr>
                <w:color w:val="auto"/>
                <w:sz w:val="20"/>
                <w:szCs w:val="20"/>
                <w:lang w:val="en-GB"/>
              </w:rPr>
              <w:t>ed</w:t>
            </w:r>
            <w:r w:rsidRPr="00776E07">
              <w:rPr>
                <w:color w:val="auto"/>
                <w:sz w:val="20"/>
                <w:szCs w:val="20"/>
                <w:lang w:val="en-GB"/>
              </w:rPr>
              <w:t xml:space="preserve"> the process of holistic assessment and care planning. </w:t>
            </w:r>
          </w:p>
          <w:p w:rsidR="00905EEF" w:rsidRPr="00776E07" w:rsidRDefault="00776E07" w:rsidP="0048208A">
            <w:pPr>
              <w:pStyle w:val="NoSpacing"/>
              <w:spacing w:line="240" w:lineRule="auto"/>
              <w:cnfStyle w:val="000000010000" w:firstRow="0" w:lastRow="0" w:firstColumn="0" w:lastColumn="0" w:oddVBand="0" w:evenVBand="0" w:oddHBand="0" w:evenHBand="1" w:firstRowFirstColumn="0" w:firstRowLastColumn="0" w:lastRowFirstColumn="0" w:lastRowLastColumn="0"/>
              <w:rPr>
                <w:rFonts w:cs="Arial"/>
                <w:color w:val="auto"/>
                <w:sz w:val="20"/>
                <w:szCs w:val="20"/>
                <w:lang w:val="en-GB"/>
              </w:rPr>
            </w:pPr>
            <w:r>
              <w:rPr>
                <w:color w:val="auto"/>
                <w:sz w:val="20"/>
                <w:szCs w:val="20"/>
                <w:lang w:val="en-GB"/>
              </w:rPr>
              <w:t>Each client had</w:t>
            </w:r>
            <w:r w:rsidR="00905EEF" w:rsidRPr="00776E07">
              <w:rPr>
                <w:color w:val="auto"/>
                <w:sz w:val="20"/>
                <w:szCs w:val="20"/>
                <w:lang w:val="en-GB"/>
              </w:rPr>
              <w:t xml:space="preserve"> a needs assessment and </w:t>
            </w:r>
            <w:r>
              <w:rPr>
                <w:color w:val="auto"/>
                <w:sz w:val="20"/>
                <w:szCs w:val="20"/>
                <w:lang w:val="en-GB"/>
              </w:rPr>
              <w:t>wa</w:t>
            </w:r>
            <w:r w:rsidR="00905EEF" w:rsidRPr="00776E07">
              <w:rPr>
                <w:color w:val="auto"/>
                <w:sz w:val="20"/>
                <w:szCs w:val="20"/>
                <w:lang w:val="en-GB"/>
              </w:rPr>
              <w:t xml:space="preserve">s assisted in the development of a shared care plan, followed by a series of home visits to provide self-management support. Referrals to other social, </w:t>
            </w:r>
            <w:r w:rsidR="002D0E6E">
              <w:rPr>
                <w:color w:val="auto"/>
                <w:sz w:val="20"/>
                <w:szCs w:val="20"/>
                <w:lang w:val="en-GB"/>
              </w:rPr>
              <w:t>community, and health services we</w:t>
            </w:r>
            <w:r w:rsidR="00905EEF" w:rsidRPr="00776E07">
              <w:rPr>
                <w:color w:val="auto"/>
                <w:sz w:val="20"/>
                <w:szCs w:val="20"/>
                <w:lang w:val="en-GB"/>
              </w:rPr>
              <w:t xml:space="preserve">re provided as required. GPs </w:t>
            </w:r>
            <w:r w:rsidR="002D0E6E">
              <w:rPr>
                <w:color w:val="auto"/>
                <w:sz w:val="20"/>
                <w:szCs w:val="20"/>
                <w:lang w:val="en-GB"/>
              </w:rPr>
              <w:t>we</w:t>
            </w:r>
            <w:r w:rsidR="00905EEF" w:rsidRPr="00776E07">
              <w:rPr>
                <w:color w:val="auto"/>
                <w:sz w:val="20"/>
                <w:szCs w:val="20"/>
                <w:lang w:val="en-GB"/>
              </w:rPr>
              <w:t>re informed of care plans but are not directly involved in the process.</w:t>
            </w:r>
          </w:p>
        </w:tc>
        <w:tc>
          <w:tcPr>
            <w:tcW w:w="5563" w:type="dxa"/>
            <w:tcBorders>
              <w:top w:val="none" w:sz="0" w:space="0" w:color="auto"/>
              <w:left w:val="none" w:sz="0" w:space="0" w:color="auto"/>
              <w:bottom w:val="none" w:sz="0" w:space="0" w:color="auto"/>
              <w:right w:val="none" w:sz="0" w:space="0" w:color="auto"/>
            </w:tcBorders>
          </w:tcPr>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Mean number of GP encounters of MWOK patients:</w:t>
            </w:r>
            <w:r w:rsidR="00115117" w:rsidRPr="00776E07">
              <w:rPr>
                <w:color w:val="auto"/>
                <w:sz w:val="20"/>
                <w:szCs w:val="20"/>
                <w:lang w:val="en-GB"/>
              </w:rPr>
              <w:t xml:space="preserve"> </w:t>
            </w:r>
            <w:r w:rsidRPr="00776E07">
              <w:rPr>
                <w:color w:val="auto"/>
                <w:sz w:val="20"/>
                <w:szCs w:val="20"/>
                <w:lang w:val="en-GB"/>
              </w:rPr>
              <w:t>1</w:t>
            </w:r>
            <w:r w:rsidR="00776E07">
              <w:rPr>
                <w:color w:val="auto"/>
                <w:sz w:val="20"/>
                <w:szCs w:val="20"/>
                <w:lang w:val="en-GB"/>
              </w:rPr>
              <w:t>2</w:t>
            </w:r>
            <w:r w:rsidRPr="00776E07">
              <w:rPr>
                <w:color w:val="auto"/>
                <w:sz w:val="20"/>
                <w:szCs w:val="20"/>
                <w:lang w:val="en-GB"/>
              </w:rPr>
              <w:t xml:space="preserve"> in 2013-14</w:t>
            </w:r>
            <w:r w:rsidR="00115117" w:rsidRPr="00776E07">
              <w:rPr>
                <w:color w:val="auto"/>
                <w:sz w:val="20"/>
                <w:szCs w:val="20"/>
                <w:lang w:val="en-GB"/>
              </w:rPr>
              <w:t xml:space="preserve"> to </w:t>
            </w:r>
            <w:r w:rsidR="00776E07">
              <w:rPr>
                <w:color w:val="auto"/>
                <w:sz w:val="20"/>
                <w:szCs w:val="20"/>
                <w:lang w:val="en-GB"/>
              </w:rPr>
              <w:t>15</w:t>
            </w:r>
            <w:r w:rsidRPr="00776E07">
              <w:rPr>
                <w:color w:val="auto"/>
                <w:sz w:val="20"/>
                <w:szCs w:val="20"/>
                <w:lang w:val="en-GB"/>
              </w:rPr>
              <w:t xml:space="preserve"> in 2014-15</w:t>
            </w:r>
          </w:p>
          <w:p w:rsidR="00905EEF" w:rsidRPr="00776E07" w:rsidRDefault="00776E07"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Pr>
                <w:color w:val="auto"/>
                <w:sz w:val="20"/>
                <w:szCs w:val="20"/>
                <w:lang w:val="en-GB"/>
              </w:rPr>
              <w:t>Number of GP encounters per year, according to baseline utilisation</w:t>
            </w:r>
            <w:r w:rsidR="00115117" w:rsidRPr="00776E07">
              <w:rPr>
                <w:color w:val="auto"/>
                <w:sz w:val="20"/>
                <w:szCs w:val="20"/>
                <w:lang w:val="en-GB"/>
              </w:rPr>
              <w:t>:</w:t>
            </w:r>
          </w:p>
          <w:p w:rsidR="00905EEF" w:rsidRPr="00776E07" w:rsidRDefault="00905EEF" w:rsidP="00115117">
            <w:pPr>
              <w:pStyle w:val="ListParagraph"/>
              <w:cnfStyle w:val="000000010000" w:firstRow="0" w:lastRow="0" w:firstColumn="0" w:lastColumn="0" w:oddVBand="0" w:evenVBand="0" w:oddHBand="0" w:evenHBand="1" w:firstRowFirstColumn="0" w:firstRowLastColumn="0" w:lastRowFirstColumn="0" w:lastRowLastColumn="0"/>
              <w:rPr>
                <w:color w:val="auto"/>
                <w:sz w:val="20"/>
              </w:rPr>
            </w:pPr>
            <w:r w:rsidRPr="00776E07">
              <w:rPr>
                <w:i/>
                <w:color w:val="auto"/>
                <w:sz w:val="20"/>
              </w:rPr>
              <w:t>Low</w:t>
            </w:r>
            <w:r w:rsidRPr="00776E07">
              <w:rPr>
                <w:color w:val="auto"/>
                <w:sz w:val="20"/>
              </w:rPr>
              <w:t>: from 3 to 10</w:t>
            </w:r>
            <w:r w:rsidR="00776E07">
              <w:rPr>
                <w:color w:val="auto"/>
                <w:sz w:val="20"/>
              </w:rPr>
              <w:t>.</w:t>
            </w:r>
          </w:p>
          <w:p w:rsidR="00905EEF" w:rsidRPr="00776E07" w:rsidRDefault="00905EEF" w:rsidP="00115117">
            <w:pPr>
              <w:pStyle w:val="ListParagraph"/>
              <w:cnfStyle w:val="000000010000" w:firstRow="0" w:lastRow="0" w:firstColumn="0" w:lastColumn="0" w:oddVBand="0" w:evenVBand="0" w:oddHBand="0" w:evenHBand="1" w:firstRowFirstColumn="0" w:firstRowLastColumn="0" w:lastRowFirstColumn="0" w:lastRowLastColumn="0"/>
              <w:rPr>
                <w:color w:val="auto"/>
                <w:sz w:val="20"/>
              </w:rPr>
            </w:pPr>
            <w:r w:rsidRPr="00776E07">
              <w:rPr>
                <w:i/>
                <w:color w:val="auto"/>
                <w:sz w:val="20"/>
              </w:rPr>
              <w:t>Medium</w:t>
            </w:r>
            <w:r w:rsidRPr="00776E07">
              <w:rPr>
                <w:color w:val="auto"/>
                <w:sz w:val="20"/>
              </w:rPr>
              <w:t>: from 12 to 1</w:t>
            </w:r>
            <w:r w:rsidR="00776E07">
              <w:rPr>
                <w:color w:val="auto"/>
                <w:sz w:val="20"/>
              </w:rPr>
              <w:t>6.</w:t>
            </w:r>
          </w:p>
          <w:p w:rsidR="00905EEF" w:rsidRPr="00776E07" w:rsidRDefault="00905EEF" w:rsidP="00115117">
            <w:pPr>
              <w:pStyle w:val="ListParagraph"/>
              <w:cnfStyle w:val="000000010000" w:firstRow="0" w:lastRow="0" w:firstColumn="0" w:lastColumn="0" w:oddVBand="0" w:evenVBand="0" w:oddHBand="0" w:evenHBand="1" w:firstRowFirstColumn="0" w:firstRowLastColumn="0" w:lastRowFirstColumn="0" w:lastRowLastColumn="0"/>
              <w:rPr>
                <w:color w:val="auto"/>
                <w:sz w:val="20"/>
              </w:rPr>
            </w:pPr>
            <w:r w:rsidRPr="00776E07">
              <w:rPr>
                <w:i/>
                <w:color w:val="auto"/>
                <w:sz w:val="20"/>
              </w:rPr>
              <w:t>High</w:t>
            </w:r>
            <w:r w:rsidRPr="00776E07">
              <w:rPr>
                <w:color w:val="auto"/>
                <w:sz w:val="20"/>
              </w:rPr>
              <w:t>: from 26 to 2</w:t>
            </w:r>
            <w:r w:rsidR="00776E07">
              <w:rPr>
                <w:color w:val="auto"/>
                <w:sz w:val="20"/>
              </w:rPr>
              <w:t>3</w:t>
            </w:r>
            <w:r w:rsidRPr="00776E07">
              <w:rPr>
                <w:color w:val="auto"/>
                <w:sz w:val="20"/>
              </w:rPr>
              <w:t>.</w:t>
            </w:r>
          </w:p>
          <w:p w:rsidR="00905EEF" w:rsidRPr="00776E07" w:rsidRDefault="00905EEF" w:rsidP="00F70888">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Ten patients completed the PACIC questionnaire pre</w:t>
            </w:r>
            <w:r w:rsidR="002D0E6E">
              <w:rPr>
                <w:color w:val="auto"/>
                <w:sz w:val="20"/>
                <w:szCs w:val="20"/>
                <w:lang w:val="en-GB"/>
              </w:rPr>
              <w:t xml:space="preserve"> and </w:t>
            </w:r>
            <w:r w:rsidRPr="00776E07">
              <w:rPr>
                <w:color w:val="auto"/>
                <w:sz w:val="20"/>
                <w:szCs w:val="20"/>
                <w:lang w:val="en-GB"/>
              </w:rPr>
              <w:t>post programme and showed a significant improvement in all of the five categories.</w:t>
            </w:r>
          </w:p>
          <w:p w:rsidR="00905EEF" w:rsidRPr="00776E07" w:rsidRDefault="00905EEF" w:rsidP="00F70888">
            <w:pPr>
              <w:pStyle w:val="NoSpacing"/>
              <w:numPr>
                <w:ilvl w:val="0"/>
                <w:numId w:val="28"/>
              </w:numPr>
              <w:spacing w:line="240" w:lineRule="auto"/>
              <w:ind w:left="445"/>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 xml:space="preserve">Patient activation from 3.3 to 4.9 </w:t>
            </w:r>
          </w:p>
          <w:p w:rsidR="00905EEF" w:rsidRPr="00776E07" w:rsidRDefault="00905EEF" w:rsidP="00F70888">
            <w:pPr>
              <w:pStyle w:val="NoSpacing"/>
              <w:numPr>
                <w:ilvl w:val="0"/>
                <w:numId w:val="28"/>
              </w:numPr>
              <w:spacing w:line="240" w:lineRule="auto"/>
              <w:ind w:left="445"/>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 xml:space="preserve">Decision support from 3.0 to 4.9 </w:t>
            </w:r>
          </w:p>
          <w:p w:rsidR="00905EEF" w:rsidRPr="00776E07" w:rsidRDefault="00905EEF" w:rsidP="00F70888">
            <w:pPr>
              <w:pStyle w:val="NoSpacing"/>
              <w:numPr>
                <w:ilvl w:val="0"/>
                <w:numId w:val="28"/>
              </w:numPr>
              <w:spacing w:line="240" w:lineRule="auto"/>
              <w:ind w:left="445"/>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 xml:space="preserve">Goal setting from 2.9 to 4.7 </w:t>
            </w:r>
          </w:p>
          <w:p w:rsidR="00905EEF" w:rsidRPr="00776E07" w:rsidRDefault="00905EEF" w:rsidP="00F70888">
            <w:pPr>
              <w:pStyle w:val="NoSpacing"/>
              <w:numPr>
                <w:ilvl w:val="0"/>
                <w:numId w:val="28"/>
              </w:numPr>
              <w:spacing w:line="240" w:lineRule="auto"/>
              <w:ind w:left="445"/>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 xml:space="preserve">Contextual counselling from 3.0 to 4.9 </w:t>
            </w:r>
          </w:p>
          <w:p w:rsidR="00905EEF" w:rsidRPr="00776E07" w:rsidRDefault="00905EEF" w:rsidP="00F70888">
            <w:pPr>
              <w:pStyle w:val="NoSpacing"/>
              <w:numPr>
                <w:ilvl w:val="0"/>
                <w:numId w:val="28"/>
              </w:numPr>
              <w:spacing w:line="240" w:lineRule="auto"/>
              <w:ind w:left="445"/>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 xml:space="preserve">Coordination from 2.8 to 4.4 </w:t>
            </w:r>
          </w:p>
          <w:p w:rsidR="00905EEF" w:rsidRPr="00776E07" w:rsidRDefault="00905EEF" w:rsidP="00A338E7">
            <w:pPr>
              <w:pStyle w:val="NoSpacing"/>
              <w:spacing w:line="240" w:lineRule="auto"/>
              <w:cnfStyle w:val="000000010000" w:firstRow="0" w:lastRow="0" w:firstColumn="0" w:lastColumn="0" w:oddVBand="0" w:evenVBand="0" w:oddHBand="0" w:evenHBand="1" w:firstRowFirstColumn="0" w:firstRowLastColumn="0" w:lastRowFirstColumn="0" w:lastRowLastColumn="0"/>
              <w:rPr>
                <w:color w:val="auto"/>
                <w:sz w:val="20"/>
                <w:szCs w:val="20"/>
                <w:lang w:val="en-GB"/>
              </w:rPr>
            </w:pPr>
            <w:r w:rsidRPr="00776E07">
              <w:rPr>
                <w:color w:val="auto"/>
                <w:sz w:val="20"/>
                <w:szCs w:val="20"/>
                <w:lang w:val="en-GB"/>
              </w:rPr>
              <w:t>Qualitative data demonstrated the importance of the nurse-kaiawhina partnership. The kaiawhina were important for reaching highly disengaged or underserved patients</w:t>
            </w:r>
            <w:r w:rsidR="00A338E7" w:rsidRPr="00776E07">
              <w:rPr>
                <w:color w:val="auto"/>
                <w:sz w:val="20"/>
                <w:szCs w:val="20"/>
                <w:lang w:val="en-GB"/>
              </w:rPr>
              <w:t>.</w:t>
            </w:r>
            <w:r w:rsidRPr="00776E07">
              <w:rPr>
                <w:color w:val="auto"/>
                <w:sz w:val="20"/>
                <w:szCs w:val="20"/>
                <w:lang w:val="en-GB"/>
              </w:rPr>
              <w:t xml:space="preserve"> </w:t>
            </w:r>
          </w:p>
          <w:p w:rsidR="00E72867" w:rsidRPr="00776E07" w:rsidRDefault="00E72867" w:rsidP="00E72867">
            <w:pPr>
              <w:cnfStyle w:val="000000010000" w:firstRow="0" w:lastRow="0" w:firstColumn="0" w:lastColumn="0" w:oddVBand="0" w:evenVBand="0" w:oddHBand="0" w:evenHBand="1" w:firstRowFirstColumn="0" w:firstRowLastColumn="0" w:lastRowFirstColumn="0" w:lastRowLastColumn="0"/>
              <w:rPr>
                <w:rFonts w:ascii="Georgia" w:hAnsi="Georgia"/>
                <w:color w:val="auto"/>
                <w:szCs w:val="20"/>
                <w:lang w:val="en-GB"/>
              </w:rPr>
            </w:pPr>
            <w:r w:rsidRPr="00776E07">
              <w:rPr>
                <w:rFonts w:ascii="Georgia" w:hAnsi="Georgia"/>
                <w:color w:val="auto"/>
                <w:szCs w:val="20"/>
                <w:lang w:val="en-GB"/>
              </w:rPr>
              <w:t>Cost per enrolment: $2,329</w:t>
            </w:r>
          </w:p>
        </w:tc>
      </w:tr>
      <w:tr w:rsidR="00905EEF" w:rsidRPr="00776E07" w:rsidTr="00482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905EEF" w:rsidP="00F70888">
            <w:pPr>
              <w:pStyle w:val="NoSpacing"/>
              <w:spacing w:line="240" w:lineRule="auto"/>
              <w:rPr>
                <w:color w:val="auto"/>
                <w:sz w:val="20"/>
                <w:szCs w:val="20"/>
                <w:lang w:val="en-GB"/>
              </w:rPr>
            </w:pPr>
            <w:r w:rsidRPr="00776E07">
              <w:rPr>
                <w:color w:val="auto"/>
                <w:sz w:val="20"/>
                <w:szCs w:val="20"/>
                <w:lang w:val="en-GB"/>
              </w:rPr>
              <w:t>ProCare</w:t>
            </w:r>
          </w:p>
        </w:tc>
        <w:tc>
          <w:tcPr>
            <w:tcW w:w="31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D53129"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Two GP practices:</w:t>
            </w:r>
            <w:r w:rsidR="00905EEF" w:rsidRPr="00776E07">
              <w:rPr>
                <w:color w:val="auto"/>
                <w:sz w:val="20"/>
                <w:szCs w:val="20"/>
                <w:lang w:val="en-GB"/>
              </w:rPr>
              <w:t xml:space="preserve"> (1) Pukekohe Family Health Centre (PFHC) rur</w:t>
            </w:r>
            <w:r w:rsidRPr="00776E07">
              <w:rPr>
                <w:color w:val="auto"/>
                <w:sz w:val="20"/>
                <w:szCs w:val="20"/>
                <w:lang w:val="en-GB"/>
              </w:rPr>
              <w:t xml:space="preserve">al practice, mainly NZ European; </w:t>
            </w:r>
            <w:r w:rsidR="00905EEF" w:rsidRPr="00776E07">
              <w:rPr>
                <w:color w:val="auto"/>
                <w:sz w:val="20"/>
                <w:szCs w:val="20"/>
                <w:lang w:val="en-GB"/>
              </w:rPr>
              <w:t>(2) Clendon Medical Centre (CMC), a Very Low Cost Access practice with a large Pacific population and high rates of poverty.</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eastAsia="en-AU"/>
              </w:rPr>
            </w:pPr>
            <w:r w:rsidRPr="00776E07">
              <w:rPr>
                <w:color w:val="auto"/>
                <w:sz w:val="20"/>
                <w:szCs w:val="20"/>
                <w:lang w:val="en-GB" w:eastAsia="en-AU"/>
              </w:rPr>
              <w:t xml:space="preserve">Patients </w:t>
            </w:r>
            <w:r w:rsidR="002D0E6E">
              <w:rPr>
                <w:color w:val="auto"/>
                <w:sz w:val="20"/>
                <w:szCs w:val="20"/>
                <w:lang w:val="en-GB" w:eastAsia="en-AU"/>
              </w:rPr>
              <w:t>we</w:t>
            </w:r>
            <w:r w:rsidRPr="00776E07">
              <w:rPr>
                <w:color w:val="auto"/>
                <w:sz w:val="20"/>
                <w:szCs w:val="20"/>
                <w:lang w:val="en-GB" w:eastAsia="en-AU"/>
              </w:rPr>
              <w:t>re automatically referred to the PHO self-</w:t>
            </w:r>
            <w:r w:rsidR="002D0E6E">
              <w:rPr>
                <w:color w:val="auto"/>
                <w:sz w:val="20"/>
                <w:szCs w:val="20"/>
                <w:lang w:val="en-GB" w:eastAsia="en-AU"/>
              </w:rPr>
              <w:t>management coordinator who called</w:t>
            </w:r>
            <w:r w:rsidRPr="00776E07">
              <w:rPr>
                <w:color w:val="auto"/>
                <w:sz w:val="20"/>
                <w:szCs w:val="20"/>
                <w:lang w:val="en-GB" w:eastAsia="en-AU"/>
              </w:rPr>
              <w:t xml:space="preserve"> and invite</w:t>
            </w:r>
            <w:r w:rsidR="002D0E6E">
              <w:rPr>
                <w:color w:val="auto"/>
                <w:sz w:val="20"/>
                <w:szCs w:val="20"/>
                <w:lang w:val="en-GB" w:eastAsia="en-AU"/>
              </w:rPr>
              <w:t>d</w:t>
            </w:r>
            <w:r w:rsidRPr="00776E07">
              <w:rPr>
                <w:color w:val="auto"/>
                <w:sz w:val="20"/>
                <w:szCs w:val="20"/>
                <w:lang w:val="en-GB" w:eastAsia="en-AU"/>
              </w:rPr>
              <w:t xml:space="preserve"> patients to the relevant </w:t>
            </w:r>
            <w:r w:rsidR="002D0E6E">
              <w:rPr>
                <w:color w:val="auto"/>
                <w:sz w:val="20"/>
                <w:szCs w:val="20"/>
                <w:lang w:val="en-GB" w:eastAsia="en-AU"/>
              </w:rPr>
              <w:t>practice programme</w:t>
            </w:r>
            <w:r w:rsidRPr="00776E07">
              <w:rPr>
                <w:color w:val="auto"/>
                <w:sz w:val="20"/>
                <w:szCs w:val="20"/>
                <w:lang w:val="en-GB" w:eastAsia="en-AU"/>
              </w:rPr>
              <w:t>.</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b/>
                <w:color w:val="auto"/>
                <w:sz w:val="20"/>
                <w:szCs w:val="20"/>
                <w:u w:val="single"/>
                <w:lang w:val="en-GB"/>
              </w:rPr>
            </w:pPr>
            <w:r w:rsidRPr="00776E07">
              <w:rPr>
                <w:color w:val="auto"/>
                <w:sz w:val="20"/>
                <w:szCs w:val="20"/>
                <w:lang w:val="en-GB" w:eastAsia="en-AU"/>
              </w:rPr>
              <w:t xml:space="preserve">Over 16 months: </w:t>
            </w:r>
            <w:r w:rsidRPr="00776E07">
              <w:rPr>
                <w:b/>
                <w:color w:val="auto"/>
                <w:sz w:val="20"/>
                <w:szCs w:val="20"/>
                <w:lang w:val="en-GB" w:eastAsia="en-AU"/>
              </w:rPr>
              <w:t>CMC</w:t>
            </w:r>
            <w:r w:rsidR="002D0E6E">
              <w:rPr>
                <w:b/>
                <w:color w:val="auto"/>
                <w:sz w:val="20"/>
                <w:szCs w:val="20"/>
                <w:lang w:val="en-GB" w:eastAsia="en-AU"/>
              </w:rPr>
              <w:t xml:space="preserve"> </w:t>
            </w:r>
            <w:r w:rsidRPr="00776E07">
              <w:rPr>
                <w:color w:val="auto"/>
                <w:sz w:val="20"/>
                <w:szCs w:val="20"/>
                <w:lang w:val="en-GB"/>
              </w:rPr>
              <w:t>332 patients</w:t>
            </w:r>
            <w:r w:rsidR="00D53129" w:rsidRPr="00776E07">
              <w:rPr>
                <w:color w:val="auto"/>
                <w:sz w:val="20"/>
                <w:szCs w:val="20"/>
                <w:lang w:val="en-GB"/>
              </w:rPr>
              <w:t xml:space="preserve">; </w:t>
            </w:r>
            <w:r w:rsidRPr="00776E07">
              <w:rPr>
                <w:b/>
                <w:color w:val="auto"/>
                <w:sz w:val="20"/>
                <w:szCs w:val="20"/>
                <w:lang w:val="en-GB"/>
              </w:rPr>
              <w:t>PFHC</w:t>
            </w:r>
            <w:r w:rsidR="00D53129" w:rsidRPr="00776E07">
              <w:rPr>
                <w:b/>
                <w:color w:val="auto"/>
                <w:sz w:val="20"/>
                <w:szCs w:val="20"/>
                <w:lang w:val="en-GB"/>
              </w:rPr>
              <w:t xml:space="preserve"> </w:t>
            </w:r>
            <w:r w:rsidRPr="00776E07">
              <w:rPr>
                <w:color w:val="auto"/>
                <w:sz w:val="20"/>
                <w:szCs w:val="20"/>
                <w:lang w:val="en-GB"/>
              </w:rPr>
              <w:t xml:space="preserve">792 patients </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Most patients between 45 – 75 years of age</w:t>
            </w:r>
          </w:p>
        </w:tc>
        <w:tc>
          <w:tcPr>
            <w:tcW w:w="39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Three-stage patient journey: (1) assessment and enrolment;</w:t>
            </w:r>
            <w:r w:rsidRPr="00776E07">
              <w:rPr>
                <w:rFonts w:cs="Calibri Light"/>
                <w:color w:val="auto"/>
                <w:sz w:val="20"/>
                <w:szCs w:val="20"/>
                <w:lang w:val="en-GB"/>
              </w:rPr>
              <w:t xml:space="preserve"> </w:t>
            </w:r>
            <w:r w:rsidRPr="00776E07">
              <w:rPr>
                <w:color w:val="auto"/>
                <w:sz w:val="20"/>
                <w:szCs w:val="20"/>
                <w:lang w:val="en-GB"/>
              </w:rPr>
              <w:t>(2) up to 12 months of coordinated care; and (3) transition off ARI or reenrolment as</w:t>
            </w:r>
            <w:r w:rsidRPr="00776E07">
              <w:rPr>
                <w:rFonts w:cs="Calibri Light"/>
                <w:color w:val="auto"/>
                <w:sz w:val="20"/>
                <w:szCs w:val="20"/>
                <w:lang w:val="en-GB"/>
              </w:rPr>
              <w:t xml:space="preserve"> </w:t>
            </w:r>
            <w:r w:rsidRPr="00776E07">
              <w:rPr>
                <w:color w:val="auto"/>
                <w:sz w:val="20"/>
                <w:szCs w:val="20"/>
                <w:lang w:val="en-GB"/>
              </w:rPr>
              <w:t>needed.</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eastAsia="en-AU"/>
              </w:rPr>
            </w:pPr>
            <w:r w:rsidRPr="00776E07">
              <w:rPr>
                <w:color w:val="auto"/>
                <w:sz w:val="20"/>
                <w:szCs w:val="20"/>
                <w:lang w:val="en-GB" w:eastAsia="en-AU"/>
              </w:rPr>
              <w:t xml:space="preserve">The programme utilised the </w:t>
            </w:r>
            <w:r w:rsidR="002D0E6E">
              <w:rPr>
                <w:color w:val="auto"/>
                <w:sz w:val="20"/>
                <w:szCs w:val="20"/>
                <w:lang w:val="en-GB" w:eastAsia="en-AU"/>
              </w:rPr>
              <w:t>six</w:t>
            </w:r>
            <w:r w:rsidRPr="00776E07">
              <w:rPr>
                <w:color w:val="auto"/>
                <w:sz w:val="20"/>
                <w:szCs w:val="20"/>
                <w:lang w:val="en-GB" w:eastAsia="en-AU"/>
              </w:rPr>
              <w:t xml:space="preserve">-week Stanford SMP. Groups are aligned to need, </w:t>
            </w:r>
            <w:r w:rsidR="0034188F" w:rsidRPr="00776E07">
              <w:rPr>
                <w:color w:val="auto"/>
                <w:sz w:val="20"/>
                <w:szCs w:val="20"/>
                <w:lang w:val="en-GB" w:eastAsia="en-AU"/>
              </w:rPr>
              <w:t>eg,</w:t>
            </w:r>
            <w:r w:rsidRPr="00776E07">
              <w:rPr>
                <w:color w:val="auto"/>
                <w:sz w:val="20"/>
                <w:szCs w:val="20"/>
                <w:lang w:val="en-GB" w:eastAsia="en-AU"/>
              </w:rPr>
              <w:t xml:space="preserve"> diabetes, chronic pain, and generic health issues. </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eastAsia="en-AU"/>
              </w:rPr>
            </w:pPr>
            <w:r w:rsidRPr="00776E07">
              <w:rPr>
                <w:color w:val="auto"/>
                <w:sz w:val="20"/>
                <w:szCs w:val="20"/>
                <w:lang w:val="en-GB" w:eastAsia="en-AU"/>
              </w:rPr>
              <w:t xml:space="preserve">Programmes </w:t>
            </w:r>
            <w:r w:rsidR="002D0E6E">
              <w:rPr>
                <w:color w:val="auto"/>
                <w:sz w:val="20"/>
                <w:szCs w:val="20"/>
                <w:lang w:val="en-GB" w:eastAsia="en-AU"/>
              </w:rPr>
              <w:t>we</w:t>
            </w:r>
            <w:r w:rsidRPr="00776E07">
              <w:rPr>
                <w:color w:val="auto"/>
                <w:sz w:val="20"/>
                <w:szCs w:val="20"/>
                <w:lang w:val="en-GB" w:eastAsia="en-AU"/>
              </w:rPr>
              <w:t>re run at either a local community centre or at the practice.</w:t>
            </w:r>
          </w:p>
          <w:p w:rsidR="00905EEF" w:rsidRPr="00776E07" w:rsidRDefault="00905EEF" w:rsidP="002D0E6E">
            <w:pPr>
              <w:pStyle w:val="NoSpacing"/>
              <w:spacing w:line="240" w:lineRule="auto"/>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776E07">
              <w:rPr>
                <w:color w:val="auto"/>
                <w:sz w:val="20"/>
                <w:szCs w:val="20"/>
                <w:lang w:val="en-GB"/>
              </w:rPr>
              <w:t xml:space="preserve">Used an eShared Care tool (Collaborative Care Management Solution or CCMS) that allowed clinicians to develop and manage a patient-centred care plan that </w:t>
            </w:r>
            <w:r w:rsidR="002D0E6E">
              <w:rPr>
                <w:color w:val="auto"/>
                <w:sz w:val="20"/>
                <w:szCs w:val="20"/>
                <w:lang w:val="en-GB"/>
              </w:rPr>
              <w:t>could</w:t>
            </w:r>
            <w:r w:rsidRPr="00776E07">
              <w:rPr>
                <w:color w:val="auto"/>
                <w:sz w:val="20"/>
                <w:szCs w:val="20"/>
                <w:lang w:val="en-GB"/>
              </w:rPr>
              <w:t xml:space="preserve"> be accessed by other clinical specialties not necessarily linked to the practice.</w:t>
            </w:r>
          </w:p>
        </w:tc>
        <w:tc>
          <w:tcPr>
            <w:tcW w:w="5563"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 xml:space="preserve">Changes in the Partners in Health (PIH) questionnaire showed beneficial changes. </w:t>
            </w:r>
            <w:r w:rsidR="000C243A" w:rsidRPr="00776E07">
              <w:rPr>
                <w:color w:val="auto"/>
                <w:sz w:val="20"/>
                <w:szCs w:val="20"/>
                <w:lang w:val="en-GB"/>
              </w:rPr>
              <w:t>The m</w:t>
            </w:r>
            <w:r w:rsidRPr="00776E07">
              <w:rPr>
                <w:color w:val="auto"/>
                <w:sz w:val="20"/>
                <w:szCs w:val="20"/>
                <w:lang w:val="en-GB"/>
              </w:rPr>
              <w:t xml:space="preserve">ean change score </w:t>
            </w:r>
            <w:r w:rsidR="000C243A" w:rsidRPr="00776E07">
              <w:rPr>
                <w:color w:val="auto"/>
                <w:sz w:val="20"/>
                <w:szCs w:val="20"/>
                <w:lang w:val="en-GB"/>
              </w:rPr>
              <w:t>for each practice:</w:t>
            </w:r>
          </w:p>
          <w:p w:rsidR="00905EEF" w:rsidRPr="00776E07" w:rsidRDefault="00905EEF" w:rsidP="0048208A">
            <w:pPr>
              <w:pStyle w:val="ListParagraph"/>
              <w:ind w:left="459" w:hanging="425"/>
              <w:cnfStyle w:val="000000100000" w:firstRow="0" w:lastRow="0" w:firstColumn="0" w:lastColumn="0" w:oddVBand="0" w:evenVBand="0" w:oddHBand="1" w:evenHBand="0" w:firstRowFirstColumn="0" w:firstRowLastColumn="0" w:lastRowFirstColumn="0" w:lastRowLastColumn="0"/>
              <w:rPr>
                <w:color w:val="auto"/>
                <w:sz w:val="20"/>
              </w:rPr>
            </w:pPr>
            <w:r w:rsidRPr="00776E07">
              <w:rPr>
                <w:color w:val="auto"/>
                <w:sz w:val="20"/>
              </w:rPr>
              <w:t>CMC was 5.40 (95</w:t>
            </w:r>
            <w:r w:rsidR="00973820" w:rsidRPr="00776E07">
              <w:rPr>
                <w:color w:val="auto"/>
                <w:sz w:val="20"/>
              </w:rPr>
              <w:t xml:space="preserve"> percent</w:t>
            </w:r>
            <w:r w:rsidRPr="00776E07">
              <w:rPr>
                <w:color w:val="auto"/>
                <w:sz w:val="20"/>
              </w:rPr>
              <w:t xml:space="preserve"> CI 0.41 to 10.40)</w:t>
            </w:r>
          </w:p>
          <w:p w:rsidR="00905EEF" w:rsidRPr="00776E07" w:rsidRDefault="00905EEF" w:rsidP="0048208A">
            <w:pPr>
              <w:pStyle w:val="ListParagraph"/>
              <w:ind w:left="459" w:hanging="425"/>
              <w:cnfStyle w:val="000000100000" w:firstRow="0" w:lastRow="0" w:firstColumn="0" w:lastColumn="0" w:oddVBand="0" w:evenVBand="0" w:oddHBand="1" w:evenHBand="0" w:firstRowFirstColumn="0" w:firstRowLastColumn="0" w:lastRowFirstColumn="0" w:lastRowLastColumn="0"/>
              <w:rPr>
                <w:color w:val="auto"/>
                <w:sz w:val="20"/>
              </w:rPr>
            </w:pPr>
            <w:r w:rsidRPr="00776E07">
              <w:rPr>
                <w:color w:val="auto"/>
                <w:sz w:val="20"/>
              </w:rPr>
              <w:t>PFHC 4.29 (95</w:t>
            </w:r>
            <w:r w:rsidR="00973820" w:rsidRPr="00776E07">
              <w:rPr>
                <w:color w:val="auto"/>
                <w:sz w:val="20"/>
              </w:rPr>
              <w:t xml:space="preserve"> percent</w:t>
            </w:r>
            <w:r w:rsidRPr="00776E07">
              <w:rPr>
                <w:color w:val="auto"/>
                <w:sz w:val="20"/>
              </w:rPr>
              <w:t xml:space="preserve"> CI</w:t>
            </w:r>
            <w:r w:rsidRPr="00776E07">
              <w:rPr>
                <w:rFonts w:cs="Calibri Light"/>
                <w:color w:val="auto"/>
                <w:sz w:val="20"/>
              </w:rPr>
              <w:t xml:space="preserve"> </w:t>
            </w:r>
            <w:r w:rsidRPr="00776E07">
              <w:rPr>
                <w:color w:val="auto"/>
                <w:sz w:val="20"/>
              </w:rPr>
              <w:t>3.14 to 6.69)</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Health literacy (knowledge of health condition, knowledge of medications, knowledge of early warning signs of acute deterioration of LTCs and acting on these signs) improved significantly at both practices.</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Patients who completed feedback questionnaires (11</w:t>
            </w:r>
            <w:r w:rsidR="00973820" w:rsidRPr="00776E07">
              <w:rPr>
                <w:color w:val="auto"/>
                <w:sz w:val="20"/>
                <w:szCs w:val="20"/>
                <w:lang w:val="en-GB"/>
              </w:rPr>
              <w:t xml:space="preserve"> percent</w:t>
            </w:r>
            <w:r w:rsidRPr="00776E07">
              <w:rPr>
                <w:color w:val="auto"/>
                <w:sz w:val="20"/>
                <w:szCs w:val="20"/>
                <w:lang w:val="en-GB"/>
              </w:rPr>
              <w:t xml:space="preserve"> from the CMC and 14</w:t>
            </w:r>
            <w:r w:rsidR="00973820" w:rsidRPr="00776E07">
              <w:rPr>
                <w:color w:val="auto"/>
                <w:sz w:val="20"/>
                <w:szCs w:val="20"/>
                <w:lang w:val="en-GB"/>
              </w:rPr>
              <w:t xml:space="preserve"> percent</w:t>
            </w:r>
            <w:r w:rsidRPr="00776E07">
              <w:rPr>
                <w:color w:val="auto"/>
                <w:sz w:val="20"/>
                <w:szCs w:val="20"/>
                <w:lang w:val="en-GB"/>
              </w:rPr>
              <w:t xml:space="preserve"> from the PFHC) showed a high satisfaction with the programme.</w:t>
            </w:r>
          </w:p>
          <w:p w:rsidR="00905EEF" w:rsidRPr="00776E07" w:rsidRDefault="00905EEF" w:rsidP="00F70888">
            <w:pPr>
              <w:pStyle w:val="NoSpacing"/>
              <w:spacing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val="en-GB"/>
              </w:rPr>
            </w:pPr>
            <w:r w:rsidRPr="00776E07">
              <w:rPr>
                <w:color w:val="auto"/>
                <w:sz w:val="20"/>
                <w:szCs w:val="20"/>
                <w:lang w:val="en-GB"/>
              </w:rPr>
              <w:t>Qualitative feedback showed the programme contributed towards improved wellbeing</w:t>
            </w:r>
            <w:r w:rsidR="002D0E6E">
              <w:rPr>
                <w:color w:val="auto"/>
                <w:sz w:val="20"/>
                <w:szCs w:val="20"/>
                <w:lang w:val="en-GB"/>
              </w:rPr>
              <w:t xml:space="preserve"> and patients'</w:t>
            </w:r>
            <w:r w:rsidRPr="00776E07">
              <w:rPr>
                <w:color w:val="auto"/>
                <w:sz w:val="20"/>
                <w:szCs w:val="20"/>
                <w:lang w:val="en-GB"/>
              </w:rPr>
              <w:t xml:space="preserve"> understanding and confidence to manage their own health.</w:t>
            </w:r>
          </w:p>
          <w:p w:rsidR="00905EEF" w:rsidRPr="00776E07" w:rsidRDefault="00E72867" w:rsidP="00776E07">
            <w:pPr>
              <w:cnfStyle w:val="000000100000" w:firstRow="0" w:lastRow="0" w:firstColumn="0" w:lastColumn="0" w:oddVBand="0" w:evenVBand="0" w:oddHBand="1" w:evenHBand="0" w:firstRowFirstColumn="0" w:firstRowLastColumn="0" w:lastRowFirstColumn="0" w:lastRowLastColumn="0"/>
              <w:rPr>
                <w:rFonts w:ascii="Georgia" w:hAnsi="Georgia"/>
                <w:color w:val="auto"/>
                <w:szCs w:val="20"/>
                <w:lang w:val="en-GB"/>
              </w:rPr>
            </w:pPr>
            <w:r w:rsidRPr="00776E07">
              <w:rPr>
                <w:rFonts w:ascii="Georgia" w:hAnsi="Georgia"/>
                <w:color w:val="auto"/>
                <w:szCs w:val="20"/>
                <w:lang w:val="en-GB"/>
              </w:rPr>
              <w:t>Cost per enrolment: $311</w:t>
            </w:r>
          </w:p>
        </w:tc>
      </w:tr>
    </w:tbl>
    <w:p w:rsidR="00905EEF" w:rsidRPr="009949B9" w:rsidRDefault="00905EEF" w:rsidP="00905EEF">
      <w:pPr>
        <w:rPr>
          <w:rFonts w:ascii="Georgia" w:hAnsi="Georgia"/>
          <w:color w:val="auto"/>
          <w:lang w:val="en-GB"/>
        </w:rPr>
      </w:pPr>
    </w:p>
    <w:p w:rsidR="00905EEF" w:rsidRPr="009949B9" w:rsidRDefault="00905EEF" w:rsidP="00905EEF">
      <w:pPr>
        <w:rPr>
          <w:rFonts w:ascii="Georgia" w:hAnsi="Georgia"/>
          <w:color w:val="auto"/>
          <w:lang w:val="en-GB"/>
        </w:rPr>
        <w:sectPr w:rsidR="00905EEF" w:rsidRPr="009949B9" w:rsidSect="0048208A">
          <w:pgSz w:w="16840" w:h="11900" w:orient="landscape"/>
          <w:pgMar w:top="1800" w:right="1440" w:bottom="1276" w:left="1440" w:header="708" w:footer="708" w:gutter="0"/>
          <w:cols w:space="708"/>
          <w:docGrid w:linePitch="360"/>
        </w:sectPr>
      </w:pPr>
    </w:p>
    <w:p w:rsidR="00905EEF" w:rsidRPr="00034C96" w:rsidRDefault="00141080" w:rsidP="00034C96">
      <w:pPr>
        <w:pStyle w:val="Heading1"/>
      </w:pPr>
      <w:bookmarkStart w:id="16" w:name="_Toc465944118"/>
      <w:r w:rsidRPr="00034C96">
        <w:t>Section 2</w:t>
      </w:r>
      <w:r w:rsidR="006012C3" w:rsidRPr="00034C96">
        <w:t>: Barriers and</w:t>
      </w:r>
      <w:r w:rsidR="00905EEF" w:rsidRPr="00034C96">
        <w:t xml:space="preserve"> facilitators to implementation</w:t>
      </w:r>
      <w:bookmarkEnd w:id="16"/>
    </w:p>
    <w:p w:rsidR="00905EEF" w:rsidRPr="00034C96" w:rsidRDefault="00034C96" w:rsidP="00034C96">
      <w:pPr>
        <w:pStyle w:val="Heading2"/>
      </w:pPr>
      <w:bookmarkStart w:id="17" w:name="_Toc465944119"/>
      <w:r w:rsidRPr="00034C96">
        <w:t>(</w:t>
      </w:r>
      <w:r w:rsidR="006625E8" w:rsidRPr="00034C96">
        <w:t>1</w:t>
      </w:r>
      <w:r w:rsidRPr="00034C96">
        <w:t>)</w:t>
      </w:r>
      <w:r w:rsidR="006625E8" w:rsidRPr="00034C96">
        <w:t xml:space="preserve"> </w:t>
      </w:r>
      <w:r w:rsidR="00905EEF" w:rsidRPr="00034C96">
        <w:t>Barriers</w:t>
      </w:r>
      <w:r w:rsidR="006625E8" w:rsidRPr="00034C96">
        <w:t xml:space="preserve"> to implementation</w:t>
      </w:r>
      <w:bookmarkEnd w:id="17"/>
    </w:p>
    <w:p w:rsidR="00905EEF" w:rsidRPr="009949B9" w:rsidRDefault="00905EEF" w:rsidP="00141080">
      <w:pPr>
        <w:pStyle w:val="NoSpacing"/>
        <w:rPr>
          <w:color w:val="auto"/>
          <w:lang w:val="en-GB"/>
        </w:rPr>
      </w:pPr>
      <w:r w:rsidRPr="009949B9">
        <w:rPr>
          <w:color w:val="auto"/>
          <w:lang w:val="en-GB"/>
        </w:rPr>
        <w:t xml:space="preserve">All projects faced barriers to implementation of programmes. Many of the themes </w:t>
      </w:r>
      <w:r w:rsidR="00FD3577">
        <w:rPr>
          <w:color w:val="auto"/>
          <w:lang w:val="en-GB"/>
        </w:rPr>
        <w:t xml:space="preserve">that </w:t>
      </w:r>
      <w:r w:rsidRPr="009949B9">
        <w:rPr>
          <w:color w:val="auto"/>
          <w:lang w:val="en-GB"/>
        </w:rPr>
        <w:t xml:space="preserve">emerged were common to both the </w:t>
      </w:r>
      <w:r w:rsidR="00565ADB" w:rsidRPr="009949B9">
        <w:rPr>
          <w:color w:val="auto"/>
          <w:lang w:val="en-GB"/>
        </w:rPr>
        <w:t>pre-</w:t>
      </w:r>
      <w:r w:rsidRPr="009949B9">
        <w:rPr>
          <w:color w:val="auto"/>
          <w:lang w:val="en-GB"/>
        </w:rPr>
        <w:t>diabetes and sha</w:t>
      </w:r>
      <w:r w:rsidR="00565ADB" w:rsidRPr="009949B9">
        <w:rPr>
          <w:color w:val="auto"/>
          <w:lang w:val="en-GB"/>
        </w:rPr>
        <w:t>red care self-management</w:t>
      </w:r>
      <w:r w:rsidR="004859E4" w:rsidRPr="009949B9">
        <w:rPr>
          <w:color w:val="auto"/>
          <w:lang w:val="en-GB"/>
        </w:rPr>
        <w:t xml:space="preserve"> (SCSM)</w:t>
      </w:r>
      <w:r w:rsidR="00565ADB" w:rsidRPr="009949B9">
        <w:rPr>
          <w:color w:val="auto"/>
          <w:lang w:val="en-GB"/>
        </w:rPr>
        <w:t xml:space="preserve"> </w:t>
      </w:r>
      <w:r w:rsidRPr="009949B9">
        <w:rPr>
          <w:color w:val="auto"/>
          <w:lang w:val="en-GB"/>
        </w:rPr>
        <w:t xml:space="preserve">projects and so these are summarised together. Where a barrier is specific to </w:t>
      </w:r>
      <w:r w:rsidR="00AE3053">
        <w:rPr>
          <w:color w:val="auto"/>
          <w:lang w:val="en-GB"/>
        </w:rPr>
        <w:t>a</w:t>
      </w:r>
      <w:r w:rsidRPr="009949B9">
        <w:rPr>
          <w:color w:val="auto"/>
          <w:lang w:val="en-GB"/>
        </w:rPr>
        <w:t xml:space="preserve"> particular</w:t>
      </w:r>
      <w:r w:rsidR="00AE3053">
        <w:rPr>
          <w:color w:val="auto"/>
          <w:lang w:val="en-GB"/>
        </w:rPr>
        <w:t xml:space="preserve"> project</w:t>
      </w:r>
      <w:r w:rsidRPr="009949B9">
        <w:rPr>
          <w:color w:val="auto"/>
          <w:lang w:val="en-GB"/>
        </w:rPr>
        <w:t>, this is highlighted.</w:t>
      </w:r>
    </w:p>
    <w:p w:rsidR="00905EEF" w:rsidRPr="009949B9" w:rsidRDefault="00905EEF" w:rsidP="00905EEF">
      <w:pPr>
        <w:pStyle w:val="Heading4"/>
        <w:rPr>
          <w:color w:val="auto"/>
          <w:lang w:val="en-GB"/>
        </w:rPr>
      </w:pPr>
      <w:r w:rsidRPr="009949B9">
        <w:rPr>
          <w:color w:val="auto"/>
          <w:lang w:val="en-GB"/>
        </w:rPr>
        <w:t>Recruitment</w:t>
      </w:r>
    </w:p>
    <w:p w:rsidR="00905EEF" w:rsidRPr="009949B9" w:rsidRDefault="004D5B8D" w:rsidP="00141080">
      <w:pPr>
        <w:pStyle w:val="NoSpacing"/>
        <w:rPr>
          <w:color w:val="auto"/>
          <w:lang w:val="en-GB"/>
        </w:rPr>
      </w:pPr>
      <w:r w:rsidRPr="009949B9">
        <w:rPr>
          <w:color w:val="auto"/>
          <w:lang w:val="en-GB"/>
        </w:rPr>
        <w:t>Most</w:t>
      </w:r>
      <w:r w:rsidR="00905EEF" w:rsidRPr="009949B9">
        <w:rPr>
          <w:color w:val="auto"/>
          <w:lang w:val="en-GB"/>
        </w:rPr>
        <w:t xml:space="preserve"> projects </w:t>
      </w:r>
      <w:r w:rsidR="00DB1A21" w:rsidRPr="009949B9">
        <w:rPr>
          <w:color w:val="auto"/>
          <w:lang w:val="en-GB"/>
        </w:rPr>
        <w:t>experienced some</w:t>
      </w:r>
      <w:r w:rsidR="00905EEF" w:rsidRPr="009949B9">
        <w:rPr>
          <w:color w:val="auto"/>
          <w:lang w:val="en-GB"/>
        </w:rPr>
        <w:t xml:space="preserve"> difficulty in recruiting participants. Although the pool of potential participants is large</w:t>
      </w:r>
      <w:r w:rsidR="00AE3053">
        <w:rPr>
          <w:color w:val="auto"/>
          <w:lang w:val="en-GB"/>
        </w:rPr>
        <w:t>,</w:t>
      </w:r>
      <w:r w:rsidR="00905EEF" w:rsidRPr="009949B9">
        <w:rPr>
          <w:color w:val="auto"/>
          <w:lang w:val="en-GB"/>
        </w:rPr>
        <w:t xml:space="preserve"> not all are interested in assistance or see the need to participate in programmes to improve their health.</w:t>
      </w:r>
    </w:p>
    <w:p w:rsidR="00905EEF" w:rsidRPr="009949B9" w:rsidRDefault="00905EEF" w:rsidP="00141080">
      <w:pPr>
        <w:pStyle w:val="NoSpacing"/>
        <w:rPr>
          <w:color w:val="auto"/>
          <w:lang w:val="en-GB"/>
        </w:rPr>
      </w:pPr>
      <w:r w:rsidRPr="009949B9">
        <w:rPr>
          <w:color w:val="auto"/>
          <w:lang w:val="en-GB"/>
        </w:rPr>
        <w:t>As an example, the Alliance Health Plus (</w:t>
      </w:r>
      <w:r w:rsidR="004859E4" w:rsidRPr="009949B9">
        <w:rPr>
          <w:color w:val="auto"/>
          <w:lang w:val="en-GB"/>
        </w:rPr>
        <w:t xml:space="preserve">a </w:t>
      </w:r>
      <w:r w:rsidRPr="009949B9">
        <w:rPr>
          <w:color w:val="auto"/>
          <w:lang w:val="en-GB"/>
        </w:rPr>
        <w:t>SCSM</w:t>
      </w:r>
      <w:r w:rsidR="004859E4" w:rsidRPr="009949B9">
        <w:rPr>
          <w:color w:val="auto"/>
          <w:lang w:val="en-GB"/>
        </w:rPr>
        <w:t xml:space="preserve"> project</w:t>
      </w:r>
      <w:r w:rsidRPr="009949B9">
        <w:rPr>
          <w:color w:val="auto"/>
          <w:lang w:val="en-GB"/>
        </w:rPr>
        <w:t>) programme identified 3</w:t>
      </w:r>
      <w:r w:rsidR="009D3DBC">
        <w:rPr>
          <w:color w:val="auto"/>
          <w:lang w:val="en-GB"/>
        </w:rPr>
        <w:t>,</w:t>
      </w:r>
      <w:r w:rsidRPr="009949B9">
        <w:rPr>
          <w:color w:val="auto"/>
          <w:lang w:val="en-GB"/>
        </w:rPr>
        <w:t>979 patients with a medical need Level 2 or 3. Of these, 1</w:t>
      </w:r>
      <w:r w:rsidR="009D3DBC">
        <w:rPr>
          <w:color w:val="auto"/>
          <w:lang w:val="en-GB"/>
        </w:rPr>
        <w:t>,</w:t>
      </w:r>
      <w:r w:rsidRPr="009949B9">
        <w:rPr>
          <w:color w:val="auto"/>
          <w:lang w:val="en-GB"/>
        </w:rPr>
        <w:t>119 (28</w:t>
      </w:r>
      <w:r w:rsidR="00973820">
        <w:rPr>
          <w:color w:val="auto"/>
          <w:lang w:val="en-GB"/>
        </w:rPr>
        <w:t xml:space="preserve"> percent</w:t>
      </w:r>
      <w:r w:rsidRPr="009949B9">
        <w:rPr>
          <w:color w:val="auto"/>
          <w:lang w:val="en-GB"/>
        </w:rPr>
        <w:t>) could be contacted and 752 (67</w:t>
      </w:r>
      <w:r w:rsidR="00973820">
        <w:rPr>
          <w:color w:val="auto"/>
          <w:lang w:val="en-GB"/>
        </w:rPr>
        <w:t xml:space="preserve"> percent</w:t>
      </w:r>
      <w:r w:rsidRPr="009949B9">
        <w:rPr>
          <w:color w:val="auto"/>
          <w:lang w:val="en-GB"/>
        </w:rPr>
        <w:t>) enrolled over a 10-month period. Only 242 (32</w:t>
      </w:r>
      <w:r w:rsidR="00973820">
        <w:rPr>
          <w:color w:val="auto"/>
          <w:lang w:val="en-GB"/>
        </w:rPr>
        <w:t xml:space="preserve"> percent</w:t>
      </w:r>
      <w:r w:rsidRPr="009949B9">
        <w:rPr>
          <w:color w:val="auto"/>
          <w:lang w:val="en-GB"/>
        </w:rPr>
        <w:t xml:space="preserve">) of those enrolled </w:t>
      </w:r>
      <w:r w:rsidR="009D3DBC">
        <w:rPr>
          <w:color w:val="auto"/>
          <w:lang w:val="en-GB"/>
        </w:rPr>
        <w:t xml:space="preserve">actually </w:t>
      </w:r>
      <w:r w:rsidRPr="009949B9">
        <w:rPr>
          <w:color w:val="auto"/>
          <w:lang w:val="en-GB"/>
        </w:rPr>
        <w:t>completed the programme. A nurse from one of the participating practices noted that for every 15 patients contacted, 10 would accept the offer of help and five would actually attend.</w:t>
      </w:r>
    </w:p>
    <w:p w:rsidR="00905EEF" w:rsidRPr="009949B9" w:rsidRDefault="00905EEF" w:rsidP="00141080">
      <w:pPr>
        <w:pStyle w:val="NoSpacing"/>
        <w:rPr>
          <w:color w:val="auto"/>
          <w:lang w:val="en-GB"/>
        </w:rPr>
      </w:pPr>
      <w:r w:rsidRPr="009949B9">
        <w:rPr>
          <w:color w:val="auto"/>
          <w:lang w:val="en-GB"/>
        </w:rPr>
        <w:t xml:space="preserve">Differences in rates of recruitment were also noted in different ethnic groups. </w:t>
      </w:r>
      <w:r w:rsidR="009D3DBC">
        <w:rPr>
          <w:color w:val="auto"/>
          <w:lang w:val="en-GB"/>
        </w:rPr>
        <w:t xml:space="preserve">For example, </w:t>
      </w:r>
      <w:r w:rsidR="00A629AA" w:rsidRPr="009949B9">
        <w:rPr>
          <w:color w:val="auto"/>
          <w:lang w:val="en-GB"/>
        </w:rPr>
        <w:t xml:space="preserve">Counties </w:t>
      </w:r>
      <w:r w:rsidRPr="009949B9">
        <w:rPr>
          <w:color w:val="auto"/>
          <w:lang w:val="en-GB"/>
        </w:rPr>
        <w:t>Manukau</w:t>
      </w:r>
      <w:r w:rsidR="009D3DBC">
        <w:rPr>
          <w:color w:val="auto"/>
          <w:lang w:val="en-GB"/>
        </w:rPr>
        <w:t xml:space="preserve"> Sport</w:t>
      </w:r>
      <w:r w:rsidRPr="009949B9">
        <w:rPr>
          <w:color w:val="auto"/>
          <w:lang w:val="en-GB"/>
        </w:rPr>
        <w:t xml:space="preserve"> utilised extensive promotional activity to try and increase referrals of Pacific people to the programme. However</w:t>
      </w:r>
      <w:r w:rsidR="009D3DBC">
        <w:rPr>
          <w:color w:val="auto"/>
          <w:lang w:val="en-GB"/>
        </w:rPr>
        <w:t xml:space="preserve">, </w:t>
      </w:r>
      <w:r w:rsidRPr="009949B9">
        <w:rPr>
          <w:color w:val="auto"/>
          <w:lang w:val="en-GB"/>
        </w:rPr>
        <w:t>the barriers faced were not just in getting key referrers (</w:t>
      </w:r>
      <w:r w:rsidR="0034188F">
        <w:rPr>
          <w:color w:val="auto"/>
          <w:lang w:val="en-GB"/>
        </w:rPr>
        <w:t>eg,</w:t>
      </w:r>
      <w:r w:rsidRPr="009949B9">
        <w:rPr>
          <w:color w:val="auto"/>
          <w:lang w:val="en-GB"/>
        </w:rPr>
        <w:t xml:space="preserve"> GPs/</w:t>
      </w:r>
      <w:r w:rsidR="009D3DBC">
        <w:rPr>
          <w:color w:val="auto"/>
          <w:lang w:val="en-GB"/>
        </w:rPr>
        <w:t>PN</w:t>
      </w:r>
      <w:r w:rsidRPr="009949B9">
        <w:rPr>
          <w:color w:val="auto"/>
          <w:lang w:val="en-GB"/>
        </w:rPr>
        <w:t xml:space="preserve">s) to refer to the programme, which was difficult, but </w:t>
      </w:r>
      <w:r w:rsidR="009D3DBC">
        <w:rPr>
          <w:color w:val="auto"/>
          <w:lang w:val="en-GB"/>
        </w:rPr>
        <w:t>also</w:t>
      </w:r>
      <w:r w:rsidRPr="009949B9">
        <w:rPr>
          <w:color w:val="auto"/>
          <w:lang w:val="en-GB"/>
        </w:rPr>
        <w:t xml:space="preserve"> getting the people referred to enrol in the programme.  Face-to-</w:t>
      </w:r>
      <w:r w:rsidR="009D3DBC">
        <w:rPr>
          <w:color w:val="auto"/>
          <w:lang w:val="en-GB"/>
        </w:rPr>
        <w:t>f</w:t>
      </w:r>
      <w:r w:rsidRPr="009949B9">
        <w:rPr>
          <w:color w:val="auto"/>
          <w:lang w:val="en-GB"/>
        </w:rPr>
        <w:t>ace promotion (</w:t>
      </w:r>
      <w:r w:rsidR="0034188F">
        <w:rPr>
          <w:color w:val="auto"/>
          <w:lang w:val="en-GB"/>
        </w:rPr>
        <w:t>eg,</w:t>
      </w:r>
      <w:r w:rsidRPr="009949B9">
        <w:rPr>
          <w:color w:val="auto"/>
          <w:lang w:val="en-GB"/>
        </w:rPr>
        <w:t xml:space="preserve"> at community events) generated a good number of ‘sign-ups’</w:t>
      </w:r>
      <w:r w:rsidR="009D3DBC">
        <w:rPr>
          <w:color w:val="auto"/>
          <w:lang w:val="en-GB"/>
        </w:rPr>
        <w:t>,</w:t>
      </w:r>
      <w:r w:rsidRPr="009949B9">
        <w:rPr>
          <w:color w:val="auto"/>
          <w:lang w:val="en-GB"/>
        </w:rPr>
        <w:t xml:space="preserve"> but when people were called back to enrol in the programme the majority had changed their mind.</w:t>
      </w:r>
    </w:p>
    <w:p w:rsidR="00905EEF" w:rsidRPr="009949B9" w:rsidRDefault="00905EEF" w:rsidP="00141080">
      <w:pPr>
        <w:pStyle w:val="NoSpacing"/>
        <w:rPr>
          <w:color w:val="auto"/>
          <w:lang w:val="en-GB"/>
        </w:rPr>
      </w:pPr>
      <w:r w:rsidRPr="009949B9">
        <w:rPr>
          <w:color w:val="auto"/>
          <w:lang w:val="en-GB"/>
        </w:rPr>
        <w:t xml:space="preserve">Identification of people with pre-diabetes was more difficult than identifying people with long-term conditions as the only way to identify </w:t>
      </w:r>
      <w:r w:rsidR="009D3DBC">
        <w:rPr>
          <w:color w:val="auto"/>
          <w:lang w:val="en-GB"/>
        </w:rPr>
        <w:t xml:space="preserve">it </w:t>
      </w:r>
      <w:r w:rsidRPr="009949B9">
        <w:rPr>
          <w:color w:val="auto"/>
          <w:lang w:val="en-GB"/>
        </w:rPr>
        <w:t xml:space="preserve">is to undertake a blood test, which needs to be initiated by the GP. One project report noted that identifying patients with pre-diabetes </w:t>
      </w:r>
      <w:r w:rsidR="009D3DBC">
        <w:rPr>
          <w:color w:val="auto"/>
          <w:lang w:val="en-GB"/>
        </w:rPr>
        <w:t>was</w:t>
      </w:r>
      <w:r w:rsidRPr="009949B9">
        <w:rPr>
          <w:color w:val="auto"/>
          <w:lang w:val="en-GB"/>
        </w:rPr>
        <w:t xml:space="preserve"> not a priority in the current environment where the focus is more heavily weight</w:t>
      </w:r>
      <w:r w:rsidR="009D3DBC">
        <w:rPr>
          <w:color w:val="auto"/>
          <w:lang w:val="en-GB"/>
        </w:rPr>
        <w:t>ed</w:t>
      </w:r>
      <w:r w:rsidRPr="009949B9">
        <w:rPr>
          <w:color w:val="auto"/>
          <w:lang w:val="en-GB"/>
        </w:rPr>
        <w:t xml:space="preserve"> to</w:t>
      </w:r>
      <w:r w:rsidR="009D3DBC">
        <w:rPr>
          <w:color w:val="auto"/>
          <w:lang w:val="en-GB"/>
        </w:rPr>
        <w:t>wards</w:t>
      </w:r>
      <w:r w:rsidRPr="009949B9">
        <w:rPr>
          <w:color w:val="auto"/>
          <w:lang w:val="en-GB"/>
        </w:rPr>
        <w:t xml:space="preserve"> CVD risk assessment.</w:t>
      </w:r>
    </w:p>
    <w:p w:rsidR="00905EEF" w:rsidRPr="009949B9" w:rsidRDefault="00905EEF" w:rsidP="00905EEF">
      <w:pPr>
        <w:pStyle w:val="Heading4"/>
        <w:rPr>
          <w:color w:val="auto"/>
          <w:lang w:val="en-GB"/>
        </w:rPr>
      </w:pPr>
      <w:r w:rsidRPr="009949B9">
        <w:rPr>
          <w:color w:val="auto"/>
          <w:lang w:val="en-GB"/>
        </w:rPr>
        <w:t>Targets</w:t>
      </w:r>
    </w:p>
    <w:p w:rsidR="00905EEF" w:rsidRPr="009949B9" w:rsidRDefault="00905EEF" w:rsidP="00141080">
      <w:pPr>
        <w:pStyle w:val="NoSpacing"/>
        <w:rPr>
          <w:color w:val="auto"/>
          <w:lang w:val="en-GB"/>
        </w:rPr>
      </w:pPr>
      <w:r w:rsidRPr="009949B9">
        <w:rPr>
          <w:color w:val="auto"/>
          <w:lang w:val="en-GB"/>
        </w:rPr>
        <w:t>Enrolment targets can be good to drive practice change but can also act as barriers if the</w:t>
      </w:r>
      <w:r w:rsidR="009D3DBC">
        <w:rPr>
          <w:color w:val="auto"/>
          <w:lang w:val="en-GB"/>
        </w:rPr>
        <w:t xml:space="preserve">y </w:t>
      </w:r>
      <w:r w:rsidRPr="009949B9">
        <w:rPr>
          <w:color w:val="auto"/>
          <w:lang w:val="en-GB"/>
        </w:rPr>
        <w:t>are unrealistic.</w:t>
      </w:r>
    </w:p>
    <w:p w:rsidR="00905EEF" w:rsidRPr="009949B9" w:rsidRDefault="00905EEF" w:rsidP="00905EEF">
      <w:pPr>
        <w:pStyle w:val="Heading4"/>
        <w:rPr>
          <w:color w:val="auto"/>
          <w:lang w:val="en-GB"/>
        </w:rPr>
      </w:pPr>
      <w:r w:rsidRPr="009949B9">
        <w:rPr>
          <w:color w:val="auto"/>
          <w:lang w:val="en-GB"/>
        </w:rPr>
        <w:t>Timing</w:t>
      </w:r>
    </w:p>
    <w:p w:rsidR="00905EEF" w:rsidRPr="009949B9" w:rsidRDefault="00905EEF" w:rsidP="00141080">
      <w:pPr>
        <w:pStyle w:val="NoSpacing"/>
        <w:rPr>
          <w:color w:val="auto"/>
          <w:lang w:val="en-GB"/>
        </w:rPr>
      </w:pPr>
      <w:r w:rsidRPr="009949B9">
        <w:rPr>
          <w:color w:val="auto"/>
          <w:lang w:val="en-GB"/>
        </w:rPr>
        <w:t xml:space="preserve">The majority of projects </w:t>
      </w:r>
      <w:r w:rsidR="009D3DBC">
        <w:rPr>
          <w:color w:val="auto"/>
          <w:lang w:val="en-GB"/>
        </w:rPr>
        <w:t>reported</w:t>
      </w:r>
      <w:r w:rsidRPr="009949B9">
        <w:rPr>
          <w:color w:val="auto"/>
          <w:lang w:val="en-GB"/>
        </w:rPr>
        <w:t xml:space="preserve"> that the lead in time was not long enough time to adequately set up the interventions. Implementing the programmes in winter, when practices are typically busy, can have a significant negative impact on </w:t>
      </w:r>
      <w:r w:rsidR="009D3DBC">
        <w:rPr>
          <w:color w:val="auto"/>
          <w:lang w:val="en-GB"/>
        </w:rPr>
        <w:t>staff availability, as they were already busy</w:t>
      </w:r>
      <w:r w:rsidRPr="009949B9">
        <w:rPr>
          <w:color w:val="auto"/>
          <w:lang w:val="en-GB"/>
        </w:rPr>
        <w:t>.</w:t>
      </w:r>
    </w:p>
    <w:p w:rsidR="00905EEF" w:rsidRPr="009949B9" w:rsidRDefault="00905EEF" w:rsidP="00905EEF">
      <w:pPr>
        <w:pStyle w:val="Heading4"/>
        <w:rPr>
          <w:color w:val="auto"/>
          <w:lang w:val="en-GB"/>
        </w:rPr>
      </w:pPr>
      <w:r w:rsidRPr="009949B9">
        <w:rPr>
          <w:color w:val="auto"/>
          <w:lang w:val="en-GB"/>
        </w:rPr>
        <w:t>Clinician barriers</w:t>
      </w:r>
    </w:p>
    <w:p w:rsidR="00905EEF" w:rsidRPr="009949B9" w:rsidRDefault="00905EEF" w:rsidP="00141080">
      <w:pPr>
        <w:pStyle w:val="NoSpacing"/>
        <w:rPr>
          <w:color w:val="auto"/>
          <w:lang w:val="en-GB"/>
        </w:rPr>
      </w:pPr>
      <w:r w:rsidRPr="009949B9">
        <w:rPr>
          <w:color w:val="auto"/>
          <w:lang w:val="en-GB"/>
        </w:rPr>
        <w:t xml:space="preserve">Several projects </w:t>
      </w:r>
      <w:r w:rsidR="009D3DBC">
        <w:rPr>
          <w:color w:val="auto"/>
          <w:lang w:val="en-GB"/>
        </w:rPr>
        <w:t>reported</w:t>
      </w:r>
      <w:r w:rsidRPr="009949B9">
        <w:rPr>
          <w:color w:val="auto"/>
          <w:lang w:val="en-GB"/>
        </w:rPr>
        <w:t xml:space="preserve"> on the lack of buy</w:t>
      </w:r>
      <w:r w:rsidR="009D3DBC">
        <w:rPr>
          <w:color w:val="auto"/>
          <w:lang w:val="en-GB"/>
        </w:rPr>
        <w:t>-</w:t>
      </w:r>
      <w:r w:rsidRPr="009949B9">
        <w:rPr>
          <w:color w:val="auto"/>
          <w:lang w:val="en-GB"/>
        </w:rPr>
        <w:t>in from practice staff. GPs</w:t>
      </w:r>
      <w:r w:rsidR="009D3DBC">
        <w:rPr>
          <w:color w:val="auto"/>
          <w:lang w:val="en-GB"/>
        </w:rPr>
        <w:t xml:space="preserve"> in particular </w:t>
      </w:r>
      <w:r w:rsidRPr="009949B9">
        <w:rPr>
          <w:color w:val="auto"/>
          <w:lang w:val="en-GB"/>
        </w:rPr>
        <w:t>were noted to be slow to engage and refer patients. Common barriers to GPs engaging and referring include</w:t>
      </w:r>
      <w:r w:rsidR="009D3DBC">
        <w:rPr>
          <w:color w:val="auto"/>
          <w:lang w:val="en-GB"/>
        </w:rPr>
        <w:t>d</w:t>
      </w:r>
      <w:r w:rsidRPr="009949B9">
        <w:rPr>
          <w:color w:val="auto"/>
          <w:lang w:val="en-GB"/>
        </w:rPr>
        <w:t xml:space="preserve"> lack of time, lack of knowledge, </w:t>
      </w:r>
      <w:r w:rsidR="009D3DBC">
        <w:rPr>
          <w:color w:val="auto"/>
          <w:lang w:val="en-GB"/>
        </w:rPr>
        <w:t>failure to understand t</w:t>
      </w:r>
      <w:r w:rsidRPr="009949B9">
        <w:rPr>
          <w:color w:val="auto"/>
          <w:lang w:val="en-GB"/>
        </w:rPr>
        <w:t xml:space="preserve">he need, and competing priorities. A finding </w:t>
      </w:r>
      <w:r w:rsidR="009D3DBC">
        <w:rPr>
          <w:color w:val="auto"/>
          <w:lang w:val="en-GB"/>
        </w:rPr>
        <w:t>from</w:t>
      </w:r>
      <w:r w:rsidRPr="009949B9">
        <w:rPr>
          <w:color w:val="auto"/>
          <w:lang w:val="en-GB"/>
        </w:rPr>
        <w:t xml:space="preserve"> the Energised Practices project was </w:t>
      </w:r>
      <w:r w:rsidR="009D3DBC">
        <w:rPr>
          <w:color w:val="auto"/>
          <w:lang w:val="en-GB"/>
        </w:rPr>
        <w:t xml:space="preserve">that </w:t>
      </w:r>
      <w:r w:rsidRPr="009949B9">
        <w:rPr>
          <w:color w:val="auto"/>
          <w:lang w:val="en-GB"/>
        </w:rPr>
        <w:t>some staff perceived they had adequate knowledge to help people change their health behaviour, when in reality knowledge was inconsistent across practices.</w:t>
      </w:r>
    </w:p>
    <w:p w:rsidR="00905EEF" w:rsidRPr="009949B9" w:rsidRDefault="00905EEF" w:rsidP="00141080">
      <w:pPr>
        <w:pStyle w:val="NoSpacing"/>
        <w:rPr>
          <w:rFonts w:eastAsiaTheme="minorHAnsi"/>
          <w:color w:val="auto"/>
          <w:lang w:val="en-GB"/>
        </w:rPr>
      </w:pPr>
      <w:r w:rsidRPr="009949B9">
        <w:rPr>
          <w:rFonts w:eastAsiaTheme="minorHAnsi"/>
          <w:color w:val="auto"/>
          <w:lang w:val="en-GB"/>
        </w:rPr>
        <w:t xml:space="preserve">Many of the SCSM projects needed a ‘culture change’ associated with a more holistic model of care. A change in focus from a clinical perspective to </w:t>
      </w:r>
      <w:r w:rsidR="009D3DBC">
        <w:rPr>
          <w:rFonts w:eastAsiaTheme="minorHAnsi"/>
          <w:color w:val="auto"/>
          <w:lang w:val="en-GB"/>
        </w:rPr>
        <w:t xml:space="preserve">a </w:t>
      </w:r>
      <w:r w:rsidRPr="009949B9">
        <w:rPr>
          <w:rFonts w:eastAsiaTheme="minorHAnsi"/>
          <w:color w:val="auto"/>
          <w:lang w:val="en-GB"/>
        </w:rPr>
        <w:t xml:space="preserve">wider holistic view of a patient’s wellbeing can be challenging for </w:t>
      </w:r>
      <w:r w:rsidRPr="00B82C81">
        <w:rPr>
          <w:rFonts w:eastAsiaTheme="minorHAnsi"/>
          <w:color w:val="auto"/>
          <w:lang w:val="en-GB"/>
        </w:rPr>
        <w:t>some clinicians. Clinical outcomes and patient feedback was seen to be helpful i</w:t>
      </w:r>
      <w:r w:rsidR="00B82C81" w:rsidRPr="00B82C81">
        <w:rPr>
          <w:rFonts w:eastAsiaTheme="minorHAnsi"/>
          <w:color w:val="auto"/>
          <w:lang w:val="en-GB"/>
        </w:rPr>
        <w:t>n</w:t>
      </w:r>
      <w:r w:rsidRPr="00B82C81">
        <w:rPr>
          <w:rFonts w:eastAsiaTheme="minorHAnsi"/>
          <w:color w:val="auto"/>
          <w:lang w:val="en-GB"/>
        </w:rPr>
        <w:t xml:space="preserve"> changing these views.</w:t>
      </w:r>
    </w:p>
    <w:p w:rsidR="00905EEF" w:rsidRPr="009949B9" w:rsidRDefault="00905EEF" w:rsidP="00905EEF">
      <w:pPr>
        <w:pStyle w:val="Heading4"/>
        <w:rPr>
          <w:color w:val="auto"/>
          <w:lang w:val="en-GB"/>
        </w:rPr>
      </w:pPr>
      <w:r w:rsidRPr="009949B9">
        <w:rPr>
          <w:color w:val="auto"/>
          <w:lang w:val="en-GB"/>
        </w:rPr>
        <w:t>Care plans</w:t>
      </w:r>
    </w:p>
    <w:p w:rsidR="00905EEF" w:rsidRPr="009949B9" w:rsidRDefault="00905EEF" w:rsidP="00141080">
      <w:pPr>
        <w:pStyle w:val="NoSpacing"/>
        <w:rPr>
          <w:color w:val="auto"/>
          <w:lang w:val="en-GB"/>
        </w:rPr>
      </w:pPr>
      <w:r w:rsidRPr="009949B9">
        <w:rPr>
          <w:color w:val="auto"/>
          <w:lang w:val="en-GB"/>
        </w:rPr>
        <w:t>This was specific to the SCSM projects, where dedicated time was needed to understand the patients</w:t>
      </w:r>
      <w:r w:rsidR="009D3DBC">
        <w:rPr>
          <w:color w:val="auto"/>
          <w:lang w:val="en-GB"/>
        </w:rPr>
        <w:t>’</w:t>
      </w:r>
      <w:r w:rsidRPr="009949B9">
        <w:rPr>
          <w:color w:val="auto"/>
          <w:lang w:val="en-GB"/>
        </w:rPr>
        <w:t xml:space="preserve"> concerns and </w:t>
      </w:r>
      <w:r w:rsidR="009D3DBC">
        <w:rPr>
          <w:color w:val="auto"/>
          <w:lang w:val="en-GB"/>
        </w:rPr>
        <w:t xml:space="preserve">to </w:t>
      </w:r>
      <w:r w:rsidRPr="009949B9">
        <w:rPr>
          <w:color w:val="auto"/>
          <w:lang w:val="en-GB"/>
        </w:rPr>
        <w:t>develop a care plan with them. This process was essential in building the relationship between the patient and their care team. This had financial and staffing implications for some practices. As an example of the time that need</w:t>
      </w:r>
      <w:r w:rsidR="009D3DBC">
        <w:rPr>
          <w:color w:val="auto"/>
          <w:lang w:val="en-GB"/>
        </w:rPr>
        <w:t>ed</w:t>
      </w:r>
      <w:r w:rsidRPr="009949B9">
        <w:rPr>
          <w:color w:val="auto"/>
          <w:lang w:val="en-GB"/>
        </w:rPr>
        <w:t xml:space="preserve"> to be set aside, the ProCare pilots funded approximately </w:t>
      </w:r>
      <w:r w:rsidR="009D3DBC">
        <w:rPr>
          <w:color w:val="auto"/>
          <w:lang w:val="en-GB"/>
        </w:rPr>
        <w:t>one</w:t>
      </w:r>
      <w:r w:rsidRPr="009949B9">
        <w:rPr>
          <w:color w:val="auto"/>
          <w:lang w:val="en-GB"/>
        </w:rPr>
        <w:t xml:space="preserve"> hour of nurse time to undertake the initial review and development of the care plan.</w:t>
      </w:r>
    </w:p>
    <w:p w:rsidR="00905EEF" w:rsidRPr="009949B9" w:rsidRDefault="00905EEF" w:rsidP="00141080">
      <w:pPr>
        <w:pStyle w:val="NoSpacing"/>
        <w:rPr>
          <w:color w:val="auto"/>
          <w:lang w:val="en-GB"/>
        </w:rPr>
      </w:pPr>
      <w:r w:rsidRPr="009949B9">
        <w:rPr>
          <w:color w:val="auto"/>
          <w:lang w:val="en-GB"/>
        </w:rPr>
        <w:t>In one project (Alliance Health Plus)</w:t>
      </w:r>
      <w:r w:rsidR="009D3DBC">
        <w:rPr>
          <w:color w:val="auto"/>
          <w:lang w:val="en-GB"/>
        </w:rPr>
        <w:t>,</w:t>
      </w:r>
      <w:r w:rsidRPr="009949B9">
        <w:rPr>
          <w:color w:val="auto"/>
          <w:lang w:val="en-GB"/>
        </w:rPr>
        <w:t xml:space="preserve"> care plans were often incomplete, did not always have timeframes, and were not revisited or updated. Care plans need to be developed in such a way that they can be tailored to individual need, have space to set timeframes and provide detail of how the plans will be achieved. Care plans should also focus on what can be done by the person and/or their family.</w:t>
      </w:r>
    </w:p>
    <w:p w:rsidR="00905EEF" w:rsidRPr="009949B9" w:rsidRDefault="00905EEF" w:rsidP="00905EEF">
      <w:pPr>
        <w:pStyle w:val="Heading4"/>
        <w:rPr>
          <w:color w:val="auto"/>
          <w:lang w:val="en-GB"/>
        </w:rPr>
      </w:pPr>
      <w:r w:rsidRPr="009949B9">
        <w:rPr>
          <w:color w:val="auto"/>
          <w:lang w:val="en-GB"/>
        </w:rPr>
        <w:t>Blood tests at follow-up</w:t>
      </w:r>
    </w:p>
    <w:p w:rsidR="00905EEF" w:rsidRPr="009949B9" w:rsidRDefault="00905EEF" w:rsidP="00141080">
      <w:pPr>
        <w:pStyle w:val="NoSpacing"/>
        <w:rPr>
          <w:color w:val="auto"/>
          <w:lang w:val="en-GB"/>
        </w:rPr>
      </w:pPr>
      <w:r w:rsidRPr="009949B9">
        <w:rPr>
          <w:color w:val="auto"/>
          <w:lang w:val="en-GB"/>
        </w:rPr>
        <w:t>This was specific to the diabetes projects, where a</w:t>
      </w:r>
      <w:r w:rsidRPr="00D82CB3">
        <w:rPr>
          <w:color w:val="auto"/>
          <w:lang w:val="en-GB"/>
        </w:rPr>
        <w:t xml:space="preserve"> number of barriers were encountered in getting people to complete follow-up blood tests. These included: m</w:t>
      </w:r>
      <w:r w:rsidRPr="009949B9">
        <w:rPr>
          <w:color w:val="auto"/>
          <w:lang w:val="en-GB"/>
        </w:rPr>
        <w:t>oney for GP visits; some GPs/PNs refused to write a follow up Hb</w:t>
      </w:r>
      <w:r w:rsidR="00D82CB3">
        <w:rPr>
          <w:color w:val="auto"/>
          <w:lang w:val="en-GB"/>
        </w:rPr>
        <w:t>A</w:t>
      </w:r>
      <w:r w:rsidRPr="009949B9">
        <w:rPr>
          <w:color w:val="auto"/>
          <w:lang w:val="en-GB"/>
        </w:rPr>
        <w:t>1</w:t>
      </w:r>
      <w:r w:rsidR="00D82CB3">
        <w:rPr>
          <w:color w:val="auto"/>
          <w:lang w:val="en-GB"/>
        </w:rPr>
        <w:t>c</w:t>
      </w:r>
      <w:r w:rsidRPr="009949B9">
        <w:rPr>
          <w:color w:val="auto"/>
          <w:lang w:val="en-GB"/>
        </w:rPr>
        <w:t xml:space="preserve"> script prior to </w:t>
      </w:r>
      <w:r w:rsidR="00773C85">
        <w:rPr>
          <w:color w:val="auto"/>
          <w:lang w:val="en-GB"/>
        </w:rPr>
        <w:t>six</w:t>
      </w:r>
      <w:r w:rsidRPr="009949B9">
        <w:rPr>
          <w:color w:val="auto"/>
          <w:lang w:val="en-GB"/>
        </w:rPr>
        <w:t xml:space="preserve"> months; time to go to the GP</w:t>
      </w:r>
      <w:r w:rsidR="00773C85">
        <w:rPr>
          <w:color w:val="auto"/>
          <w:lang w:val="en-GB"/>
        </w:rPr>
        <w:t xml:space="preserve"> clinic</w:t>
      </w:r>
      <w:r w:rsidRPr="009949B9">
        <w:rPr>
          <w:color w:val="auto"/>
          <w:lang w:val="en-GB"/>
        </w:rPr>
        <w:t xml:space="preserve">; transport to </w:t>
      </w:r>
      <w:r w:rsidR="00773C85">
        <w:rPr>
          <w:color w:val="auto"/>
          <w:lang w:val="en-GB"/>
        </w:rPr>
        <w:t xml:space="preserve">the </w:t>
      </w:r>
      <w:r w:rsidRPr="009949B9">
        <w:rPr>
          <w:color w:val="auto"/>
          <w:lang w:val="en-GB"/>
        </w:rPr>
        <w:t xml:space="preserve">GP </w:t>
      </w:r>
      <w:r w:rsidR="00773C85">
        <w:rPr>
          <w:color w:val="auto"/>
          <w:lang w:val="en-GB"/>
        </w:rPr>
        <w:t xml:space="preserve">clinic </w:t>
      </w:r>
      <w:r w:rsidRPr="009949B9">
        <w:rPr>
          <w:color w:val="auto"/>
          <w:lang w:val="en-GB"/>
        </w:rPr>
        <w:t>or lab</w:t>
      </w:r>
      <w:r w:rsidR="00773C85">
        <w:rPr>
          <w:color w:val="auto"/>
          <w:lang w:val="en-GB"/>
        </w:rPr>
        <w:t>oratory</w:t>
      </w:r>
      <w:r w:rsidRPr="009949B9">
        <w:rPr>
          <w:color w:val="auto"/>
          <w:lang w:val="en-GB"/>
        </w:rPr>
        <w:t>; time to sit in a lab</w:t>
      </w:r>
      <w:r w:rsidR="00773C85">
        <w:rPr>
          <w:color w:val="auto"/>
          <w:lang w:val="en-GB"/>
        </w:rPr>
        <w:t>oratory</w:t>
      </w:r>
      <w:r w:rsidRPr="009949B9">
        <w:rPr>
          <w:color w:val="auto"/>
          <w:lang w:val="en-GB"/>
        </w:rPr>
        <w:t>; lack of understanding of the rationale for a repeat test; and fear of the results.</w:t>
      </w:r>
    </w:p>
    <w:p w:rsidR="00905EEF" w:rsidRPr="009949B9" w:rsidRDefault="00905EEF" w:rsidP="00905EEF">
      <w:pPr>
        <w:pStyle w:val="Heading4"/>
        <w:rPr>
          <w:color w:val="auto"/>
          <w:lang w:val="en-GB"/>
        </w:rPr>
      </w:pPr>
      <w:r w:rsidRPr="009949B9">
        <w:rPr>
          <w:color w:val="auto"/>
          <w:lang w:val="en-GB"/>
        </w:rPr>
        <w:t>Adapting content to suit the needs of individuals with different backgrounds and varying abilities</w:t>
      </w:r>
    </w:p>
    <w:p w:rsidR="00905EEF" w:rsidRPr="009949B9" w:rsidRDefault="00905EEF" w:rsidP="00141080">
      <w:pPr>
        <w:pStyle w:val="NoSpacing"/>
        <w:rPr>
          <w:color w:val="auto"/>
          <w:lang w:val="en-GB"/>
        </w:rPr>
      </w:pPr>
      <w:r w:rsidRPr="009949B9">
        <w:rPr>
          <w:color w:val="auto"/>
          <w:lang w:val="en-GB"/>
        </w:rPr>
        <w:t xml:space="preserve">A number of projects </w:t>
      </w:r>
      <w:r w:rsidR="00845BE2">
        <w:rPr>
          <w:color w:val="auto"/>
          <w:lang w:val="en-GB"/>
        </w:rPr>
        <w:t>reported</w:t>
      </w:r>
      <w:r w:rsidRPr="009949B9">
        <w:rPr>
          <w:color w:val="auto"/>
          <w:lang w:val="en-GB"/>
        </w:rPr>
        <w:t xml:space="preserve"> on the difficulties in designing programmes that meet the needs of a wide variety of individuals. For example, it was a challenge to adapt exercise sessions for participants of varying abilities and ages to ensure they were all exercising at sufficient intensity. </w:t>
      </w:r>
      <w:r w:rsidR="00845BE2">
        <w:rPr>
          <w:color w:val="auto"/>
          <w:lang w:val="en-GB"/>
        </w:rPr>
        <w:t>Also, f</w:t>
      </w:r>
      <w:r w:rsidRPr="009949B9">
        <w:rPr>
          <w:color w:val="auto"/>
          <w:lang w:val="en-GB"/>
        </w:rPr>
        <w:t xml:space="preserve">ood tastes vary, and so food demonstrations or examples of food switches </w:t>
      </w:r>
      <w:r w:rsidR="00845BE2">
        <w:rPr>
          <w:color w:val="auto"/>
          <w:lang w:val="en-GB"/>
        </w:rPr>
        <w:t>we</w:t>
      </w:r>
      <w:r w:rsidRPr="009949B9">
        <w:rPr>
          <w:color w:val="auto"/>
          <w:lang w:val="en-GB"/>
        </w:rPr>
        <w:t>re unlikely to suit everyone.</w:t>
      </w:r>
    </w:p>
    <w:p w:rsidR="00905EEF" w:rsidRPr="009949B9" w:rsidRDefault="00905EEF" w:rsidP="00141080">
      <w:pPr>
        <w:pStyle w:val="NoSpacing"/>
        <w:rPr>
          <w:color w:val="auto"/>
          <w:lang w:val="en-GB"/>
        </w:rPr>
      </w:pPr>
      <w:r w:rsidRPr="009949B9">
        <w:rPr>
          <w:color w:val="auto"/>
          <w:lang w:val="en-GB"/>
        </w:rPr>
        <w:t xml:space="preserve">The length of some programmes was a barrier to some participants, although feedback was generally mixed. The good retention rate of participants in the Choose Change Programme </w:t>
      </w:r>
      <w:r w:rsidR="00845BE2">
        <w:rPr>
          <w:color w:val="auto"/>
          <w:lang w:val="en-GB"/>
        </w:rPr>
        <w:t xml:space="preserve">(which lasted 24 weeks) </w:t>
      </w:r>
      <w:r w:rsidRPr="009949B9">
        <w:rPr>
          <w:color w:val="auto"/>
          <w:lang w:val="en-GB"/>
        </w:rPr>
        <w:t xml:space="preserve">suggests that the length was not a major barrier for </w:t>
      </w:r>
      <w:r w:rsidR="00845BE2">
        <w:rPr>
          <w:color w:val="auto"/>
          <w:lang w:val="en-GB"/>
        </w:rPr>
        <w:t xml:space="preserve">all </w:t>
      </w:r>
      <w:r w:rsidRPr="009949B9">
        <w:rPr>
          <w:color w:val="auto"/>
          <w:lang w:val="en-GB"/>
        </w:rPr>
        <w:t>people.</w:t>
      </w:r>
      <w:r w:rsidR="00C71966" w:rsidRPr="009949B9">
        <w:rPr>
          <w:color w:val="auto"/>
          <w:lang w:val="en-GB"/>
        </w:rPr>
        <w:t xml:space="preserve"> The Hawke’s Bay community group sessions ran for six weeks, but it was thought that these could be reduced to three or four sessions.</w:t>
      </w:r>
    </w:p>
    <w:p w:rsidR="00905EEF" w:rsidRPr="009949B9" w:rsidRDefault="00905EEF" w:rsidP="00141080">
      <w:pPr>
        <w:pStyle w:val="NoSpacing"/>
        <w:rPr>
          <w:color w:val="auto"/>
          <w:lang w:val="en-GB"/>
        </w:rPr>
      </w:pPr>
      <w:r w:rsidRPr="009949B9">
        <w:rPr>
          <w:color w:val="auto"/>
          <w:lang w:val="en-GB"/>
        </w:rPr>
        <w:t>The Choose Change project incorporated a psychological component. Whilst overall this was beneficial, some participants found having to see a psychologist disconcerting or felt stigmatised. A couple of statements from participants illu</w:t>
      </w:r>
      <w:r w:rsidR="00845BE2">
        <w:rPr>
          <w:color w:val="auto"/>
          <w:lang w:val="en-GB"/>
        </w:rPr>
        <w:t>strate this:</w:t>
      </w:r>
      <w:r w:rsidRPr="009949B9">
        <w:rPr>
          <w:color w:val="auto"/>
          <w:lang w:val="en-GB"/>
        </w:rPr>
        <w:t xml:space="preserve"> </w:t>
      </w:r>
      <w:r w:rsidRPr="009949B9">
        <w:rPr>
          <w:i/>
          <w:color w:val="auto"/>
          <w:lang w:val="en-GB"/>
        </w:rPr>
        <w:t>“I must be crazy or there’s something wrong with me if I need to see a psychologist”</w:t>
      </w:r>
      <w:r w:rsidRPr="009949B9">
        <w:rPr>
          <w:color w:val="auto"/>
          <w:lang w:val="en-GB"/>
        </w:rPr>
        <w:t xml:space="preserve"> and </w:t>
      </w:r>
      <w:r w:rsidRPr="009949B9">
        <w:rPr>
          <w:i/>
          <w:color w:val="auto"/>
          <w:lang w:val="en-GB"/>
        </w:rPr>
        <w:t>“</w:t>
      </w:r>
      <w:r w:rsidR="00A43C9A" w:rsidRPr="009949B9">
        <w:rPr>
          <w:i/>
          <w:color w:val="auto"/>
          <w:lang w:val="en-GB"/>
        </w:rPr>
        <w:t>It’s</w:t>
      </w:r>
      <w:r w:rsidRPr="009949B9">
        <w:rPr>
          <w:i/>
          <w:color w:val="auto"/>
          <w:lang w:val="en-GB"/>
        </w:rPr>
        <w:t xml:space="preserve"> too touchy-feely for me.”</w:t>
      </w:r>
      <w:r w:rsidRPr="009949B9">
        <w:rPr>
          <w:color w:val="auto"/>
          <w:lang w:val="en-GB"/>
        </w:rPr>
        <w:t xml:space="preserve"> </w:t>
      </w:r>
    </w:p>
    <w:p w:rsidR="00905EEF" w:rsidRPr="009949B9" w:rsidRDefault="00905EEF" w:rsidP="00141080">
      <w:pPr>
        <w:pStyle w:val="NoSpacing"/>
        <w:rPr>
          <w:color w:val="auto"/>
          <w:lang w:val="en-GB"/>
        </w:rPr>
      </w:pPr>
      <w:r w:rsidRPr="009949B9">
        <w:rPr>
          <w:color w:val="auto"/>
          <w:lang w:val="en-GB"/>
        </w:rPr>
        <w:t xml:space="preserve">The Alliance Health Plus Programme utilised </w:t>
      </w:r>
      <w:r w:rsidR="00845BE2">
        <w:rPr>
          <w:color w:val="auto"/>
          <w:lang w:val="en-GB"/>
        </w:rPr>
        <w:t>the Stanford model, which is a six</w:t>
      </w:r>
      <w:r w:rsidRPr="009949B9">
        <w:rPr>
          <w:color w:val="auto"/>
          <w:lang w:val="en-GB"/>
        </w:rPr>
        <w:t>-week course. However</w:t>
      </w:r>
      <w:r w:rsidR="00845BE2">
        <w:rPr>
          <w:color w:val="auto"/>
          <w:lang w:val="en-GB"/>
        </w:rPr>
        <w:t>,</w:t>
      </w:r>
      <w:r w:rsidRPr="009949B9">
        <w:rPr>
          <w:color w:val="auto"/>
          <w:lang w:val="en-GB"/>
        </w:rPr>
        <w:t xml:space="preserve"> the practice staff decided to reduce this to </w:t>
      </w:r>
      <w:r w:rsidR="00845BE2">
        <w:rPr>
          <w:color w:val="auto"/>
          <w:lang w:val="en-GB"/>
        </w:rPr>
        <w:t>four</w:t>
      </w:r>
      <w:r w:rsidRPr="009949B9">
        <w:rPr>
          <w:color w:val="auto"/>
          <w:lang w:val="en-GB"/>
        </w:rPr>
        <w:t xml:space="preserve"> weeks because they thought people would be more likely to attend a shorter course</w:t>
      </w:r>
      <w:r w:rsidR="00845BE2">
        <w:rPr>
          <w:color w:val="auto"/>
          <w:lang w:val="en-GB"/>
        </w:rPr>
        <w:t>,</w:t>
      </w:r>
      <w:r w:rsidRPr="009949B9">
        <w:rPr>
          <w:color w:val="auto"/>
          <w:lang w:val="en-GB"/>
        </w:rPr>
        <w:t xml:space="preserve"> and more courses could be run in the relatively short timeframe. This meant that topics needed to </w:t>
      </w:r>
      <w:r w:rsidR="00845BE2" w:rsidRPr="009949B9">
        <w:rPr>
          <w:color w:val="auto"/>
          <w:lang w:val="en-GB"/>
        </w:rPr>
        <w:t xml:space="preserve">either </w:t>
      </w:r>
      <w:r w:rsidR="00845BE2">
        <w:rPr>
          <w:color w:val="auto"/>
          <w:lang w:val="en-GB"/>
        </w:rPr>
        <w:t>be reduced</w:t>
      </w:r>
      <w:r w:rsidRPr="009949B9">
        <w:rPr>
          <w:color w:val="auto"/>
          <w:lang w:val="en-GB"/>
        </w:rPr>
        <w:t xml:space="preserve"> or </w:t>
      </w:r>
      <w:r w:rsidR="00845BE2">
        <w:rPr>
          <w:color w:val="auto"/>
          <w:lang w:val="en-GB"/>
        </w:rPr>
        <w:t>compacted</w:t>
      </w:r>
      <w:r w:rsidRPr="009949B9">
        <w:rPr>
          <w:color w:val="auto"/>
          <w:lang w:val="en-GB"/>
        </w:rPr>
        <w:t xml:space="preserve"> into the shorter time frame. The latter appeared to have occurred</w:t>
      </w:r>
      <w:r w:rsidR="00845BE2">
        <w:rPr>
          <w:color w:val="auto"/>
          <w:lang w:val="en-GB"/>
        </w:rPr>
        <w:t>,</w:t>
      </w:r>
      <w:r w:rsidRPr="009949B9">
        <w:rPr>
          <w:color w:val="auto"/>
          <w:lang w:val="en-GB"/>
        </w:rPr>
        <w:t xml:space="preserve"> and as a result the programme became more didactic, which came across in the feedback (one of the facilitators stated </w:t>
      </w:r>
      <w:r w:rsidRPr="00845BE2">
        <w:rPr>
          <w:i/>
          <w:color w:val="auto"/>
          <w:lang w:val="en-GB"/>
        </w:rPr>
        <w:t>“I am doing most of the talking”</w:t>
      </w:r>
      <w:r w:rsidRPr="009949B9">
        <w:rPr>
          <w:color w:val="auto"/>
          <w:lang w:val="en-GB"/>
        </w:rPr>
        <w:t xml:space="preserve">). </w:t>
      </w:r>
    </w:p>
    <w:p w:rsidR="00905EEF" w:rsidRPr="009949B9" w:rsidRDefault="00905EEF" w:rsidP="00141080">
      <w:pPr>
        <w:pStyle w:val="NoSpacing"/>
        <w:rPr>
          <w:color w:val="auto"/>
          <w:lang w:val="en-GB"/>
        </w:rPr>
      </w:pPr>
      <w:r w:rsidRPr="009949B9">
        <w:rPr>
          <w:color w:val="auto"/>
          <w:lang w:val="en-GB"/>
        </w:rPr>
        <w:t>One of the practices in the ProCare pilot also sho</w:t>
      </w:r>
      <w:r w:rsidR="00845BE2">
        <w:rPr>
          <w:color w:val="auto"/>
          <w:lang w:val="en-GB"/>
        </w:rPr>
        <w:t>rtened the Stanford model from six</w:t>
      </w:r>
      <w:r w:rsidRPr="009949B9">
        <w:rPr>
          <w:color w:val="auto"/>
          <w:lang w:val="en-GB"/>
        </w:rPr>
        <w:t xml:space="preserve"> to </w:t>
      </w:r>
      <w:r w:rsidR="00845BE2">
        <w:rPr>
          <w:color w:val="auto"/>
          <w:lang w:val="en-GB"/>
        </w:rPr>
        <w:t>four</w:t>
      </w:r>
      <w:r w:rsidRPr="009949B9">
        <w:rPr>
          <w:color w:val="auto"/>
          <w:lang w:val="en-GB"/>
        </w:rPr>
        <w:t xml:space="preserve"> weeks, based on previous bad experience with the model. However, the shortened and more focussed programme did not perf</w:t>
      </w:r>
      <w:r w:rsidR="00845BE2">
        <w:rPr>
          <w:color w:val="auto"/>
          <w:lang w:val="en-GB"/>
        </w:rPr>
        <w:t>orm any better and the practice</w:t>
      </w:r>
      <w:r w:rsidRPr="009949B9">
        <w:rPr>
          <w:color w:val="auto"/>
          <w:lang w:val="en-GB"/>
        </w:rPr>
        <w:t xml:space="preserve"> reverted to using the original model.</w:t>
      </w:r>
    </w:p>
    <w:p w:rsidR="00905EEF" w:rsidRPr="009949B9" w:rsidRDefault="00905EEF" w:rsidP="00905EEF">
      <w:pPr>
        <w:pStyle w:val="Heading4"/>
        <w:rPr>
          <w:color w:val="auto"/>
          <w:lang w:val="en-GB"/>
        </w:rPr>
      </w:pPr>
      <w:r w:rsidRPr="009949B9">
        <w:rPr>
          <w:color w:val="auto"/>
          <w:lang w:val="en-GB"/>
        </w:rPr>
        <w:t>Barriers to participant behaviour change</w:t>
      </w:r>
    </w:p>
    <w:p w:rsidR="00905EEF" w:rsidRPr="009949B9" w:rsidRDefault="00905EEF" w:rsidP="00141080">
      <w:pPr>
        <w:pStyle w:val="NoSpacing"/>
        <w:rPr>
          <w:color w:val="auto"/>
          <w:lang w:val="en-GB"/>
        </w:rPr>
      </w:pPr>
      <w:r w:rsidRPr="009949B9">
        <w:rPr>
          <w:color w:val="auto"/>
          <w:lang w:val="en-GB"/>
        </w:rPr>
        <w:t>Behaviour change is influenced by capability, opportunity and motivation.</w:t>
      </w:r>
    </w:p>
    <w:p w:rsidR="00905EEF" w:rsidRPr="009949B9" w:rsidRDefault="00905EEF" w:rsidP="00141080">
      <w:pPr>
        <w:pStyle w:val="NoSpacing"/>
        <w:rPr>
          <w:color w:val="auto"/>
          <w:lang w:val="en-GB"/>
        </w:rPr>
      </w:pPr>
      <w:r w:rsidRPr="009949B9">
        <w:rPr>
          <w:color w:val="auto"/>
          <w:lang w:val="en-GB"/>
        </w:rPr>
        <w:t xml:space="preserve">Factors </w:t>
      </w:r>
      <w:r w:rsidR="00845BE2" w:rsidRPr="009949B9">
        <w:rPr>
          <w:color w:val="auto"/>
          <w:lang w:val="en-GB"/>
        </w:rPr>
        <w:t xml:space="preserve">that impact on motivation </w:t>
      </w:r>
      <w:r w:rsidR="00845BE2">
        <w:rPr>
          <w:color w:val="auto"/>
          <w:lang w:val="en-GB"/>
        </w:rPr>
        <w:t>which were</w:t>
      </w:r>
      <w:r w:rsidR="00845BE2" w:rsidRPr="009949B9">
        <w:rPr>
          <w:color w:val="auto"/>
          <w:lang w:val="en-GB"/>
        </w:rPr>
        <w:t xml:space="preserve"> identified across projects</w:t>
      </w:r>
      <w:r w:rsidR="00845BE2">
        <w:rPr>
          <w:color w:val="auto"/>
          <w:lang w:val="en-GB"/>
        </w:rPr>
        <w:t xml:space="preserve"> include</w:t>
      </w:r>
      <w:r w:rsidRPr="009949B9">
        <w:rPr>
          <w:color w:val="auto"/>
          <w:lang w:val="en-GB"/>
        </w:rPr>
        <w:t xml:space="preserve">: </w:t>
      </w:r>
    </w:p>
    <w:p w:rsidR="00905EEF" w:rsidRPr="009949B9" w:rsidRDefault="00905EEF" w:rsidP="004C7565">
      <w:pPr>
        <w:pStyle w:val="ListParagraph"/>
        <w:spacing w:line="360" w:lineRule="auto"/>
        <w:rPr>
          <w:color w:val="auto"/>
        </w:rPr>
      </w:pPr>
      <w:r w:rsidRPr="009949B9">
        <w:rPr>
          <w:b/>
          <w:i/>
          <w:color w:val="auto"/>
        </w:rPr>
        <w:t xml:space="preserve">Health literacy: </w:t>
      </w:r>
      <w:r w:rsidRPr="009949B9">
        <w:rPr>
          <w:color w:val="auto"/>
        </w:rPr>
        <w:t xml:space="preserve">Many patients, especially those from Pacific populations, had an overall low understanding of the relevance of pre-diabetes and </w:t>
      </w:r>
      <w:r w:rsidR="00845BE2">
        <w:rPr>
          <w:color w:val="auto"/>
        </w:rPr>
        <w:t xml:space="preserve">its </w:t>
      </w:r>
      <w:r w:rsidRPr="009949B9">
        <w:rPr>
          <w:color w:val="auto"/>
        </w:rPr>
        <w:t xml:space="preserve">consequences. This contributed to low adherence to repeat blood tests </w:t>
      </w:r>
      <w:r w:rsidR="00845BE2">
        <w:rPr>
          <w:color w:val="auto"/>
        </w:rPr>
        <w:t>to m</w:t>
      </w:r>
      <w:r w:rsidRPr="009949B9">
        <w:rPr>
          <w:color w:val="auto"/>
        </w:rPr>
        <w:t xml:space="preserve">easure HbA1c. </w:t>
      </w:r>
    </w:p>
    <w:p w:rsidR="00905EEF" w:rsidRPr="009949B9" w:rsidRDefault="00905EEF" w:rsidP="004C7565">
      <w:pPr>
        <w:pStyle w:val="ListParagraph"/>
        <w:spacing w:line="360" w:lineRule="auto"/>
        <w:rPr>
          <w:color w:val="auto"/>
        </w:rPr>
      </w:pPr>
      <w:r w:rsidRPr="009949B9">
        <w:rPr>
          <w:b/>
          <w:i/>
          <w:color w:val="auto"/>
        </w:rPr>
        <w:t>Patients do</w:t>
      </w:r>
      <w:r w:rsidR="00845BE2">
        <w:rPr>
          <w:b/>
          <w:i/>
          <w:color w:val="auto"/>
        </w:rPr>
        <w:t xml:space="preserve"> not</w:t>
      </w:r>
      <w:r w:rsidRPr="009949B9">
        <w:rPr>
          <w:b/>
          <w:i/>
          <w:color w:val="auto"/>
        </w:rPr>
        <w:t xml:space="preserve"> see the need for support: </w:t>
      </w:r>
      <w:r w:rsidRPr="009949B9">
        <w:rPr>
          <w:color w:val="auto"/>
        </w:rPr>
        <w:t>This may part</w:t>
      </w:r>
      <w:r w:rsidR="00845BE2">
        <w:rPr>
          <w:color w:val="auto"/>
        </w:rPr>
        <w:t>ly</w:t>
      </w:r>
      <w:r w:rsidRPr="009949B9">
        <w:rPr>
          <w:color w:val="auto"/>
        </w:rPr>
        <w:t xml:space="preserve"> be related to health literacy, but there is also a degree of</w:t>
      </w:r>
      <w:r w:rsidR="00845BE2">
        <w:rPr>
          <w:color w:val="auto"/>
        </w:rPr>
        <w:t xml:space="preserve"> misbelief that programmes will not</w:t>
      </w:r>
      <w:r w:rsidRPr="009949B9">
        <w:rPr>
          <w:color w:val="auto"/>
        </w:rPr>
        <w:t xml:space="preserve"> help. This was illustrated by comments made by participants in the Allian</w:t>
      </w:r>
      <w:r w:rsidR="00B70060">
        <w:rPr>
          <w:color w:val="auto"/>
        </w:rPr>
        <w:t xml:space="preserve">ce Health Shared Care project: </w:t>
      </w:r>
      <w:r w:rsidRPr="00B70060">
        <w:rPr>
          <w:i/>
          <w:color w:val="auto"/>
        </w:rPr>
        <w:t>“I’m too old for that”, “I’ve lasted this long. You can’t teach me anything that would prolong my life”</w:t>
      </w:r>
      <w:r w:rsidRPr="009949B9">
        <w:rPr>
          <w:color w:val="auto"/>
        </w:rPr>
        <w:t>.</w:t>
      </w:r>
    </w:p>
    <w:p w:rsidR="00905EEF" w:rsidRPr="009949B9" w:rsidRDefault="00905EEF" w:rsidP="00141080">
      <w:pPr>
        <w:pStyle w:val="NoSpacing"/>
        <w:rPr>
          <w:color w:val="auto"/>
          <w:lang w:val="en-GB"/>
        </w:rPr>
      </w:pPr>
      <w:r w:rsidRPr="009949B9">
        <w:rPr>
          <w:color w:val="auto"/>
          <w:lang w:val="en-GB"/>
        </w:rPr>
        <w:t xml:space="preserve">Factors that reduce capability, and </w:t>
      </w:r>
      <w:r w:rsidR="00B70060">
        <w:rPr>
          <w:color w:val="auto"/>
          <w:lang w:val="en-GB"/>
        </w:rPr>
        <w:t>which</w:t>
      </w:r>
      <w:r w:rsidRPr="009949B9">
        <w:rPr>
          <w:color w:val="auto"/>
          <w:lang w:val="en-GB"/>
        </w:rPr>
        <w:t xml:space="preserve"> were identified in a number of the projects, include significant commitments (work, family, church), lack of transport, and mental health and social issues.</w:t>
      </w:r>
    </w:p>
    <w:p w:rsidR="00905EEF" w:rsidRPr="009949B9" w:rsidRDefault="00905EEF" w:rsidP="00905EEF">
      <w:pPr>
        <w:pStyle w:val="Heading4"/>
        <w:rPr>
          <w:color w:val="auto"/>
          <w:lang w:val="en-GB"/>
        </w:rPr>
      </w:pPr>
      <w:r w:rsidRPr="009949B9">
        <w:rPr>
          <w:color w:val="auto"/>
          <w:lang w:val="en-GB"/>
        </w:rPr>
        <w:t>Capacity of programmes</w:t>
      </w:r>
    </w:p>
    <w:p w:rsidR="00905EEF" w:rsidRPr="009949B9" w:rsidRDefault="00905EEF" w:rsidP="00141080">
      <w:pPr>
        <w:pStyle w:val="NoSpacing"/>
        <w:rPr>
          <w:color w:val="auto"/>
          <w:lang w:val="en-GB"/>
        </w:rPr>
      </w:pPr>
      <w:r w:rsidRPr="009949B9">
        <w:rPr>
          <w:color w:val="auto"/>
          <w:lang w:val="en-GB"/>
        </w:rPr>
        <w:t>This is relevant for both the diabetes and SCSM projects. The intensive and long-term support that some programmes provide</w:t>
      </w:r>
      <w:r w:rsidR="00B70060">
        <w:rPr>
          <w:color w:val="auto"/>
          <w:lang w:val="en-GB"/>
        </w:rPr>
        <w:t>d</w:t>
      </w:r>
      <w:r w:rsidRPr="009949B9">
        <w:rPr>
          <w:color w:val="auto"/>
          <w:lang w:val="en-GB"/>
        </w:rPr>
        <w:t xml:space="preserve"> meant that they reached capacity relatively quickly. This was illustrated by the Hauraki PHO model of care, where capacity was reached in just over a year, with one of the teams placing patients on a waiting list. The model of care was delivered in the </w:t>
      </w:r>
      <w:r w:rsidR="004C7565" w:rsidRPr="009949B9">
        <w:rPr>
          <w:color w:val="auto"/>
          <w:lang w:val="en-GB"/>
        </w:rPr>
        <w:t>home, which</w:t>
      </w:r>
      <w:r w:rsidRPr="009949B9">
        <w:rPr>
          <w:color w:val="auto"/>
          <w:lang w:val="en-GB"/>
        </w:rPr>
        <w:t xml:space="preserve"> was associated with sometimes lengthy travel times to patients living in remote areas.</w:t>
      </w:r>
    </w:p>
    <w:p w:rsidR="00905EEF" w:rsidRPr="009949B9" w:rsidRDefault="00905EEF" w:rsidP="00141080">
      <w:pPr>
        <w:pStyle w:val="NoSpacing"/>
        <w:rPr>
          <w:color w:val="auto"/>
          <w:lang w:val="en-GB" w:eastAsia="en-AU"/>
        </w:rPr>
      </w:pPr>
      <w:r w:rsidRPr="009949B9">
        <w:rPr>
          <w:color w:val="auto"/>
          <w:lang w:val="en-GB" w:eastAsia="en-AU"/>
        </w:rPr>
        <w:t xml:space="preserve">In the SCSM projects, as patient numbers </w:t>
      </w:r>
      <w:r w:rsidR="00B70060">
        <w:rPr>
          <w:color w:val="auto"/>
          <w:lang w:val="en-GB" w:eastAsia="en-AU"/>
        </w:rPr>
        <w:t>increased</w:t>
      </w:r>
      <w:r w:rsidRPr="009949B9">
        <w:rPr>
          <w:color w:val="auto"/>
          <w:lang w:val="en-GB" w:eastAsia="en-AU"/>
        </w:rPr>
        <w:t>, more time was requi</w:t>
      </w:r>
      <w:r w:rsidR="00B70060">
        <w:rPr>
          <w:color w:val="auto"/>
          <w:lang w:val="en-GB" w:eastAsia="en-AU"/>
        </w:rPr>
        <w:t>red at each step of the process: i</w:t>
      </w:r>
      <w:r w:rsidRPr="009949B9">
        <w:rPr>
          <w:color w:val="auto"/>
          <w:lang w:val="en-GB" w:eastAsia="en-AU"/>
        </w:rPr>
        <w:t>nitial assessment, care coordination, patient follow-up, documenting activities in the care plan and clai</w:t>
      </w:r>
      <w:r w:rsidR="00B70060">
        <w:rPr>
          <w:color w:val="auto"/>
          <w:lang w:val="en-GB" w:eastAsia="en-AU"/>
        </w:rPr>
        <w:t>ming for interventions. Use of h</w:t>
      </w:r>
      <w:r w:rsidRPr="009949B9">
        <w:rPr>
          <w:color w:val="auto"/>
          <w:lang w:val="en-GB" w:eastAsia="en-AU"/>
        </w:rPr>
        <w:t xml:space="preserve">ealthcare assistants </w:t>
      </w:r>
      <w:r w:rsidR="00B70060">
        <w:rPr>
          <w:color w:val="auto"/>
          <w:lang w:val="en-GB" w:eastAsia="en-AU"/>
        </w:rPr>
        <w:t>could</w:t>
      </w:r>
      <w:r w:rsidRPr="009949B9">
        <w:rPr>
          <w:color w:val="auto"/>
          <w:lang w:val="en-GB" w:eastAsia="en-AU"/>
        </w:rPr>
        <w:t xml:space="preserve"> provide a solution to some </w:t>
      </w:r>
      <w:r w:rsidR="00B70060">
        <w:rPr>
          <w:color w:val="auto"/>
          <w:lang w:val="en-GB" w:eastAsia="en-AU"/>
        </w:rPr>
        <w:t xml:space="preserve">of these </w:t>
      </w:r>
      <w:r w:rsidRPr="009949B9">
        <w:rPr>
          <w:color w:val="auto"/>
          <w:lang w:val="en-GB" w:eastAsia="en-AU"/>
        </w:rPr>
        <w:t>aspects.</w:t>
      </w:r>
    </w:p>
    <w:p w:rsidR="00905EEF" w:rsidRPr="009949B9" w:rsidRDefault="00905EEF" w:rsidP="00905EEF">
      <w:pPr>
        <w:pStyle w:val="Heading4"/>
        <w:rPr>
          <w:color w:val="auto"/>
          <w:lang w:val="en-GB"/>
        </w:rPr>
      </w:pPr>
      <w:r w:rsidRPr="009949B9">
        <w:rPr>
          <w:color w:val="auto"/>
          <w:lang w:val="en-GB"/>
        </w:rPr>
        <w:t>Patient contact and follow-up</w:t>
      </w:r>
    </w:p>
    <w:p w:rsidR="00905EEF" w:rsidRPr="009949B9" w:rsidRDefault="00905EEF" w:rsidP="00141080">
      <w:pPr>
        <w:pStyle w:val="NoSpacing"/>
        <w:rPr>
          <w:color w:val="auto"/>
          <w:lang w:val="en-GB"/>
        </w:rPr>
      </w:pPr>
      <w:r w:rsidRPr="009949B9">
        <w:rPr>
          <w:color w:val="auto"/>
          <w:lang w:val="en-GB"/>
        </w:rPr>
        <w:t>Some programmes described difficulty in contacting patients for follow-up. Reasons for this included patients did not have telephones or</w:t>
      </w:r>
      <w:r w:rsidR="00B70060">
        <w:rPr>
          <w:color w:val="auto"/>
          <w:lang w:val="en-GB"/>
        </w:rPr>
        <w:t xml:space="preserve"> had</w:t>
      </w:r>
      <w:r w:rsidRPr="009949B9">
        <w:rPr>
          <w:color w:val="auto"/>
          <w:lang w:val="en-GB"/>
        </w:rPr>
        <w:t xml:space="preserve"> changed their phone number,</w:t>
      </w:r>
      <w:r w:rsidR="00B70060">
        <w:rPr>
          <w:color w:val="auto"/>
          <w:lang w:val="en-GB"/>
        </w:rPr>
        <w:t xml:space="preserve"> or patients </w:t>
      </w:r>
      <w:r w:rsidRPr="009949B9">
        <w:rPr>
          <w:color w:val="auto"/>
          <w:lang w:val="en-GB"/>
        </w:rPr>
        <w:t>changed addresses frequently. Multiple attempts to follow</w:t>
      </w:r>
      <w:r w:rsidR="00B70060">
        <w:rPr>
          <w:color w:val="auto"/>
          <w:lang w:val="en-GB"/>
        </w:rPr>
        <w:t>-up with</w:t>
      </w:r>
      <w:r w:rsidRPr="009949B9">
        <w:rPr>
          <w:color w:val="auto"/>
          <w:lang w:val="en-GB"/>
        </w:rPr>
        <w:t xml:space="preserve"> patient</w:t>
      </w:r>
      <w:r w:rsidR="00B70060">
        <w:rPr>
          <w:color w:val="auto"/>
          <w:lang w:val="en-GB"/>
        </w:rPr>
        <w:t>s</w:t>
      </w:r>
      <w:r w:rsidRPr="009949B9">
        <w:rPr>
          <w:color w:val="auto"/>
          <w:lang w:val="en-GB"/>
        </w:rPr>
        <w:t xml:space="preserve"> also impacted on workload capacity.</w:t>
      </w:r>
      <w:r w:rsidR="004C7565" w:rsidRPr="009949B9">
        <w:rPr>
          <w:color w:val="auto"/>
          <w:lang w:val="en-GB"/>
        </w:rPr>
        <w:t xml:space="preserve"> This was highlighted in the Hawke’s Bay pre-diabetes project where </w:t>
      </w:r>
      <w:r w:rsidR="00B70060">
        <w:rPr>
          <w:color w:val="auto"/>
          <w:lang w:val="en-GB"/>
        </w:rPr>
        <w:t>PNs</w:t>
      </w:r>
      <w:r w:rsidR="004C7565" w:rsidRPr="009949B9">
        <w:rPr>
          <w:color w:val="auto"/>
          <w:lang w:val="en-GB"/>
        </w:rPr>
        <w:t xml:space="preserve"> delivered the </w:t>
      </w:r>
      <w:r w:rsidR="008C2E25" w:rsidRPr="009949B9">
        <w:rPr>
          <w:color w:val="auto"/>
          <w:lang w:val="en-GB"/>
        </w:rPr>
        <w:t>intervention</w:t>
      </w:r>
      <w:r w:rsidR="004C7565" w:rsidRPr="009949B9">
        <w:rPr>
          <w:color w:val="auto"/>
          <w:lang w:val="en-GB"/>
        </w:rPr>
        <w:t>. Whilst nurses managed to integrate the programme into their daily workload, the follow-up of some patients was time consuming.</w:t>
      </w:r>
    </w:p>
    <w:p w:rsidR="00905EEF" w:rsidRPr="009949B9" w:rsidRDefault="00826217" w:rsidP="00905EEF">
      <w:pPr>
        <w:pStyle w:val="Heading4"/>
        <w:rPr>
          <w:color w:val="auto"/>
          <w:lang w:val="en-GB"/>
        </w:rPr>
      </w:pPr>
      <w:r w:rsidRPr="009949B9">
        <w:rPr>
          <w:color w:val="auto"/>
          <w:lang w:val="en-GB"/>
        </w:rPr>
        <w:t>Social barriers</w:t>
      </w:r>
    </w:p>
    <w:p w:rsidR="00905EEF" w:rsidRPr="009949B9" w:rsidRDefault="00905EEF" w:rsidP="00141080">
      <w:pPr>
        <w:pStyle w:val="NoSpacing"/>
        <w:rPr>
          <w:color w:val="auto"/>
          <w:lang w:val="en-GB"/>
        </w:rPr>
      </w:pPr>
      <w:r w:rsidRPr="009949B9">
        <w:rPr>
          <w:color w:val="auto"/>
          <w:lang w:val="en-GB"/>
        </w:rPr>
        <w:t>Some projects noted that there were limited services available to assist patients who c</w:t>
      </w:r>
      <w:r w:rsidR="00B70060">
        <w:rPr>
          <w:color w:val="auto"/>
          <w:lang w:val="en-GB"/>
        </w:rPr>
        <w:t xml:space="preserve">ould </w:t>
      </w:r>
      <w:r w:rsidRPr="009949B9">
        <w:rPr>
          <w:color w:val="auto"/>
          <w:lang w:val="en-GB"/>
        </w:rPr>
        <w:t>not get themselves to clinics. Home visits attempt</w:t>
      </w:r>
      <w:r w:rsidR="00B70060">
        <w:rPr>
          <w:color w:val="auto"/>
          <w:lang w:val="en-GB"/>
        </w:rPr>
        <w:t>ed</w:t>
      </w:r>
      <w:r w:rsidRPr="009949B9">
        <w:rPr>
          <w:color w:val="auto"/>
          <w:lang w:val="en-GB"/>
        </w:rPr>
        <w:t xml:space="preserve"> to address this but </w:t>
      </w:r>
      <w:r w:rsidR="00B70060">
        <w:rPr>
          <w:color w:val="auto"/>
          <w:lang w:val="en-GB"/>
        </w:rPr>
        <w:t>we</w:t>
      </w:r>
      <w:r w:rsidRPr="009949B9">
        <w:rPr>
          <w:color w:val="auto"/>
          <w:lang w:val="en-GB"/>
        </w:rPr>
        <w:t>re time intensive and initially target</w:t>
      </w:r>
      <w:r w:rsidR="00B70060">
        <w:rPr>
          <w:color w:val="auto"/>
          <w:lang w:val="en-GB"/>
        </w:rPr>
        <w:t>ed</w:t>
      </w:r>
      <w:r w:rsidRPr="009949B9">
        <w:rPr>
          <w:color w:val="auto"/>
          <w:lang w:val="en-GB"/>
        </w:rPr>
        <w:t xml:space="preserve"> only a small number of complex patients.</w:t>
      </w:r>
    </w:p>
    <w:p w:rsidR="00826217" w:rsidRPr="009949B9" w:rsidRDefault="00826217" w:rsidP="00826217">
      <w:pPr>
        <w:pStyle w:val="NoSpacing"/>
        <w:rPr>
          <w:color w:val="auto"/>
          <w:lang w:val="en-GB"/>
        </w:rPr>
      </w:pPr>
      <w:r w:rsidRPr="009949B9">
        <w:rPr>
          <w:color w:val="auto"/>
          <w:szCs w:val="24"/>
          <w:lang w:val="en-GB"/>
        </w:rPr>
        <w:t>A number of social factors were identified as barriers to lifestyle change in the Hawke’s Bay pre-diabetes project. These included</w:t>
      </w:r>
      <w:r w:rsidR="00B70060">
        <w:rPr>
          <w:color w:val="auto"/>
          <w:szCs w:val="24"/>
          <w:lang w:val="en-GB"/>
        </w:rPr>
        <w:t>:</w:t>
      </w:r>
      <w:r w:rsidRPr="009949B9">
        <w:rPr>
          <w:color w:val="auto"/>
          <w:szCs w:val="24"/>
          <w:lang w:val="en-GB"/>
        </w:rPr>
        <w:t xml:space="preserve"> the costs associated with buying healthy food; lack of whānau support, attending social events where you felt compelled to eat; entertaining or having visitors; and being busy with no time to plan for meals. </w:t>
      </w:r>
    </w:p>
    <w:p w:rsidR="00905EEF" w:rsidRPr="009949B9" w:rsidRDefault="00905EEF" w:rsidP="00905EEF">
      <w:pPr>
        <w:pStyle w:val="Heading4"/>
        <w:rPr>
          <w:color w:val="auto"/>
          <w:lang w:val="en-GB"/>
        </w:rPr>
      </w:pPr>
      <w:r w:rsidRPr="009949B9">
        <w:rPr>
          <w:color w:val="auto"/>
          <w:lang w:val="en-GB"/>
        </w:rPr>
        <w:t>Establishment of new roles</w:t>
      </w:r>
    </w:p>
    <w:p w:rsidR="00B70060" w:rsidRDefault="00905EEF" w:rsidP="00141080">
      <w:pPr>
        <w:pStyle w:val="NoSpacing"/>
        <w:rPr>
          <w:color w:val="auto"/>
          <w:lang w:val="en-GB"/>
        </w:rPr>
      </w:pPr>
      <w:r w:rsidRPr="009949B9">
        <w:rPr>
          <w:color w:val="auto"/>
          <w:lang w:val="en-GB"/>
        </w:rPr>
        <w:t>Where new roles were established</w:t>
      </w:r>
      <w:r w:rsidR="00B70060">
        <w:rPr>
          <w:color w:val="auto"/>
          <w:lang w:val="en-GB"/>
        </w:rPr>
        <w:t>,</w:t>
      </w:r>
      <w:r w:rsidRPr="009949B9">
        <w:rPr>
          <w:color w:val="auto"/>
          <w:lang w:val="en-GB"/>
        </w:rPr>
        <w:t xml:space="preserve"> there were additional requirements </w:t>
      </w:r>
      <w:r w:rsidR="00B70060">
        <w:rPr>
          <w:color w:val="auto"/>
          <w:lang w:val="en-GB"/>
        </w:rPr>
        <w:t>for</w:t>
      </w:r>
      <w:r w:rsidRPr="009949B9">
        <w:rPr>
          <w:color w:val="auto"/>
          <w:lang w:val="en-GB"/>
        </w:rPr>
        <w:t xml:space="preserve"> training and communication. An example of this was the establishment of the kaiawhina role in the Hauraki PHO model. This was an innovative role so there were no models to follow. Staff needed training, but this occurred after they had started to see patients. Kaiawhina needed clearer guidance on systems, processes and structures. Learning the social systems of a wide geographical area was challenging for the kaiawhina staff as they had to </w:t>
      </w:r>
      <w:r w:rsidR="00B70060" w:rsidRPr="009949B9">
        <w:rPr>
          <w:color w:val="auto"/>
          <w:lang w:val="en-GB"/>
        </w:rPr>
        <w:t xml:space="preserve">first </w:t>
      </w:r>
      <w:r w:rsidRPr="009949B9">
        <w:rPr>
          <w:color w:val="auto"/>
          <w:lang w:val="en-GB"/>
        </w:rPr>
        <w:t>understand the local systems before being able to help patients.</w:t>
      </w:r>
      <w:r w:rsidR="00B70060">
        <w:rPr>
          <w:color w:val="auto"/>
          <w:lang w:val="en-GB"/>
        </w:rPr>
        <w:t xml:space="preserve"> </w:t>
      </w:r>
    </w:p>
    <w:p w:rsidR="00905EEF" w:rsidRPr="009949B9" w:rsidRDefault="00B70060" w:rsidP="00141080">
      <w:pPr>
        <w:pStyle w:val="NoSpacing"/>
        <w:rPr>
          <w:color w:val="auto"/>
          <w:lang w:val="en-GB"/>
        </w:rPr>
      </w:pPr>
      <w:r>
        <w:rPr>
          <w:color w:val="auto"/>
          <w:lang w:val="en-GB"/>
        </w:rPr>
        <w:t>Communicating the</w:t>
      </w:r>
      <w:r w:rsidR="00905EEF" w:rsidRPr="009949B9">
        <w:rPr>
          <w:color w:val="auto"/>
          <w:lang w:val="en-GB"/>
        </w:rPr>
        <w:t xml:space="preserve"> new </w:t>
      </w:r>
      <w:r>
        <w:rPr>
          <w:color w:val="auto"/>
          <w:lang w:val="en-GB"/>
        </w:rPr>
        <w:t xml:space="preserve">kaiawhina </w:t>
      </w:r>
      <w:r w:rsidR="00905EEF" w:rsidRPr="009949B9">
        <w:rPr>
          <w:color w:val="auto"/>
          <w:lang w:val="en-GB"/>
        </w:rPr>
        <w:t>role to practices and providers was challenging. There was some doubt that th</w:t>
      </w:r>
      <w:r>
        <w:rPr>
          <w:color w:val="auto"/>
          <w:lang w:val="en-GB"/>
        </w:rPr>
        <w:t xml:space="preserve">is </w:t>
      </w:r>
      <w:r w:rsidR="00905EEF" w:rsidRPr="009949B9">
        <w:rPr>
          <w:color w:val="auto"/>
          <w:lang w:val="en-GB"/>
        </w:rPr>
        <w:t>role was necessary and some staff questioned the value of the model in comparison to the status quo.</w:t>
      </w:r>
      <w:r>
        <w:rPr>
          <w:color w:val="auto"/>
          <w:lang w:val="en-GB"/>
        </w:rPr>
        <w:t xml:space="preserve"> </w:t>
      </w:r>
      <w:r w:rsidR="00905EEF" w:rsidRPr="009949B9">
        <w:rPr>
          <w:color w:val="auto"/>
          <w:lang w:val="en-GB"/>
        </w:rPr>
        <w:t>This was less problematic with the Sports Trusts, presumably because the Green Prescription programme has been running for some time and there is an established relationship in place</w:t>
      </w:r>
      <w:r>
        <w:rPr>
          <w:color w:val="auto"/>
          <w:lang w:val="en-GB"/>
        </w:rPr>
        <w:t xml:space="preserve">. Also, because </w:t>
      </w:r>
      <w:r w:rsidR="00905EEF" w:rsidRPr="009949B9">
        <w:rPr>
          <w:color w:val="auto"/>
          <w:lang w:val="en-GB"/>
        </w:rPr>
        <w:t xml:space="preserve">the role of physical activity </w:t>
      </w:r>
      <w:r w:rsidR="00992037" w:rsidRPr="009949B9">
        <w:rPr>
          <w:color w:val="auto"/>
          <w:lang w:val="en-GB"/>
        </w:rPr>
        <w:t>behaviour change sit</w:t>
      </w:r>
      <w:r>
        <w:rPr>
          <w:color w:val="auto"/>
          <w:lang w:val="en-GB"/>
        </w:rPr>
        <w:t>s</w:t>
      </w:r>
      <w:r w:rsidR="00992037" w:rsidRPr="009949B9">
        <w:rPr>
          <w:color w:val="auto"/>
          <w:lang w:val="en-GB"/>
        </w:rPr>
        <w:t xml:space="preserve"> largely out</w:t>
      </w:r>
      <w:r w:rsidR="00905EEF" w:rsidRPr="009949B9">
        <w:rPr>
          <w:color w:val="auto"/>
          <w:lang w:val="en-GB"/>
        </w:rPr>
        <w:t xml:space="preserve">side of primary care. </w:t>
      </w:r>
    </w:p>
    <w:p w:rsidR="00905EEF" w:rsidRPr="009949B9" w:rsidRDefault="00905EEF" w:rsidP="00905EEF">
      <w:pPr>
        <w:pStyle w:val="Heading4"/>
        <w:rPr>
          <w:color w:val="auto"/>
          <w:lang w:val="en-GB"/>
        </w:rPr>
      </w:pPr>
      <w:r w:rsidRPr="009949B9">
        <w:rPr>
          <w:color w:val="auto"/>
          <w:lang w:val="en-GB"/>
        </w:rPr>
        <w:t>Communication</w:t>
      </w:r>
    </w:p>
    <w:p w:rsidR="00905EEF" w:rsidRPr="009949B9" w:rsidRDefault="00905EEF" w:rsidP="00141080">
      <w:pPr>
        <w:pStyle w:val="NoSpacing"/>
        <w:rPr>
          <w:color w:val="auto"/>
          <w:lang w:val="en-GB"/>
        </w:rPr>
      </w:pPr>
      <w:r w:rsidRPr="009949B9">
        <w:rPr>
          <w:color w:val="auto"/>
          <w:lang w:val="en-GB"/>
        </w:rPr>
        <w:t xml:space="preserve">Good communication between the SCSM staff, GPs and external organisations was seen as critical to the success of </w:t>
      </w:r>
      <w:r w:rsidR="00B70060">
        <w:rPr>
          <w:color w:val="auto"/>
          <w:lang w:val="en-GB"/>
        </w:rPr>
        <w:t>a</w:t>
      </w:r>
      <w:r w:rsidRPr="009949B9">
        <w:rPr>
          <w:color w:val="auto"/>
          <w:lang w:val="en-GB"/>
        </w:rPr>
        <w:t xml:space="preserve"> programme. In some projects</w:t>
      </w:r>
      <w:r w:rsidR="00B70060">
        <w:rPr>
          <w:color w:val="auto"/>
          <w:lang w:val="en-GB"/>
        </w:rPr>
        <w:t>,</w:t>
      </w:r>
      <w:r w:rsidRPr="009949B9">
        <w:rPr>
          <w:color w:val="auto"/>
          <w:lang w:val="en-GB"/>
        </w:rPr>
        <w:t xml:space="preserve"> communication between the SCSM project staff and practice staff tended to be </w:t>
      </w:r>
      <w:r w:rsidRPr="00B70060">
        <w:rPr>
          <w:color w:val="auto"/>
          <w:lang w:val="en-GB"/>
        </w:rPr>
        <w:t>ad hoc,</w:t>
      </w:r>
      <w:r w:rsidRPr="009949B9">
        <w:rPr>
          <w:color w:val="auto"/>
          <w:lang w:val="en-GB"/>
        </w:rPr>
        <w:t xml:space="preserve"> and it was felt that communication could have been improved if there were more regular and structured communication channels</w:t>
      </w:r>
      <w:r w:rsidR="00B70060">
        <w:rPr>
          <w:color w:val="auto"/>
          <w:lang w:val="en-GB"/>
        </w:rPr>
        <w:t xml:space="preserve"> in place</w:t>
      </w:r>
      <w:r w:rsidRPr="009949B9">
        <w:rPr>
          <w:color w:val="auto"/>
          <w:lang w:val="en-GB"/>
        </w:rPr>
        <w:t>.</w:t>
      </w:r>
    </w:p>
    <w:p w:rsidR="00905EEF" w:rsidRPr="009949B9" w:rsidRDefault="00905EEF" w:rsidP="00905EEF">
      <w:pPr>
        <w:pStyle w:val="Heading4"/>
        <w:rPr>
          <w:color w:val="auto"/>
          <w:lang w:val="en-GB"/>
        </w:rPr>
      </w:pPr>
      <w:r w:rsidRPr="009949B9">
        <w:rPr>
          <w:color w:val="auto"/>
          <w:lang w:val="en-GB"/>
        </w:rPr>
        <w:t>GP practice business model</w:t>
      </w:r>
    </w:p>
    <w:p w:rsidR="00905EEF" w:rsidRPr="009949B9" w:rsidRDefault="00905EEF" w:rsidP="00141080">
      <w:pPr>
        <w:pStyle w:val="NoSpacing"/>
        <w:rPr>
          <w:color w:val="auto"/>
          <w:lang w:val="en-GB"/>
        </w:rPr>
      </w:pPr>
      <w:r w:rsidRPr="009949B9">
        <w:rPr>
          <w:color w:val="auto"/>
          <w:lang w:val="en-GB"/>
        </w:rPr>
        <w:t xml:space="preserve">This barrier was described in the ProCare project where one of the practices noted that their fee for service business model </w:t>
      </w:r>
      <w:r w:rsidR="00B70060">
        <w:rPr>
          <w:color w:val="auto"/>
          <w:lang w:val="en-GB"/>
        </w:rPr>
        <w:t>did not</w:t>
      </w:r>
      <w:r w:rsidRPr="009949B9">
        <w:rPr>
          <w:color w:val="auto"/>
          <w:lang w:val="en-GB"/>
        </w:rPr>
        <w:t xml:space="preserve"> fit with ARI programme funding and philosophy. The size of this practice also made it difficult to budget for the SCSM approach. The practice found that systems needed to be established for the finance team to monitor the overall impact of the model on the practice budget.</w:t>
      </w:r>
      <w:r w:rsidR="00856A1F">
        <w:rPr>
          <w:color w:val="auto"/>
          <w:lang w:val="en-GB"/>
        </w:rPr>
        <w:t xml:space="preserve"> </w:t>
      </w:r>
      <w:r w:rsidRPr="009949B9">
        <w:rPr>
          <w:color w:val="auto"/>
          <w:lang w:val="en-GB"/>
        </w:rPr>
        <w:t>This same practice also charged patients each time they saw a GP. Staff felt that this led many patients to avoid seeing the GP with their clinical concerns</w:t>
      </w:r>
      <w:r w:rsidR="00856A1F">
        <w:rPr>
          <w:color w:val="auto"/>
          <w:lang w:val="en-GB"/>
        </w:rPr>
        <w:t>, assessing the SCSM co</w:t>
      </w:r>
      <w:r w:rsidRPr="009949B9">
        <w:rPr>
          <w:color w:val="auto"/>
          <w:lang w:val="en-GB"/>
        </w:rPr>
        <w:t>ordinator instead. This poses some clinical risk if the coordinator does not escalate issues where necessary.</w:t>
      </w:r>
    </w:p>
    <w:p w:rsidR="00905EEF" w:rsidRPr="009949B9" w:rsidRDefault="00905EEF" w:rsidP="00905EEF">
      <w:pPr>
        <w:pStyle w:val="Heading4"/>
        <w:rPr>
          <w:color w:val="auto"/>
          <w:lang w:val="en-GB"/>
        </w:rPr>
      </w:pPr>
      <w:r w:rsidRPr="009949B9">
        <w:rPr>
          <w:color w:val="auto"/>
          <w:lang w:val="en-GB"/>
        </w:rPr>
        <w:t>IT system issues</w:t>
      </w:r>
    </w:p>
    <w:p w:rsidR="00905EEF" w:rsidRPr="009949B9" w:rsidRDefault="00905EEF" w:rsidP="00141080">
      <w:pPr>
        <w:pStyle w:val="NoSpacing"/>
        <w:rPr>
          <w:color w:val="auto"/>
          <w:lang w:val="en-GB"/>
        </w:rPr>
      </w:pPr>
      <w:r w:rsidRPr="009949B9">
        <w:rPr>
          <w:color w:val="auto"/>
          <w:lang w:val="en-GB"/>
        </w:rPr>
        <w:t>Technical issues with the new eShared Care software in the ProCare project impacted on user acceptability, coordination of patient care and tracking of progress against targets. IT connectivity may still be a challenge for some, especially rural, practices. Training and support needs to be available so that staff become confident in using the system.</w:t>
      </w:r>
    </w:p>
    <w:p w:rsidR="00905EEF" w:rsidRPr="009949B9" w:rsidRDefault="00905EEF" w:rsidP="00141080">
      <w:pPr>
        <w:pStyle w:val="NoSpacing"/>
        <w:rPr>
          <w:color w:val="auto"/>
          <w:lang w:val="en-GB"/>
        </w:rPr>
      </w:pPr>
      <w:r w:rsidRPr="009949B9">
        <w:rPr>
          <w:color w:val="auto"/>
          <w:lang w:val="en-GB"/>
        </w:rPr>
        <w:t>Lack of patient input into systems design was also highlighted as a barrier. Systems that are meant for patients to use need to be simple and intuitive</w:t>
      </w:r>
      <w:r w:rsidR="00856A1F">
        <w:rPr>
          <w:color w:val="auto"/>
          <w:lang w:val="en-GB"/>
        </w:rPr>
        <w:t xml:space="preserve"> and meet patients’</w:t>
      </w:r>
      <w:r w:rsidRPr="009949B9">
        <w:rPr>
          <w:color w:val="auto"/>
          <w:lang w:val="en-GB"/>
        </w:rPr>
        <w:t xml:space="preserve"> needs.</w:t>
      </w:r>
    </w:p>
    <w:p w:rsidR="00905EEF" w:rsidRPr="009949B9" w:rsidRDefault="00905EEF" w:rsidP="00905EEF">
      <w:pPr>
        <w:pStyle w:val="Heading4"/>
        <w:rPr>
          <w:color w:val="auto"/>
          <w:lang w:val="en-GB"/>
        </w:rPr>
      </w:pPr>
      <w:r w:rsidRPr="009949B9">
        <w:rPr>
          <w:color w:val="auto"/>
          <w:lang w:val="en-GB"/>
        </w:rPr>
        <w:t>Staffing shortages</w:t>
      </w:r>
    </w:p>
    <w:p w:rsidR="00905EEF" w:rsidRPr="009949B9" w:rsidRDefault="00905EEF" w:rsidP="006625E8">
      <w:pPr>
        <w:pStyle w:val="NoSpacing"/>
        <w:rPr>
          <w:color w:val="auto"/>
          <w:lang w:val="en-GB"/>
        </w:rPr>
      </w:pPr>
      <w:r w:rsidRPr="009949B9">
        <w:rPr>
          <w:color w:val="auto"/>
          <w:lang w:val="en-GB"/>
        </w:rPr>
        <w:t>Staff absence due to leave (</w:t>
      </w:r>
      <w:r w:rsidR="0034188F">
        <w:rPr>
          <w:color w:val="auto"/>
          <w:lang w:val="en-GB"/>
        </w:rPr>
        <w:t>eg,</w:t>
      </w:r>
      <w:r w:rsidRPr="009949B9">
        <w:rPr>
          <w:color w:val="auto"/>
          <w:lang w:val="en-GB"/>
        </w:rPr>
        <w:t xml:space="preserve"> maternity leave) and sickness, a</w:t>
      </w:r>
      <w:r w:rsidR="00856A1F">
        <w:rPr>
          <w:color w:val="auto"/>
          <w:lang w:val="en-GB"/>
        </w:rPr>
        <w:t>nd</w:t>
      </w:r>
      <w:r w:rsidRPr="009949B9">
        <w:rPr>
          <w:color w:val="auto"/>
          <w:lang w:val="en-GB"/>
        </w:rPr>
        <w:t xml:space="preserve"> staff working in part-time roles impacted on the delivery of the SCSM projects. The care models needed to have staff accessible to patients. Nurses from one of the projects reported that they felt patients were dissatisfied if they couldn’t contact their care coordinator. A solution to this problem was to have two nurses sharing the care coordination role for each patient. </w:t>
      </w:r>
    </w:p>
    <w:p w:rsidR="00905EEF" w:rsidRPr="009949B9" w:rsidRDefault="00905EEF" w:rsidP="00905EEF">
      <w:pPr>
        <w:pStyle w:val="Heading4"/>
        <w:rPr>
          <w:color w:val="auto"/>
          <w:lang w:val="en-GB"/>
        </w:rPr>
      </w:pPr>
      <w:r w:rsidRPr="009949B9">
        <w:rPr>
          <w:color w:val="auto"/>
          <w:lang w:val="en-GB"/>
        </w:rPr>
        <w:t>Lack of referral of patients back into the programme</w:t>
      </w:r>
    </w:p>
    <w:p w:rsidR="00905EEF" w:rsidRPr="009949B9" w:rsidRDefault="00905EEF" w:rsidP="006625E8">
      <w:pPr>
        <w:pStyle w:val="NoSpacing"/>
        <w:rPr>
          <w:color w:val="auto"/>
          <w:lang w:val="en-GB"/>
        </w:rPr>
      </w:pPr>
      <w:r w:rsidRPr="009949B9">
        <w:rPr>
          <w:color w:val="auto"/>
          <w:lang w:val="en-GB"/>
        </w:rPr>
        <w:t>The ProCare evaluation highlighted that neither practice were regularly referring patients to self-management courses. This may be due to factors related to the referrer (</w:t>
      </w:r>
      <w:r w:rsidR="00856A1F">
        <w:rPr>
          <w:color w:val="auto"/>
          <w:lang w:val="en-GB"/>
        </w:rPr>
        <w:t>eg, uncertainty</w:t>
      </w:r>
      <w:r w:rsidRPr="009949B9">
        <w:rPr>
          <w:color w:val="auto"/>
          <w:lang w:val="en-GB"/>
        </w:rPr>
        <w:t xml:space="preserve"> about whether another referral can be made, or the benefits of re-attending) or patient (reluctance to attend again, perceived benefit).</w:t>
      </w:r>
    </w:p>
    <w:p w:rsidR="00905EEF" w:rsidRPr="00034C96" w:rsidRDefault="00034C96" w:rsidP="00034C96">
      <w:pPr>
        <w:pStyle w:val="Heading2"/>
      </w:pPr>
      <w:bookmarkStart w:id="18" w:name="_Toc465944120"/>
      <w:r w:rsidRPr="00034C96">
        <w:t>(</w:t>
      </w:r>
      <w:r w:rsidR="006625E8" w:rsidRPr="00034C96">
        <w:t>2</w:t>
      </w:r>
      <w:r w:rsidRPr="00034C96">
        <w:t>)</w:t>
      </w:r>
      <w:r w:rsidR="006625E8" w:rsidRPr="00034C96">
        <w:t xml:space="preserve"> </w:t>
      </w:r>
      <w:r w:rsidR="00905EEF" w:rsidRPr="00034C96">
        <w:t>Facilitators</w:t>
      </w:r>
      <w:r w:rsidR="006625E8" w:rsidRPr="00034C96">
        <w:t xml:space="preserve"> to implementation</w:t>
      </w:r>
      <w:bookmarkEnd w:id="18"/>
    </w:p>
    <w:p w:rsidR="00905EEF" w:rsidRPr="009949B9" w:rsidRDefault="00905EEF" w:rsidP="00905EEF">
      <w:pPr>
        <w:pStyle w:val="Heading4"/>
        <w:rPr>
          <w:color w:val="auto"/>
          <w:lang w:val="en-GB"/>
        </w:rPr>
      </w:pPr>
      <w:r w:rsidRPr="009949B9">
        <w:rPr>
          <w:color w:val="auto"/>
          <w:lang w:val="en-GB"/>
        </w:rPr>
        <w:t>Facilitators for referrals</w:t>
      </w:r>
    </w:p>
    <w:p w:rsidR="00905EEF" w:rsidRPr="009949B9" w:rsidRDefault="00905EEF" w:rsidP="00BA503C">
      <w:pPr>
        <w:pStyle w:val="NoSpacing"/>
        <w:rPr>
          <w:color w:val="auto"/>
          <w:lang w:val="en-GB"/>
        </w:rPr>
      </w:pPr>
      <w:r w:rsidRPr="009949B9">
        <w:rPr>
          <w:color w:val="auto"/>
          <w:lang w:val="en-GB"/>
        </w:rPr>
        <w:t xml:space="preserve">Promotion to GPs/PNs was </w:t>
      </w:r>
      <w:r w:rsidR="00856A1F">
        <w:rPr>
          <w:color w:val="auto"/>
          <w:lang w:val="en-GB"/>
        </w:rPr>
        <w:t xml:space="preserve">considered </w:t>
      </w:r>
      <w:r w:rsidRPr="009949B9">
        <w:rPr>
          <w:color w:val="auto"/>
          <w:lang w:val="en-GB"/>
        </w:rPr>
        <w:t>a successful approach for increasing referrals to the programmes. However a multistage approach is needed</w:t>
      </w:r>
      <w:r w:rsidR="00856A1F">
        <w:rPr>
          <w:color w:val="auto"/>
          <w:lang w:val="en-GB"/>
        </w:rPr>
        <w:t>;</w:t>
      </w:r>
      <w:r w:rsidRPr="009949B9">
        <w:rPr>
          <w:color w:val="auto"/>
          <w:lang w:val="en-GB"/>
        </w:rPr>
        <w:t xml:space="preserve"> starting with engagement with practices, promotion of the programme, simple instructions and tools on how to refer, and undertaking follow-up visits/calls and reminders.</w:t>
      </w:r>
    </w:p>
    <w:p w:rsidR="00905EEF" w:rsidRPr="009949B9" w:rsidRDefault="00905EEF" w:rsidP="00BA503C">
      <w:pPr>
        <w:pStyle w:val="NoSpacing"/>
        <w:rPr>
          <w:color w:val="auto"/>
          <w:lang w:val="en-GB"/>
        </w:rPr>
      </w:pPr>
      <w:r w:rsidRPr="009949B9">
        <w:rPr>
          <w:color w:val="auto"/>
          <w:lang w:val="en-GB"/>
        </w:rPr>
        <w:t>Feedback to referrers was also seen as a good way to further promote the programmes. The Choose Change programme sent letters to GPs with participants</w:t>
      </w:r>
      <w:r w:rsidR="00856A1F">
        <w:rPr>
          <w:color w:val="auto"/>
          <w:lang w:val="en-GB"/>
        </w:rPr>
        <w:t>’</w:t>
      </w:r>
      <w:r w:rsidRPr="009949B9">
        <w:rPr>
          <w:color w:val="auto"/>
          <w:lang w:val="en-GB"/>
        </w:rPr>
        <w:t xml:space="preserve"> results for weight, waist circumference and physical activity levels at 12 and 24 weeks, and some GP practices referred a number of people once they saw (and heard from their patients) the positive change they were experiencing. Feedback to referrers was also seen as a key improvement of the Sport Bay of Plenty project.</w:t>
      </w:r>
    </w:p>
    <w:p w:rsidR="00905EEF" w:rsidRPr="009949B9" w:rsidRDefault="00905EEF" w:rsidP="00BA503C">
      <w:pPr>
        <w:pStyle w:val="NoSpacing"/>
        <w:rPr>
          <w:color w:val="auto"/>
          <w:lang w:val="en-GB"/>
        </w:rPr>
      </w:pPr>
      <w:r w:rsidRPr="009949B9">
        <w:rPr>
          <w:color w:val="auto"/>
          <w:lang w:val="en-GB"/>
        </w:rPr>
        <w:t>Simple referral mechanisms (</w:t>
      </w:r>
      <w:r w:rsidR="0034188F">
        <w:rPr>
          <w:color w:val="auto"/>
          <w:lang w:val="en-GB"/>
        </w:rPr>
        <w:t>eg,</w:t>
      </w:r>
      <w:r w:rsidRPr="009949B9">
        <w:rPr>
          <w:color w:val="auto"/>
          <w:lang w:val="en-GB"/>
        </w:rPr>
        <w:t xml:space="preserve"> electronic referral from within the PMS) and processes can help facilitate referrals. Brief instructional training on how to refer can also facilitate referrals.</w:t>
      </w:r>
    </w:p>
    <w:p w:rsidR="00A8674F" w:rsidRPr="009949B9" w:rsidRDefault="00A8674F" w:rsidP="00A8674F">
      <w:pPr>
        <w:pStyle w:val="NoSpacing"/>
        <w:rPr>
          <w:color w:val="auto"/>
          <w:lang w:val="en-GB"/>
        </w:rPr>
      </w:pPr>
      <w:r w:rsidRPr="009949B9">
        <w:rPr>
          <w:color w:val="auto"/>
          <w:lang w:val="en-GB"/>
        </w:rPr>
        <w:t xml:space="preserve">The Hawke’s Bay pre-diabetes project included referral of participants by </w:t>
      </w:r>
      <w:r w:rsidR="00856A1F">
        <w:rPr>
          <w:color w:val="auto"/>
          <w:lang w:val="en-GB"/>
        </w:rPr>
        <w:t>PN</w:t>
      </w:r>
      <w:r w:rsidRPr="009949B9">
        <w:rPr>
          <w:color w:val="auto"/>
          <w:lang w:val="en-GB"/>
        </w:rPr>
        <w:t xml:space="preserve">s, to a community group support session. This was attended by around half of all participants enrolled in the nurse programme. It was found that the interface between the </w:t>
      </w:r>
      <w:r w:rsidR="003840E2" w:rsidRPr="009949B9">
        <w:rPr>
          <w:color w:val="auto"/>
          <w:lang w:val="en-GB"/>
        </w:rPr>
        <w:t>nurses</w:t>
      </w:r>
      <w:r w:rsidRPr="009949B9">
        <w:rPr>
          <w:color w:val="auto"/>
          <w:lang w:val="en-GB"/>
        </w:rPr>
        <w:t xml:space="preserve"> and group sessions could be strengthened by </w:t>
      </w:r>
      <w:r w:rsidR="003840E2" w:rsidRPr="009949B9">
        <w:rPr>
          <w:color w:val="auto"/>
          <w:lang w:val="en-GB"/>
        </w:rPr>
        <w:t>nurses</w:t>
      </w:r>
      <w:r w:rsidRPr="009949B9">
        <w:rPr>
          <w:color w:val="auto"/>
          <w:lang w:val="en-GB"/>
        </w:rPr>
        <w:t xml:space="preserve"> giving a clearer explanation to participants of the role of the group support. This may have been</w:t>
      </w:r>
      <w:r w:rsidR="00C53DC1" w:rsidRPr="009949B9">
        <w:rPr>
          <w:color w:val="auto"/>
          <w:lang w:val="en-GB"/>
        </w:rPr>
        <w:t xml:space="preserve"> further </w:t>
      </w:r>
      <w:r w:rsidRPr="009949B9">
        <w:rPr>
          <w:color w:val="auto"/>
          <w:lang w:val="en-GB"/>
        </w:rPr>
        <w:t>facilitated by stronger relationships bet</w:t>
      </w:r>
      <w:r w:rsidR="00E240C1" w:rsidRPr="009949B9">
        <w:rPr>
          <w:color w:val="auto"/>
          <w:lang w:val="en-GB"/>
        </w:rPr>
        <w:t>ween the group educators and practice nurses</w:t>
      </w:r>
      <w:r w:rsidRPr="009949B9">
        <w:rPr>
          <w:color w:val="auto"/>
          <w:lang w:val="en-GB"/>
        </w:rPr>
        <w:t>.</w:t>
      </w:r>
    </w:p>
    <w:p w:rsidR="00905EEF" w:rsidRPr="009949B9" w:rsidRDefault="00905EEF" w:rsidP="00905EEF">
      <w:pPr>
        <w:pStyle w:val="Heading4"/>
        <w:rPr>
          <w:color w:val="auto"/>
          <w:lang w:val="en-GB"/>
        </w:rPr>
      </w:pPr>
      <w:r w:rsidRPr="009949B9">
        <w:rPr>
          <w:color w:val="auto"/>
          <w:lang w:val="en-GB"/>
        </w:rPr>
        <w:t>Engaging with GPs/PNs</w:t>
      </w:r>
    </w:p>
    <w:p w:rsidR="00905EEF" w:rsidRPr="009949B9" w:rsidRDefault="00905EEF" w:rsidP="00BA503C">
      <w:pPr>
        <w:pStyle w:val="NoSpacing"/>
        <w:rPr>
          <w:color w:val="auto"/>
          <w:lang w:val="en-GB"/>
        </w:rPr>
      </w:pPr>
      <w:r w:rsidRPr="009949B9">
        <w:rPr>
          <w:color w:val="auto"/>
          <w:lang w:val="en-GB"/>
        </w:rPr>
        <w:t xml:space="preserve">Several projects reported on the benefits of engaging with key stakeholders at the very beginning of the projects. This needs to be a respectful approach, acknowledging </w:t>
      </w:r>
      <w:r w:rsidR="00856A1F">
        <w:rPr>
          <w:color w:val="auto"/>
          <w:lang w:val="en-GB"/>
        </w:rPr>
        <w:t xml:space="preserve">that </w:t>
      </w:r>
      <w:r w:rsidRPr="009949B9">
        <w:rPr>
          <w:color w:val="auto"/>
          <w:lang w:val="en-GB"/>
        </w:rPr>
        <w:t xml:space="preserve">the GP practices are busy and have a number of other priorities. GPs/PNs have many skills, but may lack some specialist knowledge in lifestyle interventions. Projects should focus on the aspects that make GPs/PNs jobs easier and not force interventions that do not fit in with routine clinical practice. </w:t>
      </w:r>
    </w:p>
    <w:p w:rsidR="00905EEF" w:rsidRPr="009949B9" w:rsidRDefault="00856A1F" w:rsidP="00BA503C">
      <w:pPr>
        <w:pStyle w:val="NoSpacing"/>
        <w:rPr>
          <w:color w:val="auto"/>
          <w:lang w:val="en-GB"/>
        </w:rPr>
      </w:pPr>
      <w:r>
        <w:rPr>
          <w:color w:val="auto"/>
          <w:lang w:val="en-GB"/>
        </w:rPr>
        <w:t>The Energised Practices p</w:t>
      </w:r>
      <w:r w:rsidR="00905EEF" w:rsidRPr="009949B9">
        <w:rPr>
          <w:color w:val="auto"/>
          <w:lang w:val="en-GB"/>
        </w:rPr>
        <w:t>roject found the key facilitators during the set-up phase were</w:t>
      </w:r>
      <w:r>
        <w:rPr>
          <w:color w:val="auto"/>
          <w:lang w:val="en-GB"/>
        </w:rPr>
        <w:t xml:space="preserve"> to provide</w:t>
      </w:r>
      <w:r w:rsidR="00905EEF" w:rsidRPr="009949B9">
        <w:rPr>
          <w:color w:val="auto"/>
          <w:lang w:val="en-GB"/>
        </w:rPr>
        <w:t>: informal conversations with PNs; a small pack of key resources; very short educati</w:t>
      </w:r>
      <w:r>
        <w:rPr>
          <w:color w:val="auto"/>
          <w:lang w:val="en-GB"/>
        </w:rPr>
        <w:t>on sessions about resources; on</w:t>
      </w:r>
      <w:r w:rsidR="00905EEF" w:rsidRPr="009949B9">
        <w:rPr>
          <w:color w:val="auto"/>
          <w:lang w:val="en-GB"/>
        </w:rPr>
        <w:t xml:space="preserve">going support and education; and simple referrals. The evaluation also suggested a stepwise approach to the engagement and implementation process. The three steps identified were: </w:t>
      </w:r>
    </w:p>
    <w:p w:rsidR="00905EEF" w:rsidRPr="009949B9" w:rsidRDefault="00905EEF" w:rsidP="008C2E25">
      <w:pPr>
        <w:pStyle w:val="ListParagraph"/>
        <w:spacing w:line="360" w:lineRule="auto"/>
        <w:rPr>
          <w:color w:val="auto"/>
        </w:rPr>
      </w:pPr>
      <w:r w:rsidRPr="009949B9">
        <w:rPr>
          <w:b/>
          <w:color w:val="auto"/>
        </w:rPr>
        <w:t>Engagement</w:t>
      </w:r>
      <w:r w:rsidRPr="009949B9">
        <w:rPr>
          <w:color w:val="auto"/>
        </w:rPr>
        <w:t>: facilitated engagement with practices to develop and strengthen relationships</w:t>
      </w:r>
    </w:p>
    <w:p w:rsidR="00905EEF" w:rsidRPr="009949B9" w:rsidRDefault="00905EEF" w:rsidP="008C2E25">
      <w:pPr>
        <w:pStyle w:val="ListParagraph"/>
        <w:spacing w:line="360" w:lineRule="auto"/>
        <w:rPr>
          <w:color w:val="auto"/>
        </w:rPr>
      </w:pPr>
      <w:r w:rsidRPr="009949B9">
        <w:rPr>
          <w:b/>
          <w:color w:val="auto"/>
        </w:rPr>
        <w:t>Negotiating</w:t>
      </w:r>
      <w:r w:rsidRPr="009949B9">
        <w:rPr>
          <w:color w:val="auto"/>
        </w:rPr>
        <w:t>: describing what is on offer, but tailoring it to the needs to the practice and staff</w:t>
      </w:r>
    </w:p>
    <w:p w:rsidR="00905EEF" w:rsidRPr="009949B9" w:rsidRDefault="00905EEF" w:rsidP="008C2E25">
      <w:pPr>
        <w:pStyle w:val="ListParagraph"/>
        <w:spacing w:line="360" w:lineRule="auto"/>
        <w:rPr>
          <w:color w:val="auto"/>
        </w:rPr>
      </w:pPr>
      <w:r w:rsidRPr="009949B9">
        <w:rPr>
          <w:b/>
          <w:color w:val="auto"/>
        </w:rPr>
        <w:t>Implementation</w:t>
      </w:r>
      <w:r w:rsidRPr="009949B9">
        <w:rPr>
          <w:color w:val="auto"/>
        </w:rPr>
        <w:t>: training, tools, resources, updates, monitoring and feedback.</w:t>
      </w:r>
    </w:p>
    <w:p w:rsidR="00905EEF" w:rsidRPr="009949B9" w:rsidRDefault="00905EEF" w:rsidP="00905EEF">
      <w:pPr>
        <w:pStyle w:val="Heading4"/>
        <w:rPr>
          <w:color w:val="auto"/>
          <w:lang w:val="en-GB"/>
        </w:rPr>
      </w:pPr>
      <w:r w:rsidRPr="009949B9">
        <w:rPr>
          <w:color w:val="auto"/>
          <w:lang w:val="en-GB"/>
        </w:rPr>
        <w:t>Communication</w:t>
      </w:r>
    </w:p>
    <w:p w:rsidR="00905EEF" w:rsidRPr="009949B9" w:rsidRDefault="00905EEF" w:rsidP="00BA503C">
      <w:pPr>
        <w:pStyle w:val="NoSpacing"/>
        <w:rPr>
          <w:color w:val="auto"/>
          <w:lang w:val="en-GB"/>
        </w:rPr>
      </w:pPr>
      <w:r w:rsidRPr="009949B9">
        <w:rPr>
          <w:color w:val="auto"/>
          <w:lang w:val="en-GB"/>
        </w:rPr>
        <w:t>Effective communication of the programme was seen as a key facilitator in most of the projects. Communication tools included: programme information evenings for practice staff; practice presentations; and sharing of patient case studies.</w:t>
      </w:r>
    </w:p>
    <w:p w:rsidR="00905EEF" w:rsidRPr="009949B9" w:rsidRDefault="00905EEF" w:rsidP="00BA503C">
      <w:pPr>
        <w:pStyle w:val="NoSpacing"/>
        <w:rPr>
          <w:color w:val="auto"/>
          <w:sz w:val="23"/>
          <w:szCs w:val="23"/>
          <w:lang w:val="en-GB"/>
        </w:rPr>
      </w:pPr>
      <w:r w:rsidRPr="009949B9">
        <w:rPr>
          <w:color w:val="auto"/>
          <w:lang w:val="en-GB"/>
        </w:rPr>
        <w:t>More specific to the SCSM projects were communication tools such as team huddles to discuss patient centred care and multidisciplinary team meetings. It was noted that conversations between team members added greater value and understanding than relying on patient notes and progress reports alone.</w:t>
      </w:r>
    </w:p>
    <w:p w:rsidR="00905EEF" w:rsidRPr="009949B9" w:rsidRDefault="00905EEF" w:rsidP="00905EEF">
      <w:pPr>
        <w:pStyle w:val="Heading4"/>
        <w:rPr>
          <w:color w:val="auto"/>
          <w:lang w:val="en-GB"/>
        </w:rPr>
      </w:pPr>
      <w:r w:rsidRPr="009949B9">
        <w:rPr>
          <w:color w:val="auto"/>
          <w:lang w:val="en-GB"/>
        </w:rPr>
        <w:t>Training</w:t>
      </w:r>
    </w:p>
    <w:p w:rsidR="00905EEF" w:rsidRPr="009949B9" w:rsidRDefault="00905EEF" w:rsidP="00BA503C">
      <w:pPr>
        <w:pStyle w:val="NoSpacing"/>
        <w:rPr>
          <w:color w:val="auto"/>
          <w:lang w:val="en-GB"/>
        </w:rPr>
      </w:pPr>
      <w:r w:rsidRPr="009949B9">
        <w:rPr>
          <w:color w:val="auto"/>
          <w:lang w:val="en-GB"/>
        </w:rPr>
        <w:t>Training is known to facilitate change in clinician behaviour. Training in processes (</w:t>
      </w:r>
      <w:r w:rsidR="0034188F">
        <w:rPr>
          <w:color w:val="auto"/>
          <w:lang w:val="en-GB"/>
        </w:rPr>
        <w:t>eg,</w:t>
      </w:r>
      <w:r w:rsidRPr="009949B9">
        <w:rPr>
          <w:color w:val="auto"/>
          <w:lang w:val="en-GB"/>
        </w:rPr>
        <w:t xml:space="preserve"> referral pathways, practice systems) and skills (</w:t>
      </w:r>
      <w:r w:rsidR="0034188F">
        <w:rPr>
          <w:color w:val="auto"/>
          <w:lang w:val="en-GB"/>
        </w:rPr>
        <w:t>eg,</w:t>
      </w:r>
      <w:r w:rsidRPr="009949B9">
        <w:rPr>
          <w:color w:val="auto"/>
          <w:lang w:val="en-GB"/>
        </w:rPr>
        <w:t xml:space="preserve"> care plans and running SCSM programmes) were identified by many of the projects.</w:t>
      </w:r>
    </w:p>
    <w:p w:rsidR="00905EEF" w:rsidRPr="009949B9" w:rsidRDefault="00826217" w:rsidP="00BA503C">
      <w:pPr>
        <w:pStyle w:val="NoSpacing"/>
        <w:rPr>
          <w:color w:val="auto"/>
          <w:lang w:val="en-GB"/>
        </w:rPr>
      </w:pPr>
      <w:r w:rsidRPr="009949B9">
        <w:rPr>
          <w:color w:val="auto"/>
          <w:lang w:val="en-GB"/>
        </w:rPr>
        <w:t>The practice nurses in the Hawke’s Bay project found the training helpful in empowering them to provide good dietary advice.</w:t>
      </w:r>
    </w:p>
    <w:p w:rsidR="00905EEF" w:rsidRPr="009949B9" w:rsidRDefault="00905EEF" w:rsidP="00905EEF">
      <w:pPr>
        <w:pStyle w:val="Heading4"/>
        <w:rPr>
          <w:color w:val="auto"/>
          <w:lang w:val="en-GB"/>
        </w:rPr>
      </w:pPr>
      <w:r w:rsidRPr="009949B9">
        <w:rPr>
          <w:color w:val="auto"/>
          <w:lang w:val="en-GB"/>
        </w:rPr>
        <w:t>Leadership</w:t>
      </w:r>
    </w:p>
    <w:p w:rsidR="00905EEF" w:rsidRPr="009949B9" w:rsidRDefault="00905EEF" w:rsidP="00BA503C">
      <w:pPr>
        <w:pStyle w:val="NoSpacing"/>
        <w:rPr>
          <w:color w:val="auto"/>
          <w:lang w:val="en-GB"/>
        </w:rPr>
      </w:pPr>
      <w:r w:rsidRPr="009949B9">
        <w:rPr>
          <w:color w:val="auto"/>
          <w:lang w:val="en-GB"/>
        </w:rPr>
        <w:t xml:space="preserve">Engagement of respected clinical leaders helped to change clinician behaviour and was a core feature of some of the SCSM projects. The ProCare </w:t>
      </w:r>
      <w:r w:rsidR="00856A1F">
        <w:rPr>
          <w:color w:val="auto"/>
          <w:lang w:val="en-GB"/>
        </w:rPr>
        <w:t>project also incorporated an on</w:t>
      </w:r>
      <w:r w:rsidRPr="009949B9">
        <w:rPr>
          <w:color w:val="auto"/>
          <w:lang w:val="en-GB"/>
        </w:rPr>
        <w:t>site change manager to facilitate the practice change.</w:t>
      </w:r>
    </w:p>
    <w:p w:rsidR="00905EEF" w:rsidRPr="009949B9" w:rsidRDefault="00905EEF" w:rsidP="00905EEF">
      <w:pPr>
        <w:pStyle w:val="Heading4"/>
        <w:rPr>
          <w:color w:val="auto"/>
          <w:lang w:val="en-GB"/>
        </w:rPr>
      </w:pPr>
      <w:r w:rsidRPr="009949B9">
        <w:rPr>
          <w:color w:val="auto"/>
          <w:lang w:val="en-GB"/>
        </w:rPr>
        <w:t>Multidisciplinary team (MDT)</w:t>
      </w:r>
    </w:p>
    <w:p w:rsidR="00905EEF" w:rsidRPr="009949B9" w:rsidRDefault="00905EEF" w:rsidP="00BA503C">
      <w:pPr>
        <w:pStyle w:val="NoSpacing"/>
        <w:rPr>
          <w:color w:val="auto"/>
          <w:lang w:val="en-GB"/>
        </w:rPr>
      </w:pPr>
      <w:r w:rsidRPr="009949B9">
        <w:rPr>
          <w:color w:val="auto"/>
          <w:lang w:val="en-GB"/>
        </w:rPr>
        <w:t>There were examples of MDT in both the diabetes and SCSM projects.</w:t>
      </w:r>
      <w:r w:rsidR="00BA503C" w:rsidRPr="009949B9">
        <w:rPr>
          <w:color w:val="auto"/>
          <w:lang w:val="en-GB"/>
        </w:rPr>
        <w:t xml:space="preserve"> </w:t>
      </w:r>
      <w:r w:rsidRPr="009949B9">
        <w:rPr>
          <w:color w:val="auto"/>
          <w:lang w:val="en-GB"/>
        </w:rPr>
        <w:t xml:space="preserve">For example, </w:t>
      </w:r>
      <w:r w:rsidR="00856A1F">
        <w:rPr>
          <w:color w:val="auto"/>
          <w:lang w:val="en-GB"/>
        </w:rPr>
        <w:t xml:space="preserve">the </w:t>
      </w:r>
      <w:r w:rsidRPr="009949B9">
        <w:rPr>
          <w:color w:val="auto"/>
          <w:lang w:val="en-GB"/>
        </w:rPr>
        <w:t>Choose Change (diabetes) and ProCare (SCSM) projects included psychology input. Overall</w:t>
      </w:r>
      <w:r w:rsidR="00856A1F">
        <w:rPr>
          <w:color w:val="auto"/>
          <w:lang w:val="en-GB"/>
        </w:rPr>
        <w:t>,</w:t>
      </w:r>
      <w:r w:rsidRPr="009949B9">
        <w:rPr>
          <w:color w:val="auto"/>
          <w:lang w:val="en-GB"/>
        </w:rPr>
        <w:t xml:space="preserve"> this was considered by staff and patients to be an important part of the interventions.</w:t>
      </w:r>
      <w:r w:rsidR="00BA503C" w:rsidRPr="009949B9">
        <w:rPr>
          <w:color w:val="auto"/>
          <w:lang w:val="en-GB"/>
        </w:rPr>
        <w:t xml:space="preserve"> </w:t>
      </w:r>
      <w:r w:rsidR="00856A1F">
        <w:rPr>
          <w:color w:val="auto"/>
          <w:lang w:val="en-GB"/>
        </w:rPr>
        <w:t>A multi</w:t>
      </w:r>
      <w:r w:rsidRPr="009949B9">
        <w:rPr>
          <w:color w:val="auto"/>
          <w:lang w:val="en-GB"/>
        </w:rPr>
        <w:t>disciplinary approach also helped build relationships within the practice team and with external providers.</w:t>
      </w:r>
    </w:p>
    <w:p w:rsidR="00905EEF" w:rsidRPr="009949B9" w:rsidRDefault="00905EEF" w:rsidP="00905EEF">
      <w:pPr>
        <w:pStyle w:val="Heading4"/>
        <w:rPr>
          <w:color w:val="auto"/>
          <w:lang w:val="en-GB"/>
        </w:rPr>
      </w:pPr>
      <w:r w:rsidRPr="009949B9">
        <w:rPr>
          <w:color w:val="auto"/>
          <w:lang w:val="en-GB"/>
        </w:rPr>
        <w:t>Bridging the divide between clinical practice and engagement with patients</w:t>
      </w:r>
    </w:p>
    <w:p w:rsidR="00905EEF" w:rsidRPr="009949B9" w:rsidRDefault="00905EEF" w:rsidP="00BA503C">
      <w:pPr>
        <w:pStyle w:val="NoSpacing"/>
        <w:rPr>
          <w:color w:val="auto"/>
          <w:lang w:val="en-GB"/>
        </w:rPr>
      </w:pPr>
      <w:r w:rsidRPr="009949B9">
        <w:rPr>
          <w:color w:val="auto"/>
          <w:lang w:val="en-GB"/>
        </w:rPr>
        <w:t>Many of the proj</w:t>
      </w:r>
      <w:r w:rsidR="00856A1F">
        <w:rPr>
          <w:color w:val="auto"/>
          <w:lang w:val="en-GB"/>
        </w:rPr>
        <w:t>ects used non-registered health</w:t>
      </w:r>
      <w:r w:rsidRPr="009949B9">
        <w:rPr>
          <w:color w:val="auto"/>
          <w:lang w:val="en-GB"/>
        </w:rPr>
        <w:t>care workers to deliver care. These people are often best placed to deliver these interventions and have the time to provide the level of support needed by patients with chronic illness or who are trying to make difficult health behaviour changes. This workforce sits outside the traditional medical model and there is often some difficulty in communicating between the clinical and non-clinical parties.</w:t>
      </w:r>
    </w:p>
    <w:p w:rsidR="00905EEF" w:rsidRPr="009949B9" w:rsidRDefault="00856A1F" w:rsidP="00BA503C">
      <w:pPr>
        <w:pStyle w:val="NoSpacing"/>
        <w:rPr>
          <w:color w:val="auto"/>
          <w:lang w:val="en-GB"/>
        </w:rPr>
      </w:pPr>
      <w:r>
        <w:rPr>
          <w:color w:val="auto"/>
          <w:lang w:val="en-GB"/>
        </w:rPr>
        <w:t>The k</w:t>
      </w:r>
      <w:r w:rsidR="00905EEF" w:rsidRPr="009949B9">
        <w:rPr>
          <w:color w:val="auto"/>
          <w:lang w:val="en-GB"/>
        </w:rPr>
        <w:t>aiawhina/</w:t>
      </w:r>
      <w:r>
        <w:rPr>
          <w:color w:val="auto"/>
          <w:lang w:val="en-GB"/>
        </w:rPr>
        <w:t>n</w:t>
      </w:r>
      <w:r w:rsidR="00905EEF" w:rsidRPr="009949B9">
        <w:rPr>
          <w:color w:val="auto"/>
          <w:lang w:val="en-GB"/>
        </w:rPr>
        <w:t>urse model in the Hauraki PHO project is good example of community and clinical components working together.</w:t>
      </w:r>
    </w:p>
    <w:p w:rsidR="00905EEF" w:rsidRPr="009949B9" w:rsidRDefault="00856A1F" w:rsidP="00BA503C">
      <w:pPr>
        <w:pStyle w:val="NoSpacing"/>
        <w:rPr>
          <w:color w:val="auto"/>
          <w:lang w:val="en-GB"/>
        </w:rPr>
      </w:pPr>
      <w:r>
        <w:rPr>
          <w:color w:val="auto"/>
          <w:lang w:val="en-GB"/>
        </w:rPr>
        <w:t>The Energised Practices p</w:t>
      </w:r>
      <w:r w:rsidR="00905EEF" w:rsidRPr="009949B9">
        <w:rPr>
          <w:color w:val="auto"/>
          <w:lang w:val="en-GB"/>
        </w:rPr>
        <w:t>roject suggests that in a best practice model there would be a senior person who has an experienced clinical background (</w:t>
      </w:r>
      <w:r w:rsidR="0034188F">
        <w:rPr>
          <w:color w:val="auto"/>
          <w:lang w:val="en-GB"/>
        </w:rPr>
        <w:t>eg,</w:t>
      </w:r>
      <w:r w:rsidR="00905EEF" w:rsidRPr="009949B9">
        <w:rPr>
          <w:color w:val="auto"/>
          <w:lang w:val="en-GB"/>
        </w:rPr>
        <w:t xml:space="preserve"> </w:t>
      </w:r>
      <w:r>
        <w:rPr>
          <w:color w:val="auto"/>
          <w:lang w:val="en-GB"/>
        </w:rPr>
        <w:t xml:space="preserve">a </w:t>
      </w:r>
      <w:r w:rsidR="00905EEF" w:rsidRPr="009949B9">
        <w:rPr>
          <w:color w:val="auto"/>
          <w:lang w:val="en-GB"/>
        </w:rPr>
        <w:t xml:space="preserve">PN from a primary health background) who can bridge the clinical-nonclinical divide. Clinical </w:t>
      </w:r>
      <w:r>
        <w:rPr>
          <w:color w:val="auto"/>
          <w:lang w:val="en-GB"/>
        </w:rPr>
        <w:t>c</w:t>
      </w:r>
      <w:r w:rsidR="00905EEF" w:rsidRPr="009949B9">
        <w:rPr>
          <w:color w:val="auto"/>
          <w:lang w:val="en-GB"/>
        </w:rPr>
        <w:t>hampions may also be able to fulfil this role.</w:t>
      </w:r>
    </w:p>
    <w:p w:rsidR="00905EEF" w:rsidRPr="009949B9" w:rsidRDefault="00905EEF" w:rsidP="00905EEF">
      <w:pPr>
        <w:pStyle w:val="Heading4"/>
        <w:rPr>
          <w:color w:val="auto"/>
          <w:lang w:val="en-GB"/>
        </w:rPr>
      </w:pPr>
      <w:r w:rsidRPr="009949B9">
        <w:rPr>
          <w:color w:val="auto"/>
          <w:lang w:val="en-GB"/>
        </w:rPr>
        <w:t>Addressing non-health needs</w:t>
      </w:r>
    </w:p>
    <w:p w:rsidR="00905EEF" w:rsidRPr="009949B9" w:rsidRDefault="00905EEF" w:rsidP="00BA503C">
      <w:pPr>
        <w:pStyle w:val="NoSpacing"/>
        <w:rPr>
          <w:color w:val="auto"/>
          <w:lang w:val="en-GB"/>
        </w:rPr>
      </w:pPr>
      <w:r w:rsidRPr="009949B9">
        <w:rPr>
          <w:color w:val="auto"/>
          <w:lang w:val="en-GB"/>
        </w:rPr>
        <w:t>This was identified in the Hauraki PHO SCSM project where being able to address the non-health needs of patients (</w:t>
      </w:r>
      <w:r w:rsidR="0034188F">
        <w:rPr>
          <w:color w:val="auto"/>
          <w:lang w:val="en-GB"/>
        </w:rPr>
        <w:t>eg,</w:t>
      </w:r>
      <w:r w:rsidRPr="009949B9">
        <w:rPr>
          <w:color w:val="auto"/>
          <w:lang w:val="en-GB"/>
        </w:rPr>
        <w:t xml:space="preserve"> housing, and support with financial needs) was found to support changes in health.</w:t>
      </w:r>
    </w:p>
    <w:p w:rsidR="00905EEF" w:rsidRPr="009949B9" w:rsidRDefault="00905EEF" w:rsidP="00905EEF">
      <w:pPr>
        <w:pStyle w:val="Heading4"/>
        <w:rPr>
          <w:color w:val="auto"/>
          <w:lang w:val="en-GB"/>
        </w:rPr>
      </w:pPr>
      <w:r w:rsidRPr="009949B9">
        <w:rPr>
          <w:color w:val="auto"/>
          <w:lang w:val="en-GB"/>
        </w:rPr>
        <w:t>Personal characteristics of staff</w:t>
      </w:r>
    </w:p>
    <w:p w:rsidR="00905EEF" w:rsidRPr="009949B9" w:rsidRDefault="00905EEF" w:rsidP="00BA503C">
      <w:pPr>
        <w:pStyle w:val="NoSpacing"/>
        <w:rPr>
          <w:color w:val="auto"/>
          <w:lang w:val="en-GB"/>
        </w:rPr>
      </w:pPr>
      <w:r w:rsidRPr="009949B9">
        <w:rPr>
          <w:color w:val="auto"/>
          <w:lang w:val="en-GB"/>
        </w:rPr>
        <w:t>In the evaluation of the Hauraki PHO SCSM project</w:t>
      </w:r>
      <w:r w:rsidR="00856A1F">
        <w:rPr>
          <w:color w:val="auto"/>
          <w:lang w:val="en-GB"/>
        </w:rPr>
        <w:t>,</w:t>
      </w:r>
      <w:r w:rsidRPr="009949B9">
        <w:rPr>
          <w:color w:val="auto"/>
          <w:lang w:val="en-GB"/>
        </w:rPr>
        <w:t xml:space="preserve"> the personal characteristics of staff was pivotal to successful patient relationships and greater motivation to self-manage. They recruited staff who were approachable, professional, non-judgemental and good communicators. The ability of nurses to be able to engage in the community setting was also important.</w:t>
      </w:r>
    </w:p>
    <w:p w:rsidR="00905EEF" w:rsidRPr="009949B9" w:rsidRDefault="00905EEF" w:rsidP="00BA503C">
      <w:pPr>
        <w:pStyle w:val="NoSpacing"/>
        <w:rPr>
          <w:color w:val="auto"/>
          <w:lang w:val="en-GB"/>
        </w:rPr>
      </w:pPr>
      <w:r w:rsidRPr="009949B9">
        <w:rPr>
          <w:color w:val="auto"/>
          <w:lang w:val="en-GB"/>
        </w:rPr>
        <w:t>Although not directly evaluated in the diabetes projects, staff working with patients</w:t>
      </w:r>
      <w:r w:rsidR="00856A1F">
        <w:rPr>
          <w:color w:val="auto"/>
          <w:lang w:val="en-GB"/>
        </w:rPr>
        <w:t xml:space="preserve"> to increase physical activity we</w:t>
      </w:r>
      <w:r w:rsidRPr="009949B9">
        <w:rPr>
          <w:color w:val="auto"/>
          <w:lang w:val="en-GB"/>
        </w:rPr>
        <w:t xml:space="preserve">re generally encouraging, motivational, and </w:t>
      </w:r>
      <w:r w:rsidR="00856A1F">
        <w:rPr>
          <w:color w:val="auto"/>
          <w:lang w:val="en-GB"/>
        </w:rPr>
        <w:t>had</w:t>
      </w:r>
      <w:r w:rsidRPr="009949B9">
        <w:rPr>
          <w:color w:val="auto"/>
          <w:lang w:val="en-GB"/>
        </w:rPr>
        <w:t xml:space="preserve"> good rapport with their clients. This may have been a contributing factor to the high level of patient retention.</w:t>
      </w:r>
    </w:p>
    <w:p w:rsidR="00905EEF" w:rsidRPr="009949B9" w:rsidRDefault="00905EEF" w:rsidP="00905EEF">
      <w:pPr>
        <w:pStyle w:val="Heading4"/>
        <w:rPr>
          <w:color w:val="auto"/>
          <w:lang w:val="en-GB"/>
        </w:rPr>
      </w:pPr>
      <w:r w:rsidRPr="009949B9">
        <w:rPr>
          <w:color w:val="auto"/>
          <w:lang w:val="en-GB"/>
        </w:rPr>
        <w:t>Integration with GP practice</w:t>
      </w:r>
    </w:p>
    <w:p w:rsidR="00905EEF" w:rsidRPr="009949B9" w:rsidRDefault="00905EEF" w:rsidP="00BA503C">
      <w:pPr>
        <w:pStyle w:val="NoSpacing"/>
        <w:rPr>
          <w:color w:val="auto"/>
          <w:lang w:val="en-GB"/>
        </w:rPr>
      </w:pPr>
      <w:r w:rsidRPr="009949B9">
        <w:rPr>
          <w:color w:val="auto"/>
          <w:lang w:val="en-GB"/>
        </w:rPr>
        <w:t>Strong links with practices appeared to result in a greater level of engagement, generating more referrals and greater enthusiasm for continuing the work. Running treatment sessions within the practice, if possible (space is often a premium commodity)</w:t>
      </w:r>
      <w:r w:rsidR="00856A1F">
        <w:rPr>
          <w:color w:val="auto"/>
          <w:lang w:val="en-GB"/>
        </w:rPr>
        <w:t>,</w:t>
      </w:r>
      <w:r w:rsidRPr="009949B9">
        <w:rPr>
          <w:color w:val="auto"/>
          <w:lang w:val="en-GB"/>
        </w:rPr>
        <w:t xml:space="preserve"> may provide better integr</w:t>
      </w:r>
      <w:r w:rsidR="00856A1F">
        <w:rPr>
          <w:color w:val="auto"/>
          <w:lang w:val="en-GB"/>
        </w:rPr>
        <w:t>ation. The Energised Practices p</w:t>
      </w:r>
      <w:r w:rsidRPr="009949B9">
        <w:rPr>
          <w:color w:val="auto"/>
          <w:lang w:val="en-GB"/>
        </w:rPr>
        <w:t>roject found that staff enjoyed being able to observe the treatment/support sessions and were able to learn new skills that improved their own practice.</w:t>
      </w:r>
    </w:p>
    <w:p w:rsidR="00905EEF" w:rsidRPr="009949B9" w:rsidRDefault="00905EEF" w:rsidP="00BA503C">
      <w:pPr>
        <w:pStyle w:val="NoSpacing"/>
        <w:rPr>
          <w:color w:val="auto"/>
          <w:lang w:val="en-GB"/>
        </w:rPr>
      </w:pPr>
      <w:r w:rsidRPr="009949B9">
        <w:rPr>
          <w:color w:val="auto"/>
          <w:lang w:val="en-GB"/>
        </w:rPr>
        <w:t xml:space="preserve">Good integration with </w:t>
      </w:r>
      <w:r w:rsidR="00856A1F">
        <w:rPr>
          <w:color w:val="auto"/>
          <w:lang w:val="en-GB"/>
        </w:rPr>
        <w:t>general p</w:t>
      </w:r>
      <w:r w:rsidRPr="009949B9">
        <w:rPr>
          <w:color w:val="auto"/>
          <w:lang w:val="en-GB"/>
        </w:rPr>
        <w:t xml:space="preserve">ractices was important for referrals and feedback on particular </w:t>
      </w:r>
      <w:r w:rsidR="00A97778" w:rsidRPr="009949B9">
        <w:rPr>
          <w:color w:val="auto"/>
          <w:lang w:val="en-GB"/>
        </w:rPr>
        <w:t>patients’</w:t>
      </w:r>
      <w:r w:rsidRPr="009949B9">
        <w:rPr>
          <w:color w:val="auto"/>
          <w:lang w:val="en-GB"/>
        </w:rPr>
        <w:t xml:space="preserve"> problems (</w:t>
      </w:r>
      <w:r w:rsidR="0034188F">
        <w:rPr>
          <w:color w:val="auto"/>
          <w:lang w:val="en-GB"/>
        </w:rPr>
        <w:t>eg,</w:t>
      </w:r>
      <w:r w:rsidRPr="009949B9">
        <w:rPr>
          <w:color w:val="auto"/>
          <w:lang w:val="en-GB"/>
        </w:rPr>
        <w:t xml:space="preserve"> need for changes in patients medications).</w:t>
      </w:r>
    </w:p>
    <w:p w:rsidR="008C2E25" w:rsidRPr="009949B9" w:rsidRDefault="008C2E25" w:rsidP="00744B2F">
      <w:pPr>
        <w:pStyle w:val="NoSpacing"/>
        <w:rPr>
          <w:color w:val="auto"/>
          <w:lang w:val="en-GB"/>
        </w:rPr>
      </w:pPr>
      <w:r w:rsidRPr="009949B9">
        <w:rPr>
          <w:color w:val="auto"/>
          <w:lang w:val="en-GB"/>
        </w:rPr>
        <w:t>In the Hawke’s Bay pre-diabetes project</w:t>
      </w:r>
      <w:r w:rsidR="00856A1F">
        <w:rPr>
          <w:color w:val="auto"/>
          <w:lang w:val="en-GB"/>
        </w:rPr>
        <w:t>,</w:t>
      </w:r>
      <w:r w:rsidRPr="009949B9">
        <w:rPr>
          <w:color w:val="auto"/>
          <w:lang w:val="en-GB"/>
        </w:rPr>
        <w:t xml:space="preserve"> the incorporation of patient goals into the practice management system helped GPs</w:t>
      </w:r>
      <w:r w:rsidR="00856A1F">
        <w:rPr>
          <w:color w:val="auto"/>
          <w:lang w:val="en-GB"/>
        </w:rPr>
        <w:t xml:space="preserve"> to</w:t>
      </w:r>
      <w:r w:rsidRPr="009949B9">
        <w:rPr>
          <w:color w:val="auto"/>
          <w:lang w:val="en-GB"/>
        </w:rPr>
        <w:t xml:space="preserve"> opportunistically motivate their patients</w:t>
      </w:r>
      <w:r w:rsidR="00856A1F">
        <w:rPr>
          <w:color w:val="auto"/>
          <w:lang w:val="en-GB"/>
        </w:rPr>
        <w:t>,</w:t>
      </w:r>
      <w:r w:rsidRPr="009949B9">
        <w:rPr>
          <w:color w:val="auto"/>
          <w:lang w:val="en-GB"/>
        </w:rPr>
        <w:t xml:space="preserve"> </w:t>
      </w:r>
      <w:r w:rsidR="00744B2F" w:rsidRPr="009949B9">
        <w:rPr>
          <w:color w:val="auto"/>
          <w:lang w:val="en-GB"/>
        </w:rPr>
        <w:t>and participants appreciated this</w:t>
      </w:r>
      <w:r w:rsidRPr="009949B9">
        <w:rPr>
          <w:color w:val="auto"/>
          <w:lang w:val="en-GB"/>
        </w:rPr>
        <w:t xml:space="preserve"> input from their GP.</w:t>
      </w:r>
    </w:p>
    <w:p w:rsidR="00B10CDF" w:rsidRPr="009949B9" w:rsidRDefault="00B10CDF" w:rsidP="00B10CDF">
      <w:pPr>
        <w:pStyle w:val="NoSpacing"/>
        <w:rPr>
          <w:color w:val="auto"/>
          <w:lang w:val="en-GB"/>
        </w:rPr>
      </w:pPr>
      <w:r w:rsidRPr="009949B9">
        <w:rPr>
          <w:color w:val="auto"/>
          <w:lang w:val="en-GB"/>
        </w:rPr>
        <w:t xml:space="preserve">The Hawke’s Bay project also created </w:t>
      </w:r>
      <w:r w:rsidR="00362622" w:rsidRPr="009949B9">
        <w:rPr>
          <w:color w:val="auto"/>
          <w:lang w:val="en-GB"/>
        </w:rPr>
        <w:t>nutritionally</w:t>
      </w:r>
      <w:r w:rsidRPr="009949B9">
        <w:rPr>
          <w:color w:val="auto"/>
          <w:lang w:val="en-GB"/>
        </w:rPr>
        <w:t xml:space="preserve"> supportive environments at the participating GP practices. Here</w:t>
      </w:r>
      <w:r w:rsidR="002201F9">
        <w:rPr>
          <w:color w:val="auto"/>
          <w:lang w:val="en-GB"/>
        </w:rPr>
        <w:t>,</w:t>
      </w:r>
      <w:r w:rsidRPr="009949B9">
        <w:rPr>
          <w:color w:val="auto"/>
          <w:lang w:val="en-GB"/>
        </w:rPr>
        <w:t xml:space="preserve"> </w:t>
      </w:r>
      <w:r w:rsidR="00362622" w:rsidRPr="009949B9">
        <w:rPr>
          <w:color w:val="auto"/>
          <w:lang w:val="en-GB"/>
        </w:rPr>
        <w:t>practices</w:t>
      </w:r>
      <w:r w:rsidRPr="009949B9">
        <w:rPr>
          <w:color w:val="auto"/>
          <w:lang w:val="en-GB"/>
        </w:rPr>
        <w:t xml:space="preserve"> reinforced messages provided by </w:t>
      </w:r>
      <w:r w:rsidR="00362622" w:rsidRPr="009949B9">
        <w:rPr>
          <w:color w:val="auto"/>
          <w:lang w:val="en-GB"/>
        </w:rPr>
        <w:t>nurses</w:t>
      </w:r>
      <w:r w:rsidRPr="009949B9">
        <w:rPr>
          <w:color w:val="auto"/>
          <w:lang w:val="en-GB"/>
        </w:rPr>
        <w:t xml:space="preserve"> by providing material (</w:t>
      </w:r>
      <w:r w:rsidR="0034188F">
        <w:rPr>
          <w:color w:val="auto"/>
          <w:lang w:val="en-GB"/>
        </w:rPr>
        <w:t>eg,</w:t>
      </w:r>
      <w:r w:rsidRPr="009949B9">
        <w:rPr>
          <w:color w:val="auto"/>
          <w:lang w:val="en-GB"/>
        </w:rPr>
        <w:t xml:space="preserve"> magazines, posters, leaflets) that supported reputable dietary messages and active living.</w:t>
      </w:r>
    </w:p>
    <w:p w:rsidR="00905EEF" w:rsidRPr="009949B9" w:rsidRDefault="00905EEF" w:rsidP="00905EEF">
      <w:pPr>
        <w:pStyle w:val="Heading4"/>
        <w:rPr>
          <w:color w:val="auto"/>
          <w:lang w:val="en-GB"/>
        </w:rPr>
      </w:pPr>
      <w:r w:rsidRPr="009949B9">
        <w:rPr>
          <w:color w:val="auto"/>
          <w:lang w:val="en-GB"/>
        </w:rPr>
        <w:t>Components of programmes</w:t>
      </w:r>
    </w:p>
    <w:p w:rsidR="00905EEF" w:rsidRPr="009949B9" w:rsidRDefault="00905EEF" w:rsidP="00BA503C">
      <w:pPr>
        <w:pStyle w:val="NoSpacing"/>
        <w:rPr>
          <w:color w:val="auto"/>
          <w:lang w:val="en-GB"/>
        </w:rPr>
      </w:pPr>
      <w:r w:rsidRPr="009949B9">
        <w:rPr>
          <w:color w:val="auto"/>
          <w:lang w:val="en-GB"/>
        </w:rPr>
        <w:t>There were number of components of the project treatment programmes that appeared to facilitate engagement of patients. These included:</w:t>
      </w:r>
    </w:p>
    <w:p w:rsidR="00905EEF" w:rsidRPr="009949B9" w:rsidRDefault="00905EEF" w:rsidP="00BA503C">
      <w:pPr>
        <w:pStyle w:val="NoSpacing"/>
        <w:rPr>
          <w:color w:val="auto"/>
          <w:lang w:val="en-GB"/>
        </w:rPr>
      </w:pPr>
      <w:r w:rsidRPr="009949B9">
        <w:rPr>
          <w:b/>
          <w:i/>
          <w:color w:val="auto"/>
          <w:lang w:val="en-GB"/>
        </w:rPr>
        <w:t>Support from peers</w:t>
      </w:r>
      <w:r w:rsidRPr="009949B9">
        <w:rPr>
          <w:color w:val="auto"/>
          <w:lang w:val="en-GB"/>
        </w:rPr>
        <w:t>: The benefits of group-based treatment where peers provided much of the support emerged as a common theme throug</w:t>
      </w:r>
      <w:r w:rsidR="002201F9">
        <w:rPr>
          <w:color w:val="auto"/>
          <w:lang w:val="en-GB"/>
        </w:rPr>
        <w:t>hout. The Alliance Health Plus p</w:t>
      </w:r>
      <w:r w:rsidRPr="009949B9">
        <w:rPr>
          <w:color w:val="auto"/>
          <w:lang w:val="en-GB"/>
        </w:rPr>
        <w:t>rogramme evolution, for example, showed that the most valuable input came from peers. Participants in programmes that had less group-based support commented that they would like more interaction with others. Learning from others was seen as important. Participants with pre-diabetes, for example, expressed an intere</w:t>
      </w:r>
      <w:r w:rsidR="002201F9">
        <w:rPr>
          <w:color w:val="auto"/>
          <w:lang w:val="en-GB"/>
        </w:rPr>
        <w:t>st in hearing from people with t</w:t>
      </w:r>
      <w:r w:rsidRPr="009949B9">
        <w:rPr>
          <w:color w:val="auto"/>
          <w:lang w:val="en-GB"/>
        </w:rPr>
        <w:t>ype 2 diabetes.</w:t>
      </w:r>
    </w:p>
    <w:p w:rsidR="00905EEF" w:rsidRPr="009949B9" w:rsidRDefault="00905EEF" w:rsidP="00BA503C">
      <w:pPr>
        <w:pStyle w:val="NoSpacing"/>
        <w:rPr>
          <w:color w:val="auto"/>
          <w:lang w:val="en-GB"/>
        </w:rPr>
      </w:pPr>
      <w:r w:rsidRPr="009949B9">
        <w:rPr>
          <w:b/>
          <w:i/>
          <w:color w:val="auto"/>
          <w:lang w:val="en-GB"/>
        </w:rPr>
        <w:t>Regular contact with the same practitioner</w:t>
      </w:r>
      <w:r w:rsidRPr="009949B9">
        <w:rPr>
          <w:color w:val="auto"/>
          <w:lang w:val="en-GB"/>
        </w:rPr>
        <w:t>: This was noted as an important factor and reflects the need for building and maintaining rapport in behaviour change interventions.</w:t>
      </w:r>
    </w:p>
    <w:p w:rsidR="00905EEF" w:rsidRPr="009949B9" w:rsidRDefault="00905EEF" w:rsidP="00BA503C">
      <w:pPr>
        <w:pStyle w:val="NoSpacing"/>
        <w:rPr>
          <w:color w:val="auto"/>
          <w:lang w:val="en-GB"/>
        </w:rPr>
      </w:pPr>
      <w:r w:rsidRPr="009949B9">
        <w:rPr>
          <w:b/>
          <w:i/>
          <w:color w:val="auto"/>
          <w:lang w:val="en-GB"/>
        </w:rPr>
        <w:t>Accountability</w:t>
      </w:r>
      <w:r w:rsidRPr="009949B9">
        <w:rPr>
          <w:color w:val="auto"/>
          <w:lang w:val="en-GB"/>
        </w:rPr>
        <w:t>: Establishing patient accountability within treatment programmes can facilitate behaviour change. The Choose Change project utilised a commitment contract at enrolment that set out the expectations of the programme. This is likely to be one of the factors that contributed to a high retention rate. Concrete tasks (</w:t>
      </w:r>
      <w:r w:rsidR="0034188F">
        <w:rPr>
          <w:color w:val="auto"/>
          <w:lang w:val="en-GB"/>
        </w:rPr>
        <w:t>eg,</w:t>
      </w:r>
      <w:r w:rsidRPr="009949B9">
        <w:rPr>
          <w:color w:val="auto"/>
          <w:lang w:val="en-GB"/>
        </w:rPr>
        <w:t xml:space="preserve"> doing 30 minutes of moderate intensity physical activity per day) and regular monitoring (</w:t>
      </w:r>
      <w:r w:rsidR="0034188F">
        <w:rPr>
          <w:color w:val="auto"/>
          <w:lang w:val="en-GB"/>
        </w:rPr>
        <w:t>eg,</w:t>
      </w:r>
      <w:r w:rsidRPr="009949B9">
        <w:rPr>
          <w:color w:val="auto"/>
          <w:lang w:val="en-GB"/>
        </w:rPr>
        <w:t xml:space="preserve"> weekly weigh-in</w:t>
      </w:r>
      <w:r w:rsidR="002201F9">
        <w:rPr>
          <w:color w:val="auto"/>
          <w:lang w:val="en-GB"/>
        </w:rPr>
        <w:t>s</w:t>
      </w:r>
      <w:r w:rsidRPr="009949B9">
        <w:rPr>
          <w:color w:val="auto"/>
          <w:lang w:val="en-GB"/>
        </w:rPr>
        <w:t>) can help people achieve and maintain behaviour change. This is illustrated in a comment from one participant</w:t>
      </w:r>
      <w:r w:rsidR="002201F9">
        <w:rPr>
          <w:color w:val="auto"/>
          <w:lang w:val="en-GB"/>
        </w:rPr>
        <w:t>:</w:t>
      </w:r>
      <w:r w:rsidRPr="009949B9">
        <w:rPr>
          <w:color w:val="auto"/>
          <w:lang w:val="en-GB"/>
        </w:rPr>
        <w:t xml:space="preserve"> </w:t>
      </w:r>
      <w:r w:rsidRPr="009949B9">
        <w:rPr>
          <w:i/>
          <w:color w:val="auto"/>
          <w:lang w:val="en-GB"/>
        </w:rPr>
        <w:t>“For me, just the weighing in, I would have liked to have kept doing that a bit longer.”</w:t>
      </w:r>
      <w:r w:rsidR="00BA240F" w:rsidRPr="009949B9">
        <w:rPr>
          <w:color w:val="auto"/>
          <w:lang w:val="en-GB"/>
        </w:rPr>
        <w:t xml:space="preserve"> Similar feedback was found in the Hawke’s Bay pre-diabetes project where participants liked the</w:t>
      </w:r>
      <w:r w:rsidR="00BA240F" w:rsidRPr="009949B9">
        <w:rPr>
          <w:color w:val="auto"/>
          <w:szCs w:val="24"/>
          <w:lang w:val="en-GB"/>
        </w:rPr>
        <w:t xml:space="preserve"> programme approach that focussed on simple, achievable goals that were reviewed at follow-up</w:t>
      </w:r>
      <w:r w:rsidR="001251C2" w:rsidRPr="009949B9">
        <w:rPr>
          <w:color w:val="auto"/>
          <w:szCs w:val="24"/>
          <w:lang w:val="en-GB"/>
        </w:rPr>
        <w:t xml:space="preserve">, and having </w:t>
      </w:r>
      <w:r w:rsidR="001251C2" w:rsidRPr="009949B9">
        <w:rPr>
          <w:color w:val="auto"/>
          <w:lang w:val="en-GB"/>
        </w:rPr>
        <w:t xml:space="preserve">accountability to the </w:t>
      </w:r>
      <w:r w:rsidR="002201F9">
        <w:rPr>
          <w:color w:val="auto"/>
          <w:lang w:val="en-GB"/>
        </w:rPr>
        <w:t>PN</w:t>
      </w:r>
      <w:r w:rsidR="00BA240F" w:rsidRPr="009949B9">
        <w:rPr>
          <w:color w:val="auto"/>
          <w:szCs w:val="24"/>
          <w:lang w:val="en-GB"/>
        </w:rPr>
        <w:t>.</w:t>
      </w:r>
    </w:p>
    <w:p w:rsidR="00905EEF" w:rsidRPr="009949B9" w:rsidRDefault="00905EEF" w:rsidP="00BA503C">
      <w:pPr>
        <w:pStyle w:val="NoSpacing"/>
        <w:rPr>
          <w:color w:val="auto"/>
          <w:lang w:val="en-GB"/>
        </w:rPr>
      </w:pPr>
      <w:r w:rsidRPr="009949B9">
        <w:rPr>
          <w:b/>
          <w:i/>
          <w:color w:val="auto"/>
          <w:lang w:val="en-GB"/>
        </w:rPr>
        <w:t>Participant engagement</w:t>
      </w:r>
      <w:r w:rsidRPr="009949B9">
        <w:rPr>
          <w:color w:val="auto"/>
          <w:lang w:val="en-GB"/>
        </w:rPr>
        <w:t>: Activities that are geared to the right level of health literacy are important. Cooking classes, for example in the Sport B</w:t>
      </w:r>
      <w:r w:rsidR="002201F9">
        <w:rPr>
          <w:color w:val="auto"/>
          <w:lang w:val="en-GB"/>
        </w:rPr>
        <w:t xml:space="preserve">ay </w:t>
      </w:r>
      <w:r w:rsidRPr="009949B9">
        <w:rPr>
          <w:color w:val="auto"/>
          <w:lang w:val="en-GB"/>
        </w:rPr>
        <w:t>o</w:t>
      </w:r>
      <w:r w:rsidR="002201F9">
        <w:rPr>
          <w:color w:val="auto"/>
          <w:lang w:val="en-GB"/>
        </w:rPr>
        <w:t xml:space="preserve">f </w:t>
      </w:r>
      <w:r w:rsidRPr="009949B9">
        <w:rPr>
          <w:color w:val="auto"/>
          <w:lang w:val="en-GB"/>
        </w:rPr>
        <w:t>P</w:t>
      </w:r>
      <w:r w:rsidR="002201F9">
        <w:rPr>
          <w:color w:val="auto"/>
          <w:lang w:val="en-GB"/>
        </w:rPr>
        <w:t>lenty</w:t>
      </w:r>
      <w:r w:rsidRPr="009949B9">
        <w:rPr>
          <w:color w:val="auto"/>
          <w:lang w:val="en-GB"/>
        </w:rPr>
        <w:t xml:space="preserve"> project, were more likely to be attended than the nutritional educational sessions. For some groups in particular</w:t>
      </w:r>
      <w:r w:rsidR="002201F9">
        <w:rPr>
          <w:color w:val="auto"/>
          <w:lang w:val="en-GB"/>
        </w:rPr>
        <w:t>,</w:t>
      </w:r>
      <w:r w:rsidRPr="009949B9">
        <w:rPr>
          <w:color w:val="auto"/>
          <w:lang w:val="en-GB"/>
        </w:rPr>
        <w:t xml:space="preserve"> keeping the programme ‘fun’ will helping increase rates of participation.</w:t>
      </w:r>
    </w:p>
    <w:p w:rsidR="00905EEF" w:rsidRPr="009949B9" w:rsidRDefault="00905EEF" w:rsidP="00BA503C">
      <w:pPr>
        <w:pStyle w:val="NoSpacing"/>
        <w:rPr>
          <w:color w:val="auto"/>
          <w:lang w:val="en-GB"/>
        </w:rPr>
      </w:pPr>
      <w:r w:rsidRPr="009949B9">
        <w:rPr>
          <w:b/>
          <w:i/>
          <w:color w:val="auto"/>
          <w:lang w:val="en-GB"/>
        </w:rPr>
        <w:t>Relevance to a wide audience</w:t>
      </w:r>
      <w:r w:rsidRPr="009949B9">
        <w:rPr>
          <w:color w:val="auto"/>
          <w:lang w:val="en-GB"/>
        </w:rPr>
        <w:t>: The project feedback, especially from those that supported patients in a group setting</w:t>
      </w:r>
      <w:r w:rsidR="002201F9">
        <w:rPr>
          <w:color w:val="auto"/>
          <w:lang w:val="en-GB"/>
        </w:rPr>
        <w:t>,</w:t>
      </w:r>
      <w:r w:rsidRPr="009949B9">
        <w:rPr>
          <w:color w:val="auto"/>
          <w:lang w:val="en-GB"/>
        </w:rPr>
        <w:t xml:space="preserve"> suggests that programmes need to be generic in their content</w:t>
      </w:r>
      <w:r w:rsidR="002201F9">
        <w:rPr>
          <w:color w:val="auto"/>
          <w:lang w:val="en-GB"/>
        </w:rPr>
        <w:t>, but allow</w:t>
      </w:r>
      <w:r w:rsidRPr="009949B9">
        <w:rPr>
          <w:color w:val="auto"/>
          <w:lang w:val="en-GB"/>
        </w:rPr>
        <w:t xml:space="preserve"> for tailoring where possible. Fo</w:t>
      </w:r>
      <w:r w:rsidR="00466124">
        <w:rPr>
          <w:color w:val="auto"/>
          <w:lang w:val="en-GB"/>
        </w:rPr>
        <w:t xml:space="preserve">r example, food preferences </w:t>
      </w:r>
      <w:r w:rsidRPr="009949B9">
        <w:rPr>
          <w:color w:val="auto"/>
          <w:lang w:val="en-GB"/>
        </w:rPr>
        <w:t xml:space="preserve">differ, especially between ethnic groups. So an intervention that focuses on healthy NZ European food would not be relevant to those from South Asian backgrounds. </w:t>
      </w:r>
      <w:r w:rsidR="00466124">
        <w:rPr>
          <w:color w:val="auto"/>
          <w:lang w:val="en-GB"/>
        </w:rPr>
        <w:t>However, reducing portion sizes and</w:t>
      </w:r>
      <w:r w:rsidRPr="009949B9">
        <w:rPr>
          <w:color w:val="auto"/>
          <w:lang w:val="en-GB"/>
        </w:rPr>
        <w:t xml:space="preserve"> eating more green leafy vegetables can apply to all. Advice on how to increase levels of physical activity would follow a similar</w:t>
      </w:r>
      <w:r w:rsidR="00466124">
        <w:rPr>
          <w:color w:val="auto"/>
          <w:lang w:val="en-GB"/>
        </w:rPr>
        <w:t>, tailored</w:t>
      </w:r>
      <w:r w:rsidRPr="009949B9">
        <w:rPr>
          <w:color w:val="auto"/>
          <w:lang w:val="en-GB"/>
        </w:rPr>
        <w:t xml:space="preserve"> approach.</w:t>
      </w:r>
    </w:p>
    <w:p w:rsidR="00905EEF" w:rsidRPr="009949B9" w:rsidRDefault="00905EEF" w:rsidP="00BA503C">
      <w:pPr>
        <w:pStyle w:val="NoSpacing"/>
        <w:rPr>
          <w:color w:val="auto"/>
          <w:lang w:val="en-GB"/>
        </w:rPr>
      </w:pPr>
      <w:r w:rsidRPr="009949B9">
        <w:rPr>
          <w:b/>
          <w:i/>
          <w:color w:val="auto"/>
          <w:lang w:val="en-GB"/>
        </w:rPr>
        <w:t>Integration of behavioural support</w:t>
      </w:r>
      <w:r w:rsidRPr="009949B9">
        <w:rPr>
          <w:color w:val="auto"/>
          <w:lang w:val="en-GB"/>
        </w:rPr>
        <w:t xml:space="preserve">: Most programmes in the pre-diabetes projects focussed on changes in </w:t>
      </w:r>
      <w:r w:rsidR="00466124">
        <w:rPr>
          <w:color w:val="auto"/>
          <w:lang w:val="en-GB"/>
        </w:rPr>
        <w:t>participants’ diet</w:t>
      </w:r>
      <w:r w:rsidRPr="009949B9">
        <w:rPr>
          <w:color w:val="auto"/>
          <w:lang w:val="en-GB"/>
        </w:rPr>
        <w:t xml:space="preserve"> and physical activity. The Choose Change project had a specific psychological component, and although not everyone liked this (see comment in ‘Barriers’ section above), the evaluation suggested this was an important part of the programme.</w:t>
      </w:r>
    </w:p>
    <w:p w:rsidR="00905EEF" w:rsidRPr="009949B9" w:rsidRDefault="00905EEF" w:rsidP="00905EEF">
      <w:pPr>
        <w:pStyle w:val="Heading4"/>
        <w:rPr>
          <w:color w:val="auto"/>
          <w:lang w:val="en-GB"/>
        </w:rPr>
      </w:pPr>
      <w:r w:rsidRPr="009949B9">
        <w:rPr>
          <w:color w:val="auto"/>
          <w:lang w:val="en-GB"/>
        </w:rPr>
        <w:t>Tailored support for practices</w:t>
      </w:r>
    </w:p>
    <w:p w:rsidR="00905EEF" w:rsidRPr="009949B9" w:rsidRDefault="00905EEF" w:rsidP="00BA503C">
      <w:pPr>
        <w:pStyle w:val="NoSpacing"/>
        <w:rPr>
          <w:color w:val="auto"/>
          <w:lang w:val="en-GB"/>
        </w:rPr>
      </w:pPr>
      <w:r w:rsidRPr="009949B9">
        <w:rPr>
          <w:color w:val="auto"/>
          <w:lang w:val="en-GB"/>
        </w:rPr>
        <w:t xml:space="preserve">Tailoring the degree </w:t>
      </w:r>
      <w:r w:rsidR="00466124">
        <w:rPr>
          <w:color w:val="auto"/>
          <w:lang w:val="en-GB"/>
        </w:rPr>
        <w:t>of</w:t>
      </w:r>
      <w:r w:rsidRPr="009949B9">
        <w:rPr>
          <w:color w:val="auto"/>
          <w:lang w:val="en-GB"/>
        </w:rPr>
        <w:t xml:space="preserve"> support for GP </w:t>
      </w:r>
      <w:r w:rsidR="00466124">
        <w:rPr>
          <w:color w:val="auto"/>
          <w:lang w:val="en-GB"/>
        </w:rPr>
        <w:t>p</w:t>
      </w:r>
      <w:r w:rsidRPr="009949B9">
        <w:rPr>
          <w:color w:val="auto"/>
          <w:lang w:val="en-GB"/>
        </w:rPr>
        <w:t>ractices was highlighted as a facilitator for implementat</w:t>
      </w:r>
      <w:r w:rsidR="00466124">
        <w:rPr>
          <w:color w:val="auto"/>
          <w:lang w:val="en-GB"/>
        </w:rPr>
        <w:t>ion in the Energised Practices p</w:t>
      </w:r>
      <w:r w:rsidRPr="009949B9">
        <w:rPr>
          <w:color w:val="auto"/>
          <w:lang w:val="en-GB"/>
        </w:rPr>
        <w:t>roject. Light involvement was needed for practices that have well-established processes</w:t>
      </w:r>
      <w:r w:rsidR="00466124">
        <w:rPr>
          <w:color w:val="auto"/>
          <w:lang w:val="en-GB"/>
        </w:rPr>
        <w:t xml:space="preserve">, whereas </w:t>
      </w:r>
      <w:r w:rsidRPr="009949B9">
        <w:rPr>
          <w:color w:val="auto"/>
          <w:lang w:val="en-GB"/>
        </w:rPr>
        <w:t xml:space="preserve">more enhanced support </w:t>
      </w:r>
      <w:r w:rsidR="00466124">
        <w:rPr>
          <w:color w:val="auto"/>
          <w:lang w:val="en-GB"/>
        </w:rPr>
        <w:t>wa</w:t>
      </w:r>
      <w:r w:rsidRPr="009949B9">
        <w:rPr>
          <w:color w:val="auto"/>
          <w:lang w:val="en-GB"/>
        </w:rPr>
        <w:t xml:space="preserve">s required for practices </w:t>
      </w:r>
      <w:r w:rsidR="00466124">
        <w:rPr>
          <w:color w:val="auto"/>
          <w:lang w:val="en-GB"/>
        </w:rPr>
        <w:t>with</w:t>
      </w:r>
      <w:r w:rsidRPr="009949B9">
        <w:rPr>
          <w:color w:val="auto"/>
          <w:lang w:val="en-GB"/>
        </w:rPr>
        <w:t xml:space="preserve"> staff that </w:t>
      </w:r>
      <w:r w:rsidR="00466124">
        <w:rPr>
          <w:color w:val="auto"/>
          <w:lang w:val="en-GB"/>
        </w:rPr>
        <w:t>we</w:t>
      </w:r>
      <w:r w:rsidRPr="009949B9">
        <w:rPr>
          <w:color w:val="auto"/>
          <w:lang w:val="en-GB"/>
        </w:rPr>
        <w:t>re not confident to deliver a clear and consistent effort.</w:t>
      </w:r>
    </w:p>
    <w:p w:rsidR="00905EEF" w:rsidRPr="009949B9" w:rsidRDefault="00905EEF" w:rsidP="00905EEF">
      <w:pPr>
        <w:pStyle w:val="Heading4"/>
        <w:rPr>
          <w:color w:val="auto"/>
          <w:lang w:val="en-GB"/>
        </w:rPr>
      </w:pPr>
      <w:r w:rsidRPr="009949B9">
        <w:rPr>
          <w:color w:val="auto"/>
          <w:lang w:val="en-GB"/>
        </w:rPr>
        <w:t>Resources</w:t>
      </w:r>
    </w:p>
    <w:p w:rsidR="00905EEF" w:rsidRPr="009949B9" w:rsidRDefault="00905EEF" w:rsidP="00BA503C">
      <w:pPr>
        <w:pStyle w:val="NoSpacing"/>
        <w:rPr>
          <w:color w:val="auto"/>
          <w:lang w:val="en-GB"/>
        </w:rPr>
      </w:pPr>
      <w:r w:rsidRPr="009949B9">
        <w:rPr>
          <w:color w:val="auto"/>
          <w:lang w:val="en-GB"/>
        </w:rPr>
        <w:t xml:space="preserve">Projects used a range of different resources. Feedback showed that it was important that these have clear messaging, are easy to read, and have creative presentation. Popular resources were ones that </w:t>
      </w:r>
      <w:r w:rsidR="00466124">
        <w:rPr>
          <w:color w:val="auto"/>
          <w:lang w:val="en-GB"/>
        </w:rPr>
        <w:t>covered: how to</w:t>
      </w:r>
      <w:r w:rsidRPr="009949B9">
        <w:rPr>
          <w:color w:val="auto"/>
          <w:lang w:val="en-GB"/>
        </w:rPr>
        <w:t xml:space="preserve"> read food labels</w:t>
      </w:r>
      <w:r w:rsidR="00466124">
        <w:rPr>
          <w:color w:val="auto"/>
          <w:lang w:val="en-GB"/>
        </w:rPr>
        <w:t>;</w:t>
      </w:r>
      <w:r w:rsidRPr="009949B9">
        <w:rPr>
          <w:color w:val="auto"/>
          <w:lang w:val="en-GB"/>
        </w:rPr>
        <w:t xml:space="preserve"> portion sizes</w:t>
      </w:r>
      <w:r w:rsidR="00466124">
        <w:rPr>
          <w:color w:val="auto"/>
          <w:lang w:val="en-GB"/>
        </w:rPr>
        <w:t>;</w:t>
      </w:r>
      <w:r w:rsidRPr="009949B9">
        <w:rPr>
          <w:color w:val="auto"/>
          <w:lang w:val="en-GB"/>
        </w:rPr>
        <w:t xml:space="preserve"> local </w:t>
      </w:r>
      <w:r w:rsidR="00466124">
        <w:rPr>
          <w:color w:val="auto"/>
          <w:lang w:val="en-GB"/>
        </w:rPr>
        <w:t>physical activity</w:t>
      </w:r>
      <w:r w:rsidRPr="009949B9">
        <w:rPr>
          <w:color w:val="auto"/>
          <w:lang w:val="en-GB"/>
        </w:rPr>
        <w:t xml:space="preserve"> options</w:t>
      </w:r>
      <w:r w:rsidR="00466124">
        <w:rPr>
          <w:color w:val="auto"/>
          <w:lang w:val="en-GB"/>
        </w:rPr>
        <w:t xml:space="preserve">; </w:t>
      </w:r>
      <w:r w:rsidRPr="009949B9">
        <w:rPr>
          <w:color w:val="auto"/>
          <w:lang w:val="en-GB"/>
        </w:rPr>
        <w:t>how to plan a meal</w:t>
      </w:r>
      <w:r w:rsidR="00466124">
        <w:rPr>
          <w:color w:val="auto"/>
          <w:lang w:val="en-GB"/>
        </w:rPr>
        <w:t>; plus</w:t>
      </w:r>
      <w:r w:rsidRPr="009949B9">
        <w:rPr>
          <w:color w:val="auto"/>
          <w:lang w:val="en-GB"/>
        </w:rPr>
        <w:t xml:space="preserve"> information on sugary drinks and takeaways.</w:t>
      </w:r>
    </w:p>
    <w:p w:rsidR="00826217" w:rsidRPr="009949B9" w:rsidRDefault="00826217" w:rsidP="007F4BAD">
      <w:pPr>
        <w:pStyle w:val="NoSpacing"/>
        <w:rPr>
          <w:color w:val="auto"/>
          <w:lang w:val="en-GB"/>
        </w:rPr>
      </w:pPr>
      <w:r w:rsidRPr="009949B9">
        <w:rPr>
          <w:color w:val="auto"/>
          <w:lang w:val="en-GB"/>
        </w:rPr>
        <w:t>The Hawke’s Bay project utilised existing materials</w:t>
      </w:r>
      <w:r w:rsidR="007F4BAD" w:rsidRPr="009949B9">
        <w:rPr>
          <w:color w:val="auto"/>
          <w:lang w:val="en-GB"/>
        </w:rPr>
        <w:t xml:space="preserve"> (</w:t>
      </w:r>
      <w:r w:rsidR="0034188F">
        <w:rPr>
          <w:color w:val="auto"/>
          <w:lang w:val="en-GB"/>
        </w:rPr>
        <w:t>eg,</w:t>
      </w:r>
      <w:r w:rsidR="007F4BAD" w:rsidRPr="009949B9">
        <w:rPr>
          <w:color w:val="auto"/>
          <w:lang w:val="en-GB"/>
        </w:rPr>
        <w:t xml:space="preserve"> </w:t>
      </w:r>
      <w:r w:rsidR="00466124">
        <w:rPr>
          <w:color w:val="auto"/>
          <w:lang w:val="en-GB"/>
        </w:rPr>
        <w:t xml:space="preserve">the </w:t>
      </w:r>
      <w:r w:rsidR="007F4BAD" w:rsidRPr="009949B9">
        <w:rPr>
          <w:noProof/>
          <w:color w:val="auto"/>
          <w:lang w:val="en-GB"/>
        </w:rPr>
        <w:t>Diabetes New Zealand booklet</w:t>
      </w:r>
      <w:r w:rsidR="00466124">
        <w:rPr>
          <w:noProof/>
          <w:color w:val="auto"/>
          <w:lang w:val="en-GB"/>
        </w:rPr>
        <w:t>:</w:t>
      </w:r>
      <w:r w:rsidR="007F4BAD" w:rsidRPr="009949B9">
        <w:rPr>
          <w:noProof/>
          <w:color w:val="auto"/>
          <w:lang w:val="en-GB"/>
        </w:rPr>
        <w:t xml:space="preserve"> Diabetes and healthy food choices</w:t>
      </w:r>
      <w:r w:rsidR="00B50FC5" w:rsidRPr="009949B9">
        <w:rPr>
          <w:noProof/>
          <w:color w:val="auto"/>
          <w:lang w:val="en-GB"/>
        </w:rPr>
        <w:fldChar w:fldCharType="begin"/>
      </w:r>
      <w:r w:rsidR="00217FA0" w:rsidRPr="009949B9">
        <w:rPr>
          <w:noProof/>
          <w:color w:val="auto"/>
          <w:lang w:val="en-GB"/>
        </w:rPr>
        <w:instrText xml:space="preserve"> ADDIN ZOTERO_ITEM CSL_CITATION {"citationID":"7gBir6Bn","properties":{"formattedCitation":"{\\rtf \\super 4\\nosupersub{}}","plainCitation":"4"},"citationItems":[{"id":10172,"uris":["http://zotero.org/users/1878547/items/NJSZ9778"],"uri":["http://zotero.org/users/1878547/items/NJSZ9778"],"itemData":{"id":10172,"type":"article","title":"Diabetes and healthy food choices","publisher":"Diabetes New Zealand Inc.","URL":"http://www.diabetes.org.nz/__data/assets/pdf_file/0014/11741/Diabetes_and_healthy_food_choices_WEB.pdf","author":[{"family":"Diabetes New Zealand","given":""}],"issued":{"date-parts":[["2014",9]]},"accessed":{"date-parts":[["2016",6,24]]}}}],"schema":"https://github.com/citation-style-language/schema/raw/master/csl-citation.json"} </w:instrText>
      </w:r>
      <w:r w:rsidR="00B50FC5" w:rsidRPr="009949B9">
        <w:rPr>
          <w:noProof/>
          <w:color w:val="auto"/>
          <w:lang w:val="en-GB"/>
        </w:rPr>
        <w:fldChar w:fldCharType="separate"/>
      </w:r>
      <w:r w:rsidR="007F4BAD" w:rsidRPr="009949B9">
        <w:rPr>
          <w:rFonts w:cs="Arial"/>
          <w:color w:val="auto"/>
          <w:vertAlign w:val="superscript"/>
          <w:lang w:val="en-GB"/>
        </w:rPr>
        <w:t>4</w:t>
      </w:r>
      <w:r w:rsidR="00B50FC5" w:rsidRPr="009949B9">
        <w:rPr>
          <w:noProof/>
          <w:color w:val="auto"/>
          <w:lang w:val="en-GB"/>
        </w:rPr>
        <w:fldChar w:fldCharType="end"/>
      </w:r>
      <w:r w:rsidR="007F4BAD" w:rsidRPr="009949B9">
        <w:rPr>
          <w:color w:val="auto"/>
          <w:lang w:val="en-GB"/>
        </w:rPr>
        <w:t>)</w:t>
      </w:r>
      <w:r w:rsidRPr="009949B9">
        <w:rPr>
          <w:color w:val="auto"/>
          <w:lang w:val="en-GB"/>
        </w:rPr>
        <w:t>. P</w:t>
      </w:r>
      <w:r w:rsidR="00466124">
        <w:rPr>
          <w:color w:val="auto"/>
          <w:lang w:val="en-GB"/>
        </w:rPr>
        <w:t>N</w:t>
      </w:r>
      <w:r w:rsidRPr="009949B9">
        <w:rPr>
          <w:color w:val="auto"/>
          <w:lang w:val="en-GB"/>
        </w:rPr>
        <w:t xml:space="preserve">s commented positively on </w:t>
      </w:r>
      <w:r w:rsidRPr="009949B9">
        <w:rPr>
          <w:color w:val="auto"/>
          <w:szCs w:val="24"/>
          <w:lang w:val="en-GB"/>
        </w:rPr>
        <w:t xml:space="preserve">having access to a range of patient resources and </w:t>
      </w:r>
      <w:r w:rsidR="00466124">
        <w:rPr>
          <w:color w:val="auto"/>
          <w:szCs w:val="24"/>
          <w:lang w:val="en-GB"/>
        </w:rPr>
        <w:t xml:space="preserve">access </w:t>
      </w:r>
      <w:r w:rsidRPr="009949B9">
        <w:rPr>
          <w:color w:val="auto"/>
          <w:szCs w:val="24"/>
          <w:lang w:val="en-GB"/>
        </w:rPr>
        <w:t>to a nurse advisor and dietitian for additional support.</w:t>
      </w:r>
    </w:p>
    <w:p w:rsidR="00905EEF" w:rsidRPr="009949B9" w:rsidRDefault="00905EEF" w:rsidP="00905EEF">
      <w:pPr>
        <w:rPr>
          <w:rFonts w:ascii="Georgia" w:eastAsiaTheme="majorEastAsia" w:hAnsi="Georgia" w:cstheme="majorBidi"/>
          <w:b/>
          <w:bCs/>
          <w:color w:val="auto"/>
          <w:sz w:val="32"/>
          <w:szCs w:val="32"/>
          <w:lang w:val="en-GB"/>
        </w:rPr>
      </w:pPr>
      <w:r w:rsidRPr="009949B9">
        <w:rPr>
          <w:rFonts w:ascii="Georgia" w:hAnsi="Georgia"/>
          <w:color w:val="auto"/>
          <w:lang w:val="en-GB"/>
        </w:rPr>
        <w:br w:type="page"/>
      </w:r>
    </w:p>
    <w:p w:rsidR="00905EEF" w:rsidRPr="009949B9" w:rsidRDefault="00141080" w:rsidP="00034C96">
      <w:pPr>
        <w:pStyle w:val="Heading1"/>
      </w:pPr>
      <w:bookmarkStart w:id="19" w:name="_Toc465944121"/>
      <w:r w:rsidRPr="009949B9">
        <w:t>Section 3</w:t>
      </w:r>
      <w:r w:rsidR="00905EEF" w:rsidRPr="009949B9">
        <w:t>: Summary</w:t>
      </w:r>
      <w:r w:rsidRPr="009949B9">
        <w:t xml:space="preserve"> and implementation advice</w:t>
      </w:r>
      <w:bookmarkEnd w:id="19"/>
    </w:p>
    <w:p w:rsidR="00905EEF" w:rsidRPr="009949B9" w:rsidRDefault="00905EEF" w:rsidP="002B1917">
      <w:pPr>
        <w:pStyle w:val="NoSpacing"/>
        <w:rPr>
          <w:color w:val="auto"/>
          <w:lang w:val="en-GB"/>
        </w:rPr>
      </w:pPr>
      <w:r w:rsidRPr="009949B9">
        <w:rPr>
          <w:color w:val="auto"/>
          <w:lang w:val="en-GB"/>
        </w:rPr>
        <w:t>The projects outlined abov</w:t>
      </w:r>
      <w:r w:rsidR="00FD351B" w:rsidRPr="009949B9">
        <w:rPr>
          <w:color w:val="auto"/>
          <w:lang w:val="en-GB"/>
        </w:rPr>
        <w:t>e provide the healthcare sector</w:t>
      </w:r>
      <w:r w:rsidRPr="009949B9">
        <w:rPr>
          <w:color w:val="auto"/>
          <w:lang w:val="en-GB"/>
        </w:rPr>
        <w:t xml:space="preserve"> with important information regarding the implementation of interventions aimed at supporting self-management in people with long-term conditions </w:t>
      </w:r>
      <w:r w:rsidR="008056BE" w:rsidRPr="009949B9">
        <w:rPr>
          <w:color w:val="auto"/>
          <w:lang w:val="en-GB"/>
        </w:rPr>
        <w:t xml:space="preserve">and </w:t>
      </w:r>
      <w:r w:rsidR="00E34603">
        <w:rPr>
          <w:color w:val="auto"/>
          <w:lang w:val="en-GB"/>
        </w:rPr>
        <w:t xml:space="preserve">at </w:t>
      </w:r>
      <w:r w:rsidR="008056BE" w:rsidRPr="009949B9">
        <w:rPr>
          <w:color w:val="auto"/>
          <w:lang w:val="en-GB"/>
        </w:rPr>
        <w:t xml:space="preserve">preventing </w:t>
      </w:r>
      <w:r w:rsidR="00E34603">
        <w:rPr>
          <w:color w:val="auto"/>
          <w:lang w:val="en-GB"/>
        </w:rPr>
        <w:t>t</w:t>
      </w:r>
      <w:r w:rsidR="008056BE" w:rsidRPr="009949B9">
        <w:rPr>
          <w:color w:val="auto"/>
          <w:lang w:val="en-GB"/>
        </w:rPr>
        <w:t>ype 2 diabetes.</w:t>
      </w:r>
    </w:p>
    <w:p w:rsidR="00905EEF" w:rsidRPr="009949B9" w:rsidRDefault="00155F16" w:rsidP="002B1917">
      <w:pPr>
        <w:pStyle w:val="NoSpacing"/>
        <w:rPr>
          <w:color w:val="auto"/>
          <w:lang w:val="en-GB"/>
        </w:rPr>
      </w:pPr>
      <w:r w:rsidRPr="009949B9">
        <w:rPr>
          <w:color w:val="auto"/>
          <w:lang w:val="en-GB"/>
        </w:rPr>
        <w:t>Three</w:t>
      </w:r>
      <w:r w:rsidR="00905EEF" w:rsidRPr="009949B9">
        <w:rPr>
          <w:color w:val="auto"/>
          <w:lang w:val="en-GB"/>
        </w:rPr>
        <w:t xml:space="preserve"> of the diabetes projects demonstrated beneficial outcomes of the programmes. The SCSM programmes demonstrated changes in </w:t>
      </w:r>
      <w:r w:rsidR="00105C18" w:rsidRPr="009949B9">
        <w:rPr>
          <w:color w:val="auto"/>
          <w:lang w:val="en-GB"/>
        </w:rPr>
        <w:t>patients’</w:t>
      </w:r>
      <w:r w:rsidR="00905EEF" w:rsidRPr="009949B9">
        <w:rPr>
          <w:color w:val="auto"/>
          <w:lang w:val="en-GB"/>
        </w:rPr>
        <w:t xml:space="preserve"> health literacy and self-management skills</w:t>
      </w:r>
      <w:r w:rsidR="00627220" w:rsidRPr="009949B9">
        <w:rPr>
          <w:color w:val="auto"/>
          <w:lang w:val="en-GB"/>
        </w:rPr>
        <w:t>. Although these pilot projects were unable to show</w:t>
      </w:r>
      <w:r w:rsidR="00EF50EA" w:rsidRPr="009949B9">
        <w:rPr>
          <w:color w:val="auto"/>
          <w:lang w:val="en-GB"/>
        </w:rPr>
        <w:t xml:space="preserve"> benefits in</w:t>
      </w:r>
      <w:r w:rsidR="00905EEF" w:rsidRPr="009949B9">
        <w:rPr>
          <w:color w:val="auto"/>
          <w:lang w:val="en-GB"/>
        </w:rPr>
        <w:t xml:space="preserve"> health outcomes</w:t>
      </w:r>
      <w:r w:rsidR="00627220" w:rsidRPr="009949B9">
        <w:rPr>
          <w:color w:val="auto"/>
          <w:lang w:val="en-GB"/>
        </w:rPr>
        <w:t xml:space="preserve">, there </w:t>
      </w:r>
      <w:r w:rsidR="00BE2682">
        <w:rPr>
          <w:color w:val="auto"/>
          <w:lang w:val="en-GB"/>
        </w:rPr>
        <w:t>is</w:t>
      </w:r>
      <w:r w:rsidR="00627220" w:rsidRPr="009949B9">
        <w:rPr>
          <w:color w:val="auto"/>
          <w:lang w:val="en-GB"/>
        </w:rPr>
        <w:t xml:space="preserve"> data to show that such programmes </w:t>
      </w:r>
      <w:r w:rsidR="00BA24E8" w:rsidRPr="009949B9">
        <w:rPr>
          <w:color w:val="auto"/>
          <w:lang w:val="en-GB"/>
        </w:rPr>
        <w:t xml:space="preserve">can </w:t>
      </w:r>
      <w:r w:rsidR="00627220" w:rsidRPr="009949B9">
        <w:rPr>
          <w:color w:val="auto"/>
          <w:lang w:val="en-GB"/>
        </w:rPr>
        <w:t>produce positive outcomes</w:t>
      </w:r>
      <w:r w:rsidR="00BE2682">
        <w:rPr>
          <w:color w:val="auto"/>
          <w:lang w:val="en-GB"/>
        </w:rPr>
        <w:t xml:space="preserve">. </w:t>
      </w:r>
      <w:r w:rsidR="00B50FC5" w:rsidRPr="009949B9">
        <w:rPr>
          <w:color w:val="auto"/>
          <w:lang w:val="en-GB"/>
        </w:rPr>
        <w:fldChar w:fldCharType="begin"/>
      </w:r>
      <w:r w:rsidR="00217FA0" w:rsidRPr="009949B9">
        <w:rPr>
          <w:color w:val="auto"/>
          <w:lang w:val="en-GB"/>
        </w:rPr>
        <w:instrText xml:space="preserve"> ADDIN ZOTERO_ITEM CSL_CITATION {"citationID":"2pn2j9gdpi","properties":{"formattedCitation":"{\\rtf \\super 5\\uc0\\u8211{}7\\nosupersub{}}","plainCitation":"5–7"},"citationItems":[{"id":13915,"uris":["http://zotero.org/users/1878547/items/MJVAJHA7"],"uri":["http://zotero.org/users/1878547/items/MJVAJHA7"],"itemData":{"id":13915,"type":"article-journal","title":"Self-management support interventions to reduce health care utilisation without compromising outcomes: a systematic review and meta-analysis","container-title":"BMC health services research","page":"356","volume":"14","source":"PubMed","abstract":"BACKGROUND: There is increasing interest in the role of 'self-management' interventions to support the management of long-term conditions in health service settings. Self-management may include patient education, support for decision-making, self-monitoring and psychological and social support. Self-management support has potential to improve the efficiency of health services by reducing other forms of utilisation (such as primary care or hospital use), but a shift to self-management may lead to negative outcomes, such as patients who feel more anxious about their health, are less able to cope, or who receive worse quality of care, all of which may impact on their health and quality of life. We sought to determine which models of self-management support are associated with significant reductions in health services utilisation without compromising outcomes among patients with long-term conditions.\nMETHODS: We used systematic review with meta-analysis. We included randomised controlled trials in patients with long-term conditions which included self-management support interventions and reported measures of service utilisation or costs, as well as measures of health outcomes (standardized disease specific quality of life, generic quality of life, or depression/anxiety).We searched multiple databases (CENTRAL, CINAHL, Econlit, EMBASE, HEED, MEDLINE, NHS EED and PsycINFO) and the reference lists of published reviews. We calculated effects sizes for both outcomes and costs, and presented the results in permutation plots, as well as conventional meta-analyses.\nRESULTS: We included 184 studies. Self-management support was associated with small but significant improvements in health outcomes, with the best evidence of effectiveness in patients with diabetic, respiratory, cardiovascular and mental health conditions. Only a minority of self-management support interventions reported reductions in health care utilisation in association with decrements in health. Evidence for reductions in utilisation associated with self-management support was strongest in respiratory and cardiovascular problems. Studies at higher risk of bias were more likely to report benefits.\nCONCLUSIONS: Self-management support interventions can reduce health service utilization without compromising patient health outcomes, although effects were generally small, and the evidence was strongest in respiratory and cardiovascular disorders. Further work is needed to determine which components of self-management support are most effective.","DOI":"10.1186/1472-6963-14-356","ISSN":"1472-6963","note":"PMID: 25164529\nPMCID: PMC4177163","shortTitle":"Self-management support interventions to reduce health care utilisation without compromising outcomes","journalAbbreviation":"BMC Health Serv Res","language":"eng","author":[{"family":"Panagioti","given":"Maria"},{"family":"Richardson","given":"Gerry"},{"family":"Small","given":"Nicola"},{"family":"Murray","given":"Elizabeth"},{"family":"Rogers","given":"Anne"},{"family":"Kennedy","given":"Anne"},{"family":"Newman","given":"Stanton"},{"family":"Bower","given":"Peter"}],"issued":{"date-parts":[["2014"]]},"PMID":"25164529","PMCID":"PMC4177163"}},{"id":13913,"uris":["http://zotero.org/users/1878547/items/G6DS9UMK"],"uri":["http://zotero.org/users/1878547/items/G6DS9UMK"],"itemData":{"id":13913,"type":"article-journal","title":"Self-management education programmes by lay leaders for people with chronic conditions","container-title":"The Cochrane Database of Systematic Reviews","page":"CD005108","issue":"4","source":"PubMed","abstract":"BACKGROUND: Lay-led self-management programmes are becoming widespread in the attempt to promote self-care for people with chronic conditions.\nOBJECTIVES: To assess systematically the effectiveness of lay-led self-management programmes for people with chronic conditions.\nSEARCH STRATEGY: We searched: the Cochrane Central Register of Controlled Trials (CENTRAL, The Cochrane Library 2005, Issue 1), MEDLINE (January 1986 to May 2006), EMBASE (January 1986 to June 2006), AMED (January 1986 to June 2006), CINAHL (January 1986 to June 2006), DARE (1994 to July 2006, National Research Register (2000 to July 2006), NHS Economic Evaluations Database (1994 to July 2006), PsycINFO (January 1986 to June 2006), Science Citation Index (January 1986 to July 2006), reference lists and forward citation tracking of included studies. We contacted principal investigators and experts in the field. There were no language restrictions.\nSELECTION CRITERIA: Randomised controlled trials (RCTs) comparing structured lay-led self-management education programmes for chronic conditions against no intervention or clinician-led programmes.\nDATA COLLECTION AND ANALYSIS: Two authors independently assessed trial quality and extracted data. We contacted study authors for additional information. Results of RCTs were pooled using a random-effects model with standardised mean differences (SMDs) or weighted mean differences (WMDs) for continuous outcomes.\nMAIN RESULTS: We included seventeen trials involving 7442 participants. The interventions shared similar structures and components but studies showed heterogeneity in conditions studied, outcomes collected and effects. There were no studies of children and adolescents, only one study provided data on outcomes beyond six months, and only two studies reported clinical outcomes.\nPRIMARY OUTCOMES: Health status: There was a small, statistically-significant reduction in: pain (11 studies, SMD -0.10 (95% confidence interval (CI) -0.17 to -0.04)); disability (8 studies, SMD -0.15 (95% CI -0.25 to -0.05); and fatigue (7 studies, SMD -0.16 (95% CI -0.23 to -0.09); and small, statistically-significant improvement in depression (6 studies, SMD -0.16 95% CI -0.24 to -0.07). There was a small (but not statistically- or clinically-significant) improvement in psychological well-being (5 studies; SMD -0.12 (95% CI -0.33 to 0.09)); but no difference between groups for health-related quality of life (3 studies; WMD -0.03 (95% CI -0.09 to 0.02). Six studies showed a statistically-significant improvement in self-rated general health (WMD -0.20 (95% CI -0.31 to -0.10). Health behaviours: 7 studies showed a small, statistically-significant increase in self-reported aerobic exercise (SMD -0.20 (95% CI -0.27 to -0.12)) and a moderate increase in cognitive symptom management (4 studies, WMD -0.55 ( 95% CI -0.85 to -0.26)). Healthcare use: There were no statistically-significant differences between groups in physician or general practitioner attendance (9 studies; SMD -0.03 (95% CI -0.09 to 0.04)). There were also no statistically-significant differences between groups for days/nights spent in hospital (6 studies; WMD -0.32 (95% CI -0.71 to 0.07)). Self-efficacy: (confidence to manage condition) showed a small statistically-significant improvement (10 studies): SMD -0.30, 95% CI -0.41 to -0.19. No adverse events were reported in any of the studies.\nAUTHORS' CONCLUSIONS: Lay-led self-management education programmes may lead to small, short-term improvements in participants' self-efficacy, self-rated health, cognitive symptom management, and frequency of aerobic exercise. There is currently no evidence to suggest that such programmes improve psychological health, symptoms or health-related quality of life, or that they significantly alter healthcare use. Future research on such interventions should explore longer term outcomes, their effect on clinical measures of disease and their potential role in children and adolescents.","DOI":"10.1002/14651858.CD005108.pub2","ISSN":"1469-493X","note":"PMID: 17943839","journalAbbreviation":"Cochrane Database Syst Rev","language":"eng","author":[{"family":"Foster","given":"G."},{"family":"Taylor","given":"S. J. C."},{"family":"Eldridge","given":"S. E."},{"family":"Ramsay","given":"J."},{"family":"Griffiths","given":"C. J."}],"issued":{"date-parts":[["2007"]]},"PMID":"17943839"}},{"id":13911,"uris":["http://zotero.org/users/1878547/items/VZPWXSVS"],"uri":["http://zotero.org/users/1878547/items/VZPWXSVS"],"itemData":{"id":13911,"type":"article-journal","title":"Group based training for self-management strategies in people with type 2 diabetes mellitus","container-title":"The Cochrane Database of Systematic Reviews","page":"CD003417","issue":"2","source":"PubMed","abstract":"BACKGROUND: It has been recognised that adoption of self-management skills by the person with diabetes is necessary in order to manage their diabetes. However, the most effective method for delivering education and teaching self-management skills is unclear.\nOBJECTIVES: To assess the effects of group-based, patient-centred training on clinical, lifestyle and psychosocial outcomes in people with type 2 diabetes.\nSEARCH STRATEGY: Studies were obtained from computerised searches of multiple electronic bibliographic databases, supplemented by hand searches of reference lists of articles, conference proceedings and consultation with experts in the field. Date of last search was February 2003.\nSELECTION CRITERIA: Randomised controlled and controlled clinical trials which evaluated group-based education programmes for adults with type 2 diabetes compared with routine treatment, waiting list control or no intervention. Studies were only included if the length of follow-up was six months or more and the intervention was at least one session with the minimum of six participants.\nDATA COLLECTION AND ANALYSIS: Two reviewers independently extracted data and assessed study quality. A meta-analysis was performed if there were enough homogeneous studies reporting an outcome at either four to six months, 12-14 months, or two years, otherwise the studies were summarised in a descriptive manner.\nMAIN RESULTS: Fourteen publications describing 11 studies were included involving 1532 participants. The results of the meta-analyses in favour of group-based diabetes education programmes were reduced glycated haemoglobin at four to six months (1.4%; 95% confidence interval (CI) 0.8 to 1.9; P &lt; 0.00001), at 12-14 months (0.8%; 95% CI 0.7 to 1.0; P &lt; 0.00001) and two years (1.0%; 95% CI 0.5 to 1.4; P &lt; 0.00001); reduced fasting blood glucose levels at 12 months (1.2 mmol/L; 95% CI 0.7 to 1.6; P &lt; 0.00001); reduced body weight at 12-14 months (1.6 Kg; 95% CI 0.3 to 3.0; P = 0.02); improved diabetes knowledge at 12-14 months (SMD 1.0; 95% CI 0.7 to 1.2; P &lt; 0.00001) and reduced systolic blood pressure at four to six months (5 mmHg: 95% CI 1 to 10; P = 0.01). There was also a reduced need for diabetes medication (odds ratio 11.8, 95% CI 5.2 to 26.9; P &lt; 0.00001; RD = 0.2; NNT = 5). Therefore, for every five patients attending a group-based education programme we could expect one patient to reduce diabetes medication.\nAUTHORS' CONCLUSIONS: Group-based training for self-management strategies in people with type 2 diabetes is effective by improving fasting blood glucose levels, glycated haemoglobin and diabetes knowledge and reducing systolic blood pressure levels, body weight and the requirement for diabetes medication.","DOI":"10.1002/14651858.CD003417.pub2","ISSN":"1469-493X","note":"PMID: 15846663","journalAbbreviation":"Cochrane Database Syst Rev","language":"eng","author":[{"family":"Deakin","given":"T."},{"family":"McShane","given":"C. E."},{"family":"Cade","given":"J. E."},{"family":"Williams","given":"R. D. R. R."}],"issued":{"date-parts":[["2005"]]},"PMID":"15846663"}}],"schema":"https://github.com/citation-style-language/schema/raw/master/csl-citation.json"} </w:instrText>
      </w:r>
      <w:r w:rsidR="00B50FC5" w:rsidRPr="009949B9">
        <w:rPr>
          <w:color w:val="auto"/>
          <w:lang w:val="en-GB"/>
        </w:rPr>
        <w:fldChar w:fldCharType="separate"/>
      </w:r>
      <w:r w:rsidR="00217FA0" w:rsidRPr="009949B9">
        <w:rPr>
          <w:color w:val="auto"/>
          <w:szCs w:val="24"/>
          <w:vertAlign w:val="superscript"/>
          <w:lang w:val="en-GB"/>
        </w:rPr>
        <w:t>5–7</w:t>
      </w:r>
      <w:r w:rsidR="00B50FC5" w:rsidRPr="009949B9">
        <w:rPr>
          <w:color w:val="auto"/>
          <w:lang w:val="en-GB"/>
        </w:rPr>
        <w:fldChar w:fldCharType="end"/>
      </w:r>
      <w:r w:rsidR="00BA24E8" w:rsidRPr="009949B9">
        <w:rPr>
          <w:color w:val="auto"/>
          <w:lang w:val="en-GB"/>
        </w:rPr>
        <w:t xml:space="preserve"> </w:t>
      </w:r>
      <w:r w:rsidR="00BE2682">
        <w:rPr>
          <w:color w:val="auto"/>
          <w:lang w:val="en-GB"/>
        </w:rPr>
        <w:t>However,</w:t>
      </w:r>
      <w:r w:rsidR="0052588F" w:rsidRPr="009949B9">
        <w:rPr>
          <w:color w:val="auto"/>
          <w:lang w:val="en-GB"/>
        </w:rPr>
        <w:t xml:space="preserve"> some trials that have attempted to embed s</w:t>
      </w:r>
      <w:r w:rsidR="00E34603">
        <w:rPr>
          <w:color w:val="auto"/>
          <w:lang w:val="en-GB"/>
        </w:rPr>
        <w:t xml:space="preserve">elf-management programmes in a </w:t>
      </w:r>
      <w:r w:rsidR="0052588F" w:rsidRPr="009949B9">
        <w:rPr>
          <w:color w:val="auto"/>
          <w:lang w:val="en-GB"/>
        </w:rPr>
        <w:t>real life setting have not replicated their effectiveness.</w:t>
      </w:r>
      <w:r w:rsidR="00B50FC5" w:rsidRPr="00A97778">
        <w:rPr>
          <w:color w:val="auto"/>
          <w:szCs w:val="24"/>
          <w:vertAlign w:val="superscript"/>
          <w:lang w:val="en-GB"/>
        </w:rPr>
        <w:fldChar w:fldCharType="begin"/>
      </w:r>
      <w:r w:rsidR="00102A29" w:rsidRPr="00A97778">
        <w:rPr>
          <w:color w:val="auto"/>
          <w:szCs w:val="24"/>
          <w:vertAlign w:val="superscript"/>
          <w:lang w:val="en-GB"/>
        </w:rPr>
        <w:instrText xml:space="preserve"> ADDIN ZOTERO_ITEM CSL_CITATION {"citationID":"1au5jhk6u4","properties":{"formattedCitation":"{\\rtf \\super 8,9\\nosupersub{}}","plainCitation":"8,9"},"citationItems":[{"id":13920,"uris":["http://zotero.org/users/1878547/items/RFQQUM3G"],"uri":["http://zotero.org/users/1878547/items/RFQQUM3G"],"itemData":{"id":13920,"type":"article-journal","title":"Implementation of self management support for long term conditions in routine primary care settings: cluster randomised controlled trial","container-title":"BMJ (Clinical research ed.)","page":"f2882","volume":"346","source":"PubMed","abstract":"OBJECTIVE: To determine the effectiveness of an intervention to enhance self management support for patients with chronic conditions in UK primary care.\nDESIGN: Pragmatic, two arm, cluster randomised controlled trial.\nSETTING: General practices, serving a population in northwest England with high levels of deprivation.\nPARTICIPANTS: 5599 patients with a diagnosis of diabetes (n=2546), chronic obstructive pulmonary disease (n=1634), and irritable bowel syndrome (n=1419) from 43 practices (19 intervention and 22 control practices).\nINTERVENTION: Practice level training in a whole systems approach to self management support. Practices were trained to use a range of resources: a tool to assess the support needs of patients, guidebooks on self management, and a web based directory of local self management resources. Training facilitators were employed by the health management organisation.\nMAIN OUTCOME MEASURES: Primary outcomes were shared decision making, self efficacy, and generic health related quality of life measured at 12 months. Secondary outcomes were general health, social or role limitations, energy and vitality, psychological wellbeing, self care activity, and enablement.\nRESULTS: We randomised 44 practices and recruited 5599 patients, representing 43% of the eligible population on the practice lists. 4533 patients (81.0%) completed the six month follow-up and 4076 (72.8%) the 12 month follow-up. No statistically significant differences were found between patients attending trained practices and those attending control practices on any of the primary or secondary outcomes. All effect size estimates were well below the prespecified threshold of clinically important difference.\nCONCLUSIONS: An intervention to enhance self management support in routine primary care did not add noticeable value to existing care for long term conditions. The active components required for effective self management support need to be better understood, both within primary care and in patients' everyday lives.\nTRIAL REGISTRATION: Current Controlled Trials ISRCTN90940049.","ISSN":"1756-1833","note":"PMID: 23670660\nPMCID: PMC3652644","shortTitle":"Implementation of self management support for long term conditions in routine primary care settings","journalAbbreviation":"BMJ","language":"eng","author":[{"family":"Kennedy","given":"Anne"},{"family":"Bower","given":"Peter"},{"family":"Reeves","given":"David"},{"family":"Blakeman","given":"Tom"},{"family":"Bowen","given":"Robert"},{"family":"Chew-Graham","given":"Carolyn"},{"family":"Eden","given":"Martin"},{"family":"Fullwood","given":"Catherine"},{"family":"Gaffney","given":"Hannah"},{"family":"Gardner","given":"Caroline"},{"family":"Lee","given":"Victoria"},{"family":"Morris","given":"Rebecca"},{"family":"Protheroe","given":"Joanne"},{"family":"Richardson","given":"Gerry"},{"family":"Sanders","given":"Caroline"},{"family":"Swallow","given":"Angela"},{"family":"Thompson","given":"David"},{"family":"Rogers","given":"Anne"},{"literal":"Salford National Institute for Health Research Gastrointestinal programme Grant Research Group"}],"issued":{"date-parts":[["2013"]]},"PMID":"23670660","PMCID":"PMC3652644"}},{"id":13918,"uris":["http://zotero.org/users/1878547/items/3F4S5FXZ"],"uri":["http://zotero.org/users/1878547/items/3F4S5FXZ"],"itemData":{"id":13918,"type":"article-journal","title":"Medical Assistant-Based Care Management for High-Risk Patients in Small Primary Care Practices: A Cluster Randomized Clinical Trial","container-title":"Annals of Internal Medicine","page":"323-330","volume":"164","issue":"5","source":"PubMed","abstract":"BACKGROUND: Patients with multiple chronic conditions are at high risk for potentially avoidable hospitalizations, which may be reduced by care coordination and self-management support. Medical assistants are an increasingly available resource for patient care in primary care practices.\nOBJECTIVE: To determine whether protocol-based care management delivered by medical assistants improves care in patients at high risk for future hospitalization in primary care.\nDESIGN: Two-year cluster randomized clinical trial. (Current Controlled Trials: ISRCTN56104508).\nSETTING: 115 primary care practices in Germany.\nPATIENTS: 2076 patients with type 2 diabetes, chronic obstructive pulmonary disease, or chronic heart failure and a likelihood of hospitalization in the upper quartile of the population, as predicted by an analysis of insurance data.\nINTERVENTION: Protocol-based care management, including structured assessment, action planning, and monitoring delivered by medical assistants, compared with usual care.\nMEASUREMENTS: All-cause hospitalizations at 12 months (primary outcome) and quality-of-life scores (12-Item Short Form Health Survey [SF-12] and EuroQol instrument [EQ-5D]).\nRESULTS: Included patients had an average of 4 co-occurring chronic conditions. All-cause hospitalizations did not differ between groups at 12 months (risk ratio [RR], 1.01 [95% CI, 0.87 to 1.18]) and 24 months (RR, 0.98 [CI, 0.85 to 1.12]). Quality of life (differences, 1.16 [CI, 0.24 to 2.08] on SF-12 physical component and 1.68 [CI, 0.60 to 2.77] on SF-12 mental component) and general health (difference on EQ-5D, 0.03 [CI, 0.00 to 0.05]) improved significantly at 24 months. Intervention costs totaled $10 per patient per month.\nLIMITATION: Small number of primary care practices and low intensity of intervention.\nCONCLUSION: This low-intensity intervention did not reduce all-cause hospitalizations but showed positive effects on quality of life at reasonable costs in high-risk multimorbid patients.\nPRIMARY FUNDING SOURCE: AOK Baden-Württemberg and AOK Bundesverband.","DOI":"10.7326/M14-2403","ISSN":"1539-3704","note":"PMID: 26833209","shortTitle":"Medical Assistant-Based Care Management for High-Risk Patients in Small Primary Care Practices","journalAbbreviation":"Ann. Intern. Med.","language":"eng","author":[{"family":"Freund","given":"Tobias"},{"family":"Peters-Klimm","given":"Frank"},{"family":"Boyd","given":"Cynthia M."},{"family":"Mahler","given":"Cornelia"},{"family":"Gensichen","given":"Jochen"},{"family":"Erler","given":"Antje"},{"family":"Beyer","given":"Martin"},{"family":"Gondan","given":"Matthias"},{"family":"Rochon","given":"Justine"},{"family":"Gerlach","given":"Ferdinand M."},{"family":"Szecsenyi","given":"Joachim"}],"issued":{"date-parts":[["2016",3,1]]},"PMID":"26833209"}}],"schema":"https://github.com/citation-style-language/schema/raw/master/csl-citation.json"} </w:instrText>
      </w:r>
      <w:r w:rsidR="00B50FC5" w:rsidRPr="00A97778">
        <w:rPr>
          <w:color w:val="auto"/>
          <w:szCs w:val="24"/>
          <w:vertAlign w:val="superscript"/>
          <w:lang w:val="en-GB"/>
        </w:rPr>
        <w:fldChar w:fldCharType="separate"/>
      </w:r>
      <w:r w:rsidR="00102A29" w:rsidRPr="009949B9">
        <w:rPr>
          <w:color w:val="auto"/>
          <w:szCs w:val="24"/>
          <w:vertAlign w:val="superscript"/>
          <w:lang w:val="en-GB"/>
        </w:rPr>
        <w:t>8</w:t>
      </w:r>
      <w:r w:rsidR="00A97778">
        <w:rPr>
          <w:color w:val="auto"/>
          <w:szCs w:val="24"/>
          <w:vertAlign w:val="superscript"/>
          <w:lang w:val="en-GB"/>
        </w:rPr>
        <w:t>-9</w:t>
      </w:r>
      <w:r w:rsidR="00B50FC5" w:rsidRPr="00A97778">
        <w:rPr>
          <w:color w:val="auto"/>
          <w:szCs w:val="24"/>
          <w:vertAlign w:val="superscript"/>
          <w:lang w:val="en-GB"/>
        </w:rPr>
        <w:fldChar w:fldCharType="end"/>
      </w:r>
    </w:p>
    <w:p w:rsidR="00905EEF" w:rsidRPr="009949B9" w:rsidRDefault="00905EEF" w:rsidP="002B1917">
      <w:pPr>
        <w:pStyle w:val="NoSpacing"/>
        <w:rPr>
          <w:color w:val="auto"/>
          <w:lang w:val="en-GB"/>
        </w:rPr>
      </w:pPr>
      <w:r w:rsidRPr="009949B9">
        <w:rPr>
          <w:color w:val="auto"/>
          <w:lang w:val="en-GB"/>
        </w:rPr>
        <w:t>The models piloted in the diabetes projects demonstrate the potential beneficial impact on weight and diabetes management. These may provide useful models to assist people who want to lose weight, especially those with, or at risk of, diabetes.</w:t>
      </w:r>
    </w:p>
    <w:p w:rsidR="00905EEF" w:rsidRPr="009949B9" w:rsidRDefault="00905EEF" w:rsidP="002B1917">
      <w:pPr>
        <w:pStyle w:val="NoSpacing"/>
        <w:rPr>
          <w:color w:val="auto"/>
          <w:lang w:val="en-GB"/>
        </w:rPr>
      </w:pPr>
      <w:r w:rsidRPr="009949B9">
        <w:rPr>
          <w:color w:val="auto"/>
          <w:lang w:val="en-GB"/>
        </w:rPr>
        <w:t>Several of the SCSM programmes adopted ‘tried and tested’ models such as the Sta</w:t>
      </w:r>
      <w:r w:rsidR="00E34603">
        <w:rPr>
          <w:color w:val="auto"/>
          <w:lang w:val="en-GB"/>
        </w:rPr>
        <w:t>n</w:t>
      </w:r>
      <w:r w:rsidRPr="009949B9">
        <w:rPr>
          <w:color w:val="auto"/>
          <w:lang w:val="en-GB"/>
        </w:rPr>
        <w:t>ford self-management programme. One implemented a partnership model combining the clinical expertise of practice nurses with the community knowledge and accessibility of kaiawhina.</w:t>
      </w:r>
    </w:p>
    <w:p w:rsidR="00905EEF" w:rsidRPr="009949B9" w:rsidRDefault="00905EEF" w:rsidP="002B1917">
      <w:pPr>
        <w:pStyle w:val="NoSpacing"/>
        <w:rPr>
          <w:color w:val="auto"/>
          <w:lang w:val="en-GB"/>
        </w:rPr>
      </w:pPr>
      <w:r w:rsidRPr="009949B9">
        <w:rPr>
          <w:color w:val="auto"/>
          <w:lang w:val="en-GB"/>
        </w:rPr>
        <w:t xml:space="preserve">Modifying programmes is often necessary for local implementation to help make it relevant to </w:t>
      </w:r>
      <w:r w:rsidR="00E34603">
        <w:rPr>
          <w:color w:val="auto"/>
          <w:lang w:val="en-GB"/>
        </w:rPr>
        <w:t>participants</w:t>
      </w:r>
      <w:r w:rsidRPr="009949B9">
        <w:rPr>
          <w:color w:val="auto"/>
          <w:lang w:val="en-GB"/>
        </w:rPr>
        <w:t xml:space="preserve"> (</w:t>
      </w:r>
      <w:r w:rsidR="0034188F">
        <w:rPr>
          <w:color w:val="auto"/>
          <w:lang w:val="en-GB"/>
        </w:rPr>
        <w:t>eg,</w:t>
      </w:r>
      <w:r w:rsidRPr="009949B9">
        <w:rPr>
          <w:color w:val="auto"/>
          <w:lang w:val="en-GB"/>
        </w:rPr>
        <w:t xml:space="preserve"> making it ethnically appropriate). However</w:t>
      </w:r>
      <w:r w:rsidR="00E34603">
        <w:rPr>
          <w:color w:val="auto"/>
          <w:lang w:val="en-GB"/>
        </w:rPr>
        <w:t>,</w:t>
      </w:r>
      <w:r w:rsidRPr="009949B9">
        <w:rPr>
          <w:color w:val="auto"/>
          <w:lang w:val="en-GB"/>
        </w:rPr>
        <w:t xml:space="preserve"> care should be taken to ensure that changes to the structure do not diminish the outcomes of an established model. For exa</w:t>
      </w:r>
      <w:r w:rsidR="00E34603">
        <w:rPr>
          <w:color w:val="auto"/>
          <w:lang w:val="en-GB"/>
        </w:rPr>
        <w:t>mple, the Alliance Health Plus p</w:t>
      </w:r>
      <w:r w:rsidRPr="009949B9">
        <w:rPr>
          <w:color w:val="auto"/>
          <w:lang w:val="en-GB"/>
        </w:rPr>
        <w:t>roject reduced the Stanford programme from six to four sessions, but maintained the same content. The risk of such an approach is that the group</w:t>
      </w:r>
      <w:r w:rsidR="00E34603">
        <w:rPr>
          <w:color w:val="auto"/>
          <w:lang w:val="en-GB"/>
        </w:rPr>
        <w:t xml:space="preserve"> becomes more therapist (nurse)-oriented</w:t>
      </w:r>
      <w:r w:rsidRPr="009949B9">
        <w:rPr>
          <w:color w:val="auto"/>
          <w:lang w:val="en-GB"/>
        </w:rPr>
        <w:t>, i</w:t>
      </w:r>
      <w:r w:rsidR="00E34603">
        <w:rPr>
          <w:color w:val="auto"/>
          <w:lang w:val="en-GB"/>
        </w:rPr>
        <w:t>e,</w:t>
      </w:r>
      <w:r w:rsidRPr="009949B9">
        <w:rPr>
          <w:color w:val="auto"/>
          <w:lang w:val="en-GB"/>
        </w:rPr>
        <w:t xml:space="preserve"> didactic in nature, which limits the interaction between peers. </w:t>
      </w:r>
    </w:p>
    <w:p w:rsidR="00905EEF" w:rsidRPr="009949B9" w:rsidRDefault="00905EEF" w:rsidP="002B1917">
      <w:pPr>
        <w:pStyle w:val="NoSpacing"/>
        <w:rPr>
          <w:color w:val="auto"/>
          <w:lang w:val="en-GB"/>
        </w:rPr>
      </w:pPr>
      <w:r w:rsidRPr="009949B9">
        <w:rPr>
          <w:color w:val="auto"/>
          <w:lang w:val="en-GB"/>
        </w:rPr>
        <w:t xml:space="preserve">The importance of peer-to-peer or social support was a recurring theme across the majority of the project evaluations. It was seen </w:t>
      </w:r>
      <w:r w:rsidR="00E34603">
        <w:rPr>
          <w:color w:val="auto"/>
          <w:lang w:val="en-GB"/>
        </w:rPr>
        <w:t xml:space="preserve">as </w:t>
      </w:r>
      <w:r w:rsidRPr="009949B9">
        <w:rPr>
          <w:color w:val="auto"/>
          <w:lang w:val="en-GB"/>
        </w:rPr>
        <w:t>an important factor in programmes that facilitated social support, and desirable in the projects that did not have it. Future programmes should aim to build and enhance social support into their programmes.</w:t>
      </w:r>
    </w:p>
    <w:p w:rsidR="00905EEF" w:rsidRPr="009949B9" w:rsidRDefault="00905EEF" w:rsidP="002B1917">
      <w:pPr>
        <w:pStyle w:val="NoSpacing"/>
        <w:rPr>
          <w:color w:val="auto"/>
          <w:lang w:val="en-GB"/>
        </w:rPr>
      </w:pPr>
      <w:r w:rsidRPr="009949B9">
        <w:rPr>
          <w:color w:val="auto"/>
          <w:lang w:val="en-GB"/>
        </w:rPr>
        <w:t>Another important factor in the provision of treatment programmes was flexibility. Programmes need to be responsive to the needs of the populations they are trying to serve. For example,</w:t>
      </w:r>
      <w:r w:rsidR="00E34603">
        <w:rPr>
          <w:color w:val="auto"/>
          <w:lang w:val="en-GB"/>
        </w:rPr>
        <w:t xml:space="preserve"> by operating o</w:t>
      </w:r>
      <w:r w:rsidRPr="009949B9">
        <w:rPr>
          <w:color w:val="auto"/>
          <w:lang w:val="en-GB"/>
        </w:rPr>
        <w:t xml:space="preserve">utside of normal working hours, </w:t>
      </w:r>
      <w:r w:rsidR="00E34603">
        <w:rPr>
          <w:color w:val="auto"/>
          <w:lang w:val="en-GB"/>
        </w:rPr>
        <w:t xml:space="preserve">providing </w:t>
      </w:r>
      <w:r w:rsidRPr="009949B9">
        <w:rPr>
          <w:color w:val="auto"/>
          <w:lang w:val="en-GB"/>
        </w:rPr>
        <w:t xml:space="preserve">pick-ups or home visits </w:t>
      </w:r>
      <w:r w:rsidR="00E34603">
        <w:rPr>
          <w:color w:val="auto"/>
          <w:lang w:val="en-GB"/>
        </w:rPr>
        <w:t xml:space="preserve">for patients </w:t>
      </w:r>
      <w:r w:rsidRPr="009949B9">
        <w:rPr>
          <w:color w:val="auto"/>
          <w:lang w:val="en-GB"/>
        </w:rPr>
        <w:t xml:space="preserve">that have no transport, </w:t>
      </w:r>
      <w:r w:rsidR="00E34603">
        <w:rPr>
          <w:color w:val="auto"/>
          <w:lang w:val="en-GB"/>
        </w:rPr>
        <w:t xml:space="preserve">and adapting </w:t>
      </w:r>
      <w:r w:rsidRPr="009949B9">
        <w:rPr>
          <w:color w:val="auto"/>
          <w:lang w:val="en-GB"/>
        </w:rPr>
        <w:t>to ethnic and age differences in terms of eating and physical activity behaviours.</w:t>
      </w:r>
    </w:p>
    <w:p w:rsidR="00905EEF" w:rsidRPr="009949B9" w:rsidRDefault="00905EEF" w:rsidP="002B1917">
      <w:pPr>
        <w:pStyle w:val="NoSpacing"/>
        <w:rPr>
          <w:color w:val="auto"/>
          <w:lang w:val="en-GB"/>
        </w:rPr>
      </w:pPr>
      <w:r w:rsidRPr="009949B9">
        <w:rPr>
          <w:color w:val="auto"/>
          <w:lang w:val="en-GB"/>
        </w:rPr>
        <w:t>One of the major barriers in implementing new programmes, especially those that sit outside the traditional medical model, is the slow change in healthcare professional behaviour in promoting</w:t>
      </w:r>
      <w:r w:rsidR="00E34603">
        <w:rPr>
          <w:color w:val="auto"/>
          <w:lang w:val="en-GB"/>
        </w:rPr>
        <w:t xml:space="preserve"> and referring people to</w:t>
      </w:r>
      <w:r w:rsidRPr="009949B9">
        <w:rPr>
          <w:color w:val="auto"/>
          <w:lang w:val="en-GB"/>
        </w:rPr>
        <w:t xml:space="preserve"> these programmes. </w:t>
      </w:r>
      <w:r w:rsidR="00EF63F7" w:rsidRPr="009949B9">
        <w:rPr>
          <w:color w:val="auto"/>
          <w:lang w:val="en-GB"/>
        </w:rPr>
        <w:t>In the smoking cessation field</w:t>
      </w:r>
      <w:r w:rsidR="00E34603">
        <w:rPr>
          <w:color w:val="auto"/>
          <w:lang w:val="en-GB"/>
        </w:rPr>
        <w:t>,</w:t>
      </w:r>
      <w:r w:rsidR="00EF63F7" w:rsidRPr="009949B9">
        <w:rPr>
          <w:color w:val="auto"/>
          <w:lang w:val="en-GB"/>
        </w:rPr>
        <w:t xml:space="preserve"> </w:t>
      </w:r>
      <w:r w:rsidRPr="009949B9">
        <w:rPr>
          <w:color w:val="auto"/>
          <w:lang w:val="en-GB"/>
        </w:rPr>
        <w:t>five key levers have demonstrated success in changing health care professional behaviour</w:t>
      </w:r>
      <w:r w:rsidR="00EF63F7" w:rsidRPr="009949B9">
        <w:rPr>
          <w:color w:val="auto"/>
          <w:lang w:val="en-GB"/>
        </w:rPr>
        <w:t>.</w:t>
      </w:r>
      <w:r w:rsidR="00B50FC5" w:rsidRPr="009949B9">
        <w:rPr>
          <w:color w:val="auto"/>
          <w:lang w:val="en-GB"/>
        </w:rPr>
        <w:fldChar w:fldCharType="begin"/>
      </w:r>
      <w:r w:rsidR="00102A29" w:rsidRPr="009949B9">
        <w:rPr>
          <w:color w:val="auto"/>
          <w:lang w:val="en-GB"/>
        </w:rPr>
        <w:instrText xml:space="preserve"> ADDIN ZOTERO_ITEM CSL_CITATION {"citationID":"1m9tutdis8","properties":{"formattedCitation":"{\\rtf \\super 10\\nosupersub{}}","plainCitation":"10"},"citationItems":[{"id":5596,"uris":["http://zotero.org/users/1878547/items/UFFME8BA"],"uri":["http://zotero.org/users/1878547/items/UFFME8BA"],"itemData":{"id":5596,"type":"report","title":"The New Zealand Guidelines for Helping People to Stop Smoking","publisher":"Ministry of Health","publisher-place":"Wellington, N.Z.","event-place":"Wellington, N.Z.","abstract":"The New Zealand Guidelines for Helping People to Stop Smoking","URL":"http://www.health.govt.nz/publication/new-zealand-guidelines-helping-people-stop-smoking","author":[{"family":"Ministry of Health","given":""}],"issued":{"date-parts":[["2014"]]},"accessed":{"date-parts":[["2016",2,15]]}}}],"schema":"https://github.com/citation-style-language/schema/raw/master/csl-citation.json"} </w:instrText>
      </w:r>
      <w:r w:rsidR="00B50FC5" w:rsidRPr="009949B9">
        <w:rPr>
          <w:color w:val="auto"/>
          <w:lang w:val="en-GB"/>
        </w:rPr>
        <w:fldChar w:fldCharType="separate"/>
      </w:r>
      <w:r w:rsidR="00102A29" w:rsidRPr="009949B9">
        <w:rPr>
          <w:color w:val="auto"/>
          <w:szCs w:val="24"/>
          <w:vertAlign w:val="superscript"/>
          <w:lang w:val="en-GB"/>
        </w:rPr>
        <w:t>10</w:t>
      </w:r>
      <w:r w:rsidR="00B50FC5" w:rsidRPr="009949B9">
        <w:rPr>
          <w:color w:val="auto"/>
          <w:lang w:val="en-GB"/>
        </w:rPr>
        <w:fldChar w:fldCharType="end"/>
      </w:r>
      <w:r w:rsidR="00EF63F7" w:rsidRPr="009949B9">
        <w:rPr>
          <w:color w:val="auto"/>
          <w:lang w:val="en-GB"/>
        </w:rPr>
        <w:t xml:space="preserve"> These are leadership, training, prompts and reminders</w:t>
      </w:r>
      <w:r w:rsidR="00E34603">
        <w:rPr>
          <w:color w:val="auto"/>
          <w:lang w:val="en-GB"/>
        </w:rPr>
        <w:t xml:space="preserve"> for systems and tools</w:t>
      </w:r>
      <w:r w:rsidR="00EF63F7" w:rsidRPr="009949B9">
        <w:rPr>
          <w:color w:val="auto"/>
          <w:lang w:val="en-GB"/>
        </w:rPr>
        <w:t>, audit and feedback,</w:t>
      </w:r>
      <w:r w:rsidRPr="009949B9">
        <w:rPr>
          <w:color w:val="auto"/>
          <w:lang w:val="en-GB"/>
        </w:rPr>
        <w:t xml:space="preserve"> and incentives)</w:t>
      </w:r>
      <w:r w:rsidR="00E34603">
        <w:rPr>
          <w:color w:val="auto"/>
          <w:lang w:val="en-GB"/>
        </w:rPr>
        <w:t>,</w:t>
      </w:r>
      <w:r w:rsidRPr="009949B9">
        <w:rPr>
          <w:color w:val="auto"/>
          <w:lang w:val="en-GB"/>
        </w:rPr>
        <w:t xml:space="preserve"> and are likely to work </w:t>
      </w:r>
      <w:r w:rsidR="00E34603">
        <w:rPr>
          <w:color w:val="auto"/>
          <w:lang w:val="en-GB"/>
        </w:rPr>
        <w:t>equally</w:t>
      </w:r>
      <w:r w:rsidRPr="009949B9">
        <w:rPr>
          <w:color w:val="auto"/>
          <w:lang w:val="en-GB"/>
        </w:rPr>
        <w:t xml:space="preserve"> well in managing people with long-term conditions. Indeed, most of the project evaluations identify some of these </w:t>
      </w:r>
      <w:r w:rsidR="00E34603">
        <w:rPr>
          <w:color w:val="auto"/>
          <w:lang w:val="en-GB"/>
        </w:rPr>
        <w:t xml:space="preserve">levers </w:t>
      </w:r>
      <w:r w:rsidRPr="009949B9">
        <w:rPr>
          <w:color w:val="auto"/>
          <w:lang w:val="en-GB"/>
        </w:rPr>
        <w:t>as facilitating factors in project implementation.</w:t>
      </w:r>
    </w:p>
    <w:p w:rsidR="00105C18" w:rsidRPr="009949B9" w:rsidRDefault="00905EEF" w:rsidP="009A6E13">
      <w:pPr>
        <w:pStyle w:val="NoSpacing"/>
        <w:rPr>
          <w:color w:val="auto"/>
          <w:lang w:val="en-GB"/>
        </w:rPr>
      </w:pPr>
      <w:r w:rsidRPr="009949B9">
        <w:rPr>
          <w:color w:val="auto"/>
          <w:lang w:val="en-GB"/>
        </w:rPr>
        <w:t>GPs/PNs have an important role to play in providing advice on making lifestyle changes. This was reflected in the comment from one participant in the Sport B</w:t>
      </w:r>
      <w:r w:rsidR="00E34603">
        <w:rPr>
          <w:color w:val="auto"/>
          <w:lang w:val="en-GB"/>
        </w:rPr>
        <w:t xml:space="preserve">ay </w:t>
      </w:r>
      <w:r w:rsidRPr="009949B9">
        <w:rPr>
          <w:color w:val="auto"/>
          <w:lang w:val="en-GB"/>
        </w:rPr>
        <w:t>o</w:t>
      </w:r>
      <w:r w:rsidR="00E34603">
        <w:rPr>
          <w:color w:val="auto"/>
          <w:lang w:val="en-GB"/>
        </w:rPr>
        <w:t xml:space="preserve">f </w:t>
      </w:r>
      <w:r w:rsidRPr="009949B9">
        <w:rPr>
          <w:color w:val="auto"/>
          <w:lang w:val="en-GB"/>
        </w:rPr>
        <w:t>P</w:t>
      </w:r>
      <w:r w:rsidR="00E34603">
        <w:rPr>
          <w:color w:val="auto"/>
          <w:lang w:val="en-GB"/>
        </w:rPr>
        <w:t>lenty</w:t>
      </w:r>
      <w:r w:rsidRPr="009949B9">
        <w:rPr>
          <w:color w:val="auto"/>
          <w:lang w:val="en-GB"/>
        </w:rPr>
        <w:t xml:space="preserve"> project </w:t>
      </w:r>
      <w:r w:rsidRPr="009949B9">
        <w:rPr>
          <w:i/>
          <w:color w:val="auto"/>
          <w:lang w:val="en-GB"/>
        </w:rPr>
        <w:t>“Everyone’s heard it before but when you get it from someone who</w:t>
      </w:r>
      <w:r w:rsidR="00E34603">
        <w:rPr>
          <w:i/>
          <w:color w:val="auto"/>
          <w:lang w:val="en-GB"/>
        </w:rPr>
        <w:t>’s</w:t>
      </w:r>
      <w:r w:rsidRPr="009949B9">
        <w:rPr>
          <w:i/>
          <w:color w:val="auto"/>
          <w:lang w:val="en-GB"/>
        </w:rPr>
        <w:t xml:space="preserve"> qualified…good when you have that sort of information</w:t>
      </w:r>
      <w:r w:rsidR="00E34603">
        <w:rPr>
          <w:i/>
          <w:color w:val="auto"/>
          <w:lang w:val="en-GB"/>
        </w:rPr>
        <w:t>..</w:t>
      </w:r>
      <w:r w:rsidRPr="009949B9">
        <w:rPr>
          <w:i/>
          <w:color w:val="auto"/>
          <w:lang w:val="en-GB"/>
        </w:rPr>
        <w:t>. Good to hear from a person.”</w:t>
      </w:r>
      <w:r w:rsidRPr="009949B9">
        <w:rPr>
          <w:color w:val="auto"/>
          <w:lang w:val="en-GB"/>
        </w:rPr>
        <w:t xml:space="preserve"> A diagnosis of pre-diabetes was seen as a trigger to make lifestyle changes. However</w:t>
      </w:r>
      <w:r w:rsidR="00E34603">
        <w:rPr>
          <w:color w:val="auto"/>
          <w:lang w:val="en-GB"/>
        </w:rPr>
        <w:t>,</w:t>
      </w:r>
      <w:r w:rsidRPr="009949B9">
        <w:rPr>
          <w:color w:val="auto"/>
          <w:lang w:val="en-GB"/>
        </w:rPr>
        <w:t xml:space="preserve"> it did not necessarily lead to an unders</w:t>
      </w:r>
      <w:r w:rsidR="00E34603">
        <w:rPr>
          <w:color w:val="auto"/>
          <w:lang w:val="en-GB"/>
        </w:rPr>
        <w:t>tanding of the risks. This most</w:t>
      </w:r>
      <w:r w:rsidRPr="009949B9">
        <w:rPr>
          <w:color w:val="auto"/>
          <w:lang w:val="en-GB"/>
        </w:rPr>
        <w:t xml:space="preserve"> likely reflects the lack of time that most GPs/PNs have to explain the implications of the diagnosis. There needs to be a step between diagnosis and referral that communicates some basic rationale for making a change in lifestyle. This step is like the brief advice component of smoking cessation and needs to convey the reason for making a change</w:t>
      </w:r>
      <w:r w:rsidR="00E34603">
        <w:rPr>
          <w:color w:val="auto"/>
          <w:lang w:val="en-GB"/>
        </w:rPr>
        <w:t>,</w:t>
      </w:r>
      <w:r w:rsidRPr="009949B9">
        <w:rPr>
          <w:color w:val="auto"/>
          <w:lang w:val="en-GB"/>
        </w:rPr>
        <w:t xml:space="preserve"> and perhaps more importantly</w:t>
      </w:r>
      <w:r w:rsidR="00E34603">
        <w:rPr>
          <w:color w:val="auto"/>
          <w:lang w:val="en-GB"/>
        </w:rPr>
        <w:t>,</w:t>
      </w:r>
      <w:r w:rsidRPr="009949B9">
        <w:rPr>
          <w:color w:val="auto"/>
          <w:lang w:val="en-GB"/>
        </w:rPr>
        <w:t xml:space="preserve"> how </w:t>
      </w:r>
      <w:r w:rsidR="00E34603">
        <w:rPr>
          <w:color w:val="auto"/>
          <w:lang w:val="en-GB"/>
        </w:rPr>
        <w:t>people</w:t>
      </w:r>
      <w:r w:rsidRPr="009949B9">
        <w:rPr>
          <w:color w:val="auto"/>
          <w:lang w:val="en-GB"/>
        </w:rPr>
        <w:t xml:space="preserve"> can be supported to do this.</w:t>
      </w:r>
      <w:r w:rsidR="00105C18" w:rsidRPr="009949B9">
        <w:rPr>
          <w:color w:val="auto"/>
          <w:lang w:val="en-GB"/>
        </w:rPr>
        <w:t xml:space="preserve"> </w:t>
      </w:r>
      <w:r w:rsidR="00005598" w:rsidRPr="009949B9">
        <w:rPr>
          <w:color w:val="auto"/>
          <w:lang w:val="en-GB"/>
        </w:rPr>
        <w:t xml:space="preserve">It is </w:t>
      </w:r>
      <w:r w:rsidR="00005598" w:rsidRPr="009949B9">
        <w:rPr>
          <w:rFonts w:cs="Calibri"/>
          <w:color w:val="auto"/>
          <w:szCs w:val="26"/>
          <w:lang w:val="en-GB"/>
        </w:rPr>
        <w:t>important</w:t>
      </w:r>
      <w:r w:rsidR="00105C18" w:rsidRPr="009949B9">
        <w:rPr>
          <w:rFonts w:cs="Calibri"/>
          <w:color w:val="auto"/>
          <w:szCs w:val="26"/>
          <w:lang w:val="en-GB"/>
        </w:rPr>
        <w:t xml:space="preserve"> to consider the packaged approach that fits best with the general workflow in primary health care. This includes risk communication as well as the management of </w:t>
      </w:r>
      <w:r w:rsidR="009A6E13" w:rsidRPr="009949B9">
        <w:rPr>
          <w:rFonts w:cs="Calibri"/>
          <w:color w:val="auto"/>
          <w:szCs w:val="26"/>
          <w:lang w:val="en-GB"/>
        </w:rPr>
        <w:t>a</w:t>
      </w:r>
      <w:r w:rsidR="00105C18" w:rsidRPr="009949B9">
        <w:rPr>
          <w:rFonts w:cs="Calibri"/>
          <w:color w:val="auto"/>
          <w:szCs w:val="26"/>
          <w:lang w:val="en-GB"/>
        </w:rPr>
        <w:t xml:space="preserve"> range of CVD risk factors</w:t>
      </w:r>
      <w:r w:rsidR="009A6E13" w:rsidRPr="009949B9">
        <w:rPr>
          <w:rFonts w:cs="Calibri"/>
          <w:color w:val="auto"/>
          <w:szCs w:val="26"/>
          <w:lang w:val="en-GB"/>
        </w:rPr>
        <w:t xml:space="preserve"> </w:t>
      </w:r>
      <w:r w:rsidR="00E34603">
        <w:rPr>
          <w:rFonts w:cs="Calibri"/>
          <w:color w:val="auto"/>
          <w:szCs w:val="26"/>
          <w:lang w:val="en-GB"/>
        </w:rPr>
        <w:t>such as</w:t>
      </w:r>
      <w:r w:rsidR="009A6E13" w:rsidRPr="009949B9">
        <w:rPr>
          <w:rFonts w:cs="Calibri"/>
          <w:color w:val="auto"/>
          <w:szCs w:val="26"/>
          <w:lang w:val="en-GB"/>
        </w:rPr>
        <w:t xml:space="preserve"> smoking, overweight and obesity, and diabetes, </w:t>
      </w:r>
      <w:r w:rsidR="00E34603">
        <w:rPr>
          <w:rFonts w:cs="Calibri"/>
          <w:color w:val="auto"/>
          <w:szCs w:val="26"/>
          <w:lang w:val="en-GB"/>
        </w:rPr>
        <w:t>plus</w:t>
      </w:r>
      <w:r w:rsidR="009A6E13" w:rsidRPr="009949B9">
        <w:rPr>
          <w:rFonts w:cs="Calibri"/>
          <w:color w:val="auto"/>
          <w:szCs w:val="26"/>
          <w:lang w:val="en-GB"/>
        </w:rPr>
        <w:t xml:space="preserve"> other</w:t>
      </w:r>
      <w:r w:rsidR="00105C18" w:rsidRPr="009949B9">
        <w:rPr>
          <w:rFonts w:cs="Calibri"/>
          <w:color w:val="auto"/>
          <w:szCs w:val="26"/>
          <w:lang w:val="en-GB"/>
        </w:rPr>
        <w:t xml:space="preserve"> associated co-morbidities</w:t>
      </w:r>
      <w:r w:rsidR="009A6E13" w:rsidRPr="009949B9">
        <w:rPr>
          <w:rFonts w:cs="Calibri"/>
          <w:color w:val="auto"/>
          <w:szCs w:val="26"/>
          <w:lang w:val="en-GB"/>
        </w:rPr>
        <w:t>.</w:t>
      </w:r>
    </w:p>
    <w:p w:rsidR="00905EEF" w:rsidRPr="009949B9" w:rsidRDefault="008056BE" w:rsidP="002B1917">
      <w:pPr>
        <w:pStyle w:val="NoSpacing"/>
        <w:rPr>
          <w:color w:val="auto"/>
          <w:lang w:val="en-GB"/>
        </w:rPr>
      </w:pPr>
      <w:r w:rsidRPr="009949B9">
        <w:rPr>
          <w:color w:val="auto"/>
          <w:lang w:val="en-GB"/>
        </w:rPr>
        <w:t>The Hawke’s Bay pre-diabetes project demonstrated that</w:t>
      </w:r>
      <w:r w:rsidR="00303218" w:rsidRPr="009949B9">
        <w:rPr>
          <w:color w:val="auto"/>
          <w:lang w:val="en-GB"/>
        </w:rPr>
        <w:t xml:space="preserve"> </w:t>
      </w:r>
      <w:r w:rsidR="00E34603">
        <w:rPr>
          <w:color w:val="auto"/>
          <w:lang w:val="en-GB"/>
        </w:rPr>
        <w:t>PN</w:t>
      </w:r>
      <w:r w:rsidR="00A90C61" w:rsidRPr="009949B9">
        <w:rPr>
          <w:color w:val="auto"/>
          <w:lang w:val="en-GB"/>
        </w:rPr>
        <w:t>s</w:t>
      </w:r>
      <w:r w:rsidR="00303218" w:rsidRPr="009949B9">
        <w:rPr>
          <w:color w:val="auto"/>
          <w:lang w:val="en-GB"/>
        </w:rPr>
        <w:t>, when given appropriate training and dedicated time, can provide multi-session support for people with newly diagnosed pre-diabetes, with positive outcomes.</w:t>
      </w:r>
      <w:r w:rsidR="00A90C61" w:rsidRPr="009949B9">
        <w:rPr>
          <w:color w:val="auto"/>
          <w:lang w:val="en-GB"/>
        </w:rPr>
        <w:t xml:space="preserve"> P</w:t>
      </w:r>
      <w:r w:rsidR="00E34603">
        <w:rPr>
          <w:color w:val="auto"/>
          <w:lang w:val="en-GB"/>
        </w:rPr>
        <w:t>N</w:t>
      </w:r>
      <w:r w:rsidR="00A90C61" w:rsidRPr="009949B9">
        <w:rPr>
          <w:color w:val="auto"/>
          <w:lang w:val="en-GB"/>
        </w:rPr>
        <w:t>s can b</w:t>
      </w:r>
      <w:r w:rsidR="00DB41B7" w:rsidRPr="009949B9">
        <w:rPr>
          <w:color w:val="auto"/>
          <w:lang w:val="en-GB"/>
        </w:rPr>
        <w:t xml:space="preserve">e successful in providing </w:t>
      </w:r>
      <w:r w:rsidR="00A90C61" w:rsidRPr="009949B9">
        <w:rPr>
          <w:color w:val="auto"/>
          <w:lang w:val="en-GB"/>
        </w:rPr>
        <w:t>lifestyle interventions such as smoking cessation</w:t>
      </w:r>
      <w:r w:rsidR="00B50FC5" w:rsidRPr="009949B9">
        <w:rPr>
          <w:color w:val="auto"/>
          <w:lang w:val="en-GB"/>
        </w:rPr>
        <w:fldChar w:fldCharType="begin"/>
      </w:r>
      <w:r w:rsidR="00102A29" w:rsidRPr="009949B9">
        <w:rPr>
          <w:color w:val="auto"/>
          <w:lang w:val="en-GB"/>
        </w:rPr>
        <w:instrText xml:space="preserve"> ADDIN ZOTERO_ITEM CSL_CITATION {"citationID":"18v4n0qdj2","properties":{"formattedCitation":"{\\rtf \\super 11\\nosupersub{}}","plainCitation":"11"},"citationItems":[{"id":5395,"uris":["http://zotero.org/users/1878547/items/RIE45D8X"],"uri":["http://zotero.org/users/1878547/items/RIE45D8X"],"itemData":{"id":5395,"type":"article-journal","title":"Evaluating Long-term Outcomes of NHS Stop Smoking Services (ELONS): a prospective cohort study","container-title":"Health Technology Assessment (Winchester, England)","page":"1-156","volume":"19","issue":"95","source":"PubMed","abstract":"BACKGROUND: NHS Stop Smoking Services (SSSs) provide free at the point of use treatment for smokers who would like to stop. Since their inception in 1999 they have evolved to offer a variety of support options. Given the changes that have happened in the provision of services and the ongoing need for evidence on effectiveness, the Evaluating Long-term Outcomes for NHS Stop Smoking Services (ELONS) study was commissioned.\nOBJECTIVES: The main aim of the study was to explore the factors that determine longer-term abstinence from smoking following intervention by SSSs. There were also a number of additional objectives.\nDESIGN: The ELONS study was an observational study with two main stages: secondary analysis of routine data collected by SSSs and a prospective cohort study of service clients. The prospective study had additional elements on client satisfaction, well-being and longer-term nicotine replacement therapy (NRT) use.\nSETTING: The setting for the study was SSSs in England. For the secondary analysis, routine data from 49 services were obtained. For the prospective study and its added elements, nine services were involved. The target population was clients of these services.\nPARTICIPANTS: There were 202,804 cases included in secondary analysis and 3075 in the prospective study.\nINTERVENTIONS: A combination of behavioural support and stop smoking medication delivered by SSS practitioners.\nMAIN OUTCOME MEASURES: Abstinence from smoking at 4 and 52 weeks after setting a quit date, validated by a carbon monoxide (CO) breath test.\nRESULTS: Just over 4 in 10 smokers (41%) recruited to the prospective study were biochemically validated as abstinent from smoking at 4 weeks (which was broadly comparable with findings from the secondary analysis of routine service data, where self-reported 4-week quit rates were 48%, falling to 34% when biochemical validation had occurred). At the 1-year follow-up, 8% of prospective study clients were CO validated as abstinent from smoking. Clients who received specialist one-to-one behavioural support were twice as likely to have remained abstinent than those who were seen by a general practitioner (GP) practice and pharmacy providers [odds ratio (OR) 2.3, 95% confidence interval (CI) 1.2 to 4.6]. Clients who received group behavioural support (either closed or rolling groups) were three times more likely to stop smoking than those who were seen by a GP practice or pharmacy providers (OR 3.4, 95% CI 1.7 to 6.7). Satisfaction with services was high and well-being at baseline was found to be a predictor of abstinence from smoking at longer-term follow-up. Continued use of NRT at 1 year was rare, but no evidence of harm from longer-term use was identified from the data collected.\nCONCLUSIONS: Stop Smoking Services in England are effective in helping smokers to move away from tobacco use. Using the 52-week CO-validated quit rate of 8% found in this study, we estimate that in the year 2012-13 the services supported 36,249 clients to become non-smokers for the remainder of their lives. This is a substantial figure and provides one indicator of the ongoing value of the treatment that the services provide. The study raises a number of issues for future research including (1) examining the role of electronic cigarettes (e-cigarettes) in smoking cessation for service clients [this study did not look at e-cigarette use (except briefly in the longer-term NRT study) but this is a priority for future studies]; (2) more detailed comparisons of rolling groups with other forms of behavioural support; (3) further exploration of the role of practitioner knowledge, skills and use of effective behaviour change techniques in supporting service clients to stop smoking; (4) surveillance of the impact of structural and funding changes on the future development and sustainability of SSSs; and (5) more detailed analysis of well-being over time between those who successfully stop smoking and those who relapse. Further research on longer-term use of non-combustible nicotine products that measures a wider array of biomarkers of smoking-related harm such as lung function tests or carcinogen metabolites.\nFUNDING: The National Institute for Health Research Health Technology Assessment programme. The UK Centre for Tobacco and Alcohol Studies provided funding for the longer-term NRT study.","DOI":"10.3310/hta19950","ISSN":"2046-4924","note":"PMID: 26565129","shortTitle":"Evaluating Long-term Outcomes of NHS Stop Smoking Services (ELONS)","journalAbbreviation":"Health Technol Assess","language":"eng","author":[{"family":"Dobbie","given":"Fiona"},{"family":"Hiscock","given":"Rosemary"},{"family":"Leonardi-Bee","given":"Jo"},{"family":"Murray","given":"Susan"},{"family":"Shahab","given":"Lion"},{"family":"Aveyard","given":"Paul"},{"family":"Coleman","given":"Tim"},{"family":"McEwen","given":"Andy"},{"family":"McRobbie","given":"Hayden"},{"family":"Purves","given":"Richard"},{"family":"Bauld","given":"Linda"}],"issued":{"date-parts":[["2015",11]]},"PMID":"26565129"}}],"schema":"https://github.com/citation-style-language/schema/raw/master/csl-citation.json"} </w:instrText>
      </w:r>
      <w:r w:rsidR="00B50FC5" w:rsidRPr="009949B9">
        <w:rPr>
          <w:color w:val="auto"/>
          <w:lang w:val="en-GB"/>
        </w:rPr>
        <w:fldChar w:fldCharType="separate"/>
      </w:r>
      <w:r w:rsidR="00102A29" w:rsidRPr="009949B9">
        <w:rPr>
          <w:color w:val="auto"/>
          <w:szCs w:val="24"/>
          <w:vertAlign w:val="superscript"/>
          <w:lang w:val="en-GB"/>
        </w:rPr>
        <w:t>11</w:t>
      </w:r>
      <w:r w:rsidR="00B50FC5" w:rsidRPr="009949B9">
        <w:rPr>
          <w:color w:val="auto"/>
          <w:lang w:val="en-GB"/>
        </w:rPr>
        <w:fldChar w:fldCharType="end"/>
      </w:r>
      <w:r w:rsidR="00A90C61" w:rsidRPr="009949B9">
        <w:rPr>
          <w:color w:val="auto"/>
          <w:lang w:val="en-GB"/>
        </w:rPr>
        <w:t xml:space="preserve"> </w:t>
      </w:r>
      <w:r w:rsidR="00DB41B7" w:rsidRPr="009949B9">
        <w:rPr>
          <w:color w:val="auto"/>
          <w:lang w:val="en-GB"/>
        </w:rPr>
        <w:t>and weight management.</w:t>
      </w:r>
      <w:r w:rsidR="00B50FC5" w:rsidRPr="009949B9">
        <w:rPr>
          <w:color w:val="auto"/>
          <w:lang w:val="en-GB"/>
        </w:rPr>
        <w:fldChar w:fldCharType="begin"/>
      </w:r>
      <w:r w:rsidR="00102A29" w:rsidRPr="009949B9">
        <w:rPr>
          <w:color w:val="auto"/>
          <w:lang w:val="en-GB"/>
        </w:rPr>
        <w:instrText xml:space="preserve"> ADDIN ZOTERO_ITEM CSL_CITATION {"citationID":"qv1amts17","properties":{"formattedCitation":"{\\rtf \\super 12\\nosupersub{}}","plainCitation":"12"},"citationItems":[{"id":5851,"uris":["http://zotero.org/groups/482654/items/NBD9I7GB"],"uri":["http://zotero.org/groups/482654/items/NBD9I7GB"],"itemData":{"id":5851,"type":"article-journal","title":"Behavioral treatment of obesity in patients encountered in primary care settings: a systematic review","container-title":"JAMA","page":"1779-1791","volume":"312","issue":"17","source":"PubMed","abstract":"IMPORTANCE: In 2011, the Centers for Medicare &amp; Medicaid Services (CMS) approved intensive behavioral weight loss counseling for approximately 14 face-to-face, 10- to 15-minute sessions over 6 months for obese beneficiaries in primary care settings, when delivered by physicians and other CMS-defined primary care practitioners.\nOBJECTIVE: To conduct a systematic review of behavioral counseling for overweight and obese patients recruited from primary care, as delivered by primary care practitioners working alone or with trained interventionists (eg, medical assistants, registered dietitians), or by trained interventionists working independently.\nEVIDENCE REVIEW: We searched PubMed, CINAHL, and EMBASE for randomized controlled trials published between January 1980 and June 2014 that recruited overweight and obese patients from primary care; provided behavioral counseling (ie, diet, exercise, and behavioral therapy) for at least 3 months, with at least 6 months of postrandomization follow-up; included at least 15 participants per treatment group and objectively measured weights; and had a comparator, an intention-to-treat analysis, and attrition of less than 30% at 1 year or less than 40% at longer follow-up.\nFINDINGS: Review of 3304 abstracts yielded 12 trials, involving 3893 participants, that met inclusion-exclusion criteria and prespecified quality ratings. No studies were found in which primary care practitioners delivered counseling that followed the CMS guidelines. Mean 6-month weight changes from baseline in the intervention groups ranged from a loss of 0.3 kg to 6.6 kg. In the control group, mean change ranged from a gain of 0.9 kg to a loss of 2.0 kg. Weight loss in both groups generally declined with longer follow-up (12-24 months). Interventions that prescribed both reduced energy intake (eg, ≥ 500 kcal/d) and increased physical activity (eg, ≥150 minutes a week of walking), with traditional behavioral therapy, generally produced larger weight loss than interventions without all 3 specific components. In the former trials, more treatment sessions, delivered in person or by telephone by trained interventionists, were associated with greater mean weight loss and likelihood of patients losing 5% or more of baseline weight.\nCONCLUSIONS AND RELEVANCE: Intensive behavioral counseling can induce clinically meaningful weight loss, but there is little research on primary care practitioners providing such care. The present findings suggest that a range of trained interventionists, who deliver counseling in person or by telephone, could be considered for treating overweight or obesity in patients encountered in primary care settings.","DOI":"10.1001/jama.2014.14173","ISSN":"1538-3598","note":"PMID: 25369490\nPMCID: PMC4443898","shortTitle":"Behavioral treatment of obesity in patients encountered in primary care settings","journalAbbreviation":"JAMA","language":"eng","author":[{"family":"Wadden","given":"Thomas A."},{"family":"Butryn","given":"Meghan L."},{"family":"Hong","given":"Patricia S."},{"family":"Tsai","given":"Adam G."}],"issued":{"date-parts":[["2014",11,5]]},"PMID":"25369490","PMCID":"PMC4443898"}}],"schema":"https://github.com/citation-style-language/schema/raw/master/csl-citation.json"} </w:instrText>
      </w:r>
      <w:r w:rsidR="00B50FC5" w:rsidRPr="009949B9">
        <w:rPr>
          <w:color w:val="auto"/>
          <w:lang w:val="en-GB"/>
        </w:rPr>
        <w:fldChar w:fldCharType="separate"/>
      </w:r>
      <w:r w:rsidR="00102A29" w:rsidRPr="009949B9">
        <w:rPr>
          <w:color w:val="auto"/>
          <w:szCs w:val="24"/>
          <w:vertAlign w:val="superscript"/>
          <w:lang w:val="en-GB"/>
        </w:rPr>
        <w:t>12</w:t>
      </w:r>
      <w:r w:rsidR="00B50FC5" w:rsidRPr="009949B9">
        <w:rPr>
          <w:color w:val="auto"/>
          <w:lang w:val="en-GB"/>
        </w:rPr>
        <w:fldChar w:fldCharType="end"/>
      </w:r>
      <w:r w:rsidR="00DB41B7" w:rsidRPr="009949B9">
        <w:rPr>
          <w:color w:val="auto"/>
          <w:lang w:val="en-GB"/>
        </w:rPr>
        <w:t xml:space="preserve"> However, similar or better results may be achieved by referring to </w:t>
      </w:r>
      <w:r w:rsidR="007B30FD" w:rsidRPr="009949B9">
        <w:rPr>
          <w:color w:val="auto"/>
          <w:lang w:val="en-GB"/>
        </w:rPr>
        <w:t xml:space="preserve">services </w:t>
      </w:r>
      <w:r w:rsidR="00E34603">
        <w:rPr>
          <w:color w:val="auto"/>
          <w:lang w:val="en-GB"/>
        </w:rPr>
        <w:t>established</w:t>
      </w:r>
      <w:r w:rsidR="007B30FD" w:rsidRPr="009949B9">
        <w:rPr>
          <w:color w:val="auto"/>
          <w:lang w:val="en-GB"/>
        </w:rPr>
        <w:t xml:space="preserve"> to provide specific support for these lifestyle changes.</w:t>
      </w:r>
      <w:r w:rsidR="00B50FC5" w:rsidRPr="009949B9">
        <w:rPr>
          <w:color w:val="auto"/>
          <w:lang w:val="en-GB"/>
        </w:rPr>
        <w:fldChar w:fldCharType="begin"/>
      </w:r>
      <w:r w:rsidR="00102A29" w:rsidRPr="009949B9">
        <w:rPr>
          <w:color w:val="auto"/>
          <w:lang w:val="en-GB"/>
        </w:rPr>
        <w:instrText xml:space="preserve"> ADDIN ZOTERO_ITEM CSL_CITATION {"citationID":"115fbl15q1","properties":{"formattedCitation":"{\\rtf \\super 11,13\\nosupersub{}}","plainCitation":"11,13"},"citationItems":[{"id":5395,"uris":["http://zotero.org/users/1878547/items/RIE45D8X"],"uri":["http://zotero.org/users/1878547/items/RIE45D8X"],"itemData":{"id":5395,"type":"article-journal","title":"Evaluating Long-term Outcomes of NHS Stop Smoking Services (ELONS): a prospective cohort study","container-title":"Health Technology Assessment (Winchester, England)","page":"1-156","volume":"19","issue":"95","source":"PubMed","abstract":"BACKGROUND: NHS Stop Smoking Services (SSSs) provide free at the point of use treatment for smokers who would like to stop. Since their inception in 1999 they have evolved to offer a variety of support options. Given the changes that have happened in the provision of services and the ongoing need for evidence on effectiveness, the Evaluating Long-term Outcomes for NHS Stop Smoking Services (ELONS) study was commissioned.\nOBJECTIVES: The main aim of the study was to explore the factors that determine longer-term abstinence from smoking following intervention by SSSs. There were also a number of additional objectives.\nDESIGN: The ELONS study was an observational study with two main stages: secondary analysis of routine data collected by SSSs and a prospective cohort study of service clients. The prospective study had additional elements on client satisfaction, well-being and longer-term nicotine replacement therapy (NRT) use.\nSETTING: The setting for the study was SSSs in England. For the secondary analysis, routine data from 49 services were obtained. For the prospective study and its added elements, nine services were involved. The target population was clients of these services.\nPARTICIPANTS: There were 202,804 cases included in secondary analysis and 3075 in the prospective study.\nINTERVENTIONS: A combination of behavioural support and stop smoking medication delivered by SSS practitioners.\nMAIN OUTCOME MEASURES: Abstinence from smoking at 4 and 52 weeks after setting a quit date, validated by a carbon monoxide (CO) breath test.\nRESULTS: Just over 4 in 10 smokers (41%) recruited to the prospective study were biochemically validated as abstinent from smoking at 4 weeks (which was broadly comparable with findings from the secondary analysis of routine service data, where self-reported 4-week quit rates were 48%, falling to 34% when biochemical validation had occurred). At the 1-year follow-up, 8% of prospective study clients were CO validated as abstinent from smoking. Clients who received specialist one-to-one behavioural support were twice as likely to have remained abstinent than those who were seen by a general practitioner (GP) practice and pharmacy providers [odds ratio (OR) 2.3, 95% confidence interval (CI) 1.2 to 4.6]. Clients who received group behavioural support (either closed or rolling groups) were three times more likely to stop smoking than those who were seen by a GP practice or pharmacy providers (OR 3.4, 95% CI 1.7 to 6.7). Satisfaction with services was high and well-being at baseline was found to be a predictor of abstinence from smoking at longer-term follow-up. Continued use of NRT at 1 year was rare, but no evidence of harm from longer-term use was identified from the data collected.\nCONCLUSIONS: Stop Smoking Services in England are effective in helping smokers to move away from tobacco use. Using the 52-week CO-validated quit rate of 8% found in this study, we estimate that in the year 2012-13 the services supported 36,249 clients to become non-smokers for the remainder of their lives. This is a substantial figure and provides one indicator of the ongoing value of the treatment that the services provide. The study raises a number of issues for future research including (1) examining the role of electronic cigarettes (e-cigarettes) in smoking cessation for service clients [this study did not look at e-cigarette use (except briefly in the longer-term NRT study) but this is a priority for future studies]; (2) more detailed comparisons of rolling groups with other forms of behavioural support; (3) further exploration of the role of practitioner knowledge, skills and use of effective behaviour change techniques in supporting service clients to stop smoking; (4) surveillance of the impact of structural and funding changes on the future development and sustainability of SSSs; and (5) more detailed analysis of well-being over time between those who successfully stop smoking and those who relapse. Further research on longer-term use of non-combustible nicotine products that measures a wider array of biomarkers of smoking-related harm such as lung function tests or carcinogen metabolites.\nFUNDING: The National Institute for Health Research Health Technology Assessment programme. The UK Centre for Tobacco and Alcohol Studies provided funding for the longer-term NRT study.","DOI":"10.3310/hta19950","ISSN":"2046-4924","note":"PMID: 26565129","shortTitle":"Evaluating Long-term Outcomes of NHS Stop Smoking Services (ELONS)","journalAbbreviation":"Health Technol Assess","language":"eng","author":[{"family":"Dobbie","given":"Fiona"},{"family":"Hiscock","given":"Rosemary"},{"family":"Leonardi-Bee","given":"Jo"},{"family":"Murray","given":"Susan"},{"family":"Shahab","given":"Lion"},{"family":"Aveyard","given":"Paul"},{"family":"Coleman","given":"Tim"},{"family":"McEwen","given":"Andy"},{"family":"McRobbie","given":"Hayden"},{"family":"Purves","given":"Richard"},{"family":"Bauld","given":"Linda"}],"issued":{"date-parts":[["2015",11]]},"PMID":"26565129"}},{"id":10178,"uris":["http://zotero.org/users/1878547/items/P5HQWNNR"],"uri":["http://zotero.org/users/1878547/items/P5HQWNNR"],"itemData":{"id":10178,"type":"article-journal","title":"A peer-support weight management programme versus multisession advice in general practice for obese adults from deprived communities: A randomised controlled trial and economic evaluation","container-title":"Health Technology Assessment","volume":"In Press","source":"PubMed","note":"PMID: 26565129","journalAbbreviation":"Health Technol Assess","author":[{"family":"McRobbie,","given":"Hayden"},{"family":"Hajek","given":"Peter"},{"family":"Peerbux","given":"Sarrah"},{"family":"Myers Smith","given":"Katie"},{"family":"Kahan","given":"Brennan"},{"family":"Eldridge","given":"Sandra"},{"family":"Trepel","given":"Dominic"},{"family":"Parrott","given":"Steve"},{"family":"Griffiths","given":"Chris"},{"family":"Snuggs","given":"Sarah"}],"issued":{"date-parts":[["2016"]]},"PMID":"26565129"}}],"schema":"https://github.com/citation-style-language/schema/raw/master/csl-citation.json"} </w:instrText>
      </w:r>
      <w:r w:rsidR="00B50FC5" w:rsidRPr="009949B9">
        <w:rPr>
          <w:color w:val="auto"/>
          <w:lang w:val="en-GB"/>
        </w:rPr>
        <w:fldChar w:fldCharType="separate"/>
      </w:r>
      <w:r w:rsidR="00102A29" w:rsidRPr="009949B9">
        <w:rPr>
          <w:color w:val="auto"/>
          <w:szCs w:val="24"/>
          <w:vertAlign w:val="superscript"/>
          <w:lang w:val="en-GB"/>
        </w:rPr>
        <w:t>11,13</w:t>
      </w:r>
      <w:r w:rsidR="00B50FC5" w:rsidRPr="009949B9">
        <w:rPr>
          <w:color w:val="auto"/>
          <w:lang w:val="en-GB"/>
        </w:rPr>
        <w:fldChar w:fldCharType="end"/>
      </w:r>
      <w:r w:rsidR="00A14CFA" w:rsidRPr="009949B9">
        <w:rPr>
          <w:color w:val="auto"/>
          <w:lang w:val="en-GB"/>
        </w:rPr>
        <w:t xml:space="preserve"> </w:t>
      </w:r>
      <w:r w:rsidR="007A0E21" w:rsidRPr="009949B9">
        <w:rPr>
          <w:color w:val="auto"/>
          <w:lang w:val="en-GB"/>
        </w:rPr>
        <w:t>Careful c</w:t>
      </w:r>
      <w:r w:rsidR="00A14CFA" w:rsidRPr="009949B9">
        <w:rPr>
          <w:color w:val="auto"/>
          <w:lang w:val="en-GB"/>
        </w:rPr>
        <w:t>onsideration</w:t>
      </w:r>
      <w:r w:rsidR="007A0E21" w:rsidRPr="009949B9">
        <w:rPr>
          <w:color w:val="auto"/>
          <w:lang w:val="en-GB"/>
        </w:rPr>
        <w:t xml:space="preserve"> therefore</w:t>
      </w:r>
      <w:r w:rsidR="00A14CFA" w:rsidRPr="009949B9">
        <w:rPr>
          <w:color w:val="auto"/>
          <w:lang w:val="en-GB"/>
        </w:rPr>
        <w:t xml:space="preserve"> needs to be given to</w:t>
      </w:r>
      <w:r w:rsidR="007A0E21" w:rsidRPr="009949B9">
        <w:rPr>
          <w:color w:val="auto"/>
          <w:lang w:val="en-GB"/>
        </w:rPr>
        <w:t xml:space="preserve"> the </w:t>
      </w:r>
      <w:r w:rsidR="006F1EB0" w:rsidRPr="009949B9">
        <w:rPr>
          <w:color w:val="auto"/>
          <w:lang w:val="en-GB"/>
        </w:rPr>
        <w:t>model of care that best suits local need</w:t>
      </w:r>
      <w:r w:rsidR="007A0E21" w:rsidRPr="009949B9">
        <w:rPr>
          <w:color w:val="auto"/>
          <w:lang w:val="en-GB"/>
        </w:rPr>
        <w:t>.</w:t>
      </w:r>
    </w:p>
    <w:p w:rsidR="00905EEF" w:rsidRPr="009949B9" w:rsidRDefault="00905EEF" w:rsidP="002B1917">
      <w:pPr>
        <w:pStyle w:val="NoSpacing"/>
        <w:rPr>
          <w:color w:val="auto"/>
          <w:lang w:val="en-GB"/>
        </w:rPr>
      </w:pPr>
      <w:r w:rsidRPr="009949B9">
        <w:rPr>
          <w:color w:val="auto"/>
          <w:lang w:val="en-GB"/>
        </w:rPr>
        <w:t>There appear</w:t>
      </w:r>
      <w:r w:rsidR="00E34603">
        <w:rPr>
          <w:color w:val="auto"/>
          <w:lang w:val="en-GB"/>
        </w:rPr>
        <w:t>s</w:t>
      </w:r>
      <w:r w:rsidRPr="009949B9">
        <w:rPr>
          <w:color w:val="auto"/>
          <w:lang w:val="en-GB"/>
        </w:rPr>
        <w:t xml:space="preserve"> to be some ethnic differences in engagement and programme outcomes. This was highlighted for Pacific people in the Choose Change programme, where difficulty was encountered in enrolling people </w:t>
      </w:r>
      <w:r w:rsidR="00E34603">
        <w:rPr>
          <w:color w:val="auto"/>
          <w:lang w:val="en-GB"/>
        </w:rPr>
        <w:t>o</w:t>
      </w:r>
      <w:r w:rsidRPr="009949B9">
        <w:rPr>
          <w:color w:val="auto"/>
          <w:lang w:val="en-GB"/>
        </w:rPr>
        <w:t xml:space="preserve">nto the programme and collecting key follow-up data. Differences were also observed in the Bay of Plenty project where attendance at the Rotorua groups was lower than those in the Western and Eastern Bay of Plenty. </w:t>
      </w:r>
      <w:r w:rsidR="00B76C6A" w:rsidRPr="009949B9">
        <w:rPr>
          <w:color w:val="auto"/>
          <w:lang w:val="en-GB"/>
        </w:rPr>
        <w:t xml:space="preserve">These issues should be carefully monitored and </w:t>
      </w:r>
      <w:r w:rsidR="00AE2699" w:rsidRPr="009949B9">
        <w:rPr>
          <w:color w:val="auto"/>
          <w:lang w:val="en-GB"/>
        </w:rPr>
        <w:t>changes made to programmes as required.</w:t>
      </w:r>
    </w:p>
    <w:p w:rsidR="00905EEF" w:rsidRPr="009949B9" w:rsidRDefault="00905EEF" w:rsidP="002B1917">
      <w:pPr>
        <w:pStyle w:val="NoSpacing"/>
        <w:rPr>
          <w:color w:val="auto"/>
          <w:lang w:val="en-GB"/>
        </w:rPr>
      </w:pPr>
      <w:r w:rsidRPr="009949B9">
        <w:rPr>
          <w:color w:val="auto"/>
          <w:lang w:val="en-GB"/>
        </w:rPr>
        <w:t>As with many health behaviour change initiatives (</w:t>
      </w:r>
      <w:r w:rsidR="00E34603">
        <w:rPr>
          <w:color w:val="auto"/>
          <w:lang w:val="en-GB"/>
        </w:rPr>
        <w:t xml:space="preserve">eg, </w:t>
      </w:r>
      <w:r w:rsidRPr="009949B9">
        <w:rPr>
          <w:color w:val="auto"/>
          <w:lang w:val="en-GB"/>
        </w:rPr>
        <w:t xml:space="preserve">smoking cessation, weight management etc.), programmes </w:t>
      </w:r>
      <w:r w:rsidR="00E34603">
        <w:rPr>
          <w:color w:val="auto"/>
          <w:lang w:val="en-GB"/>
        </w:rPr>
        <w:t>frequently</w:t>
      </w:r>
      <w:r w:rsidRPr="009949B9">
        <w:rPr>
          <w:color w:val="auto"/>
          <w:lang w:val="en-GB"/>
        </w:rPr>
        <w:t xml:space="preserve"> underestimate the interest from </w:t>
      </w:r>
      <w:r w:rsidR="0097751D" w:rsidRPr="009949B9">
        <w:rPr>
          <w:color w:val="auto"/>
          <w:lang w:val="en-GB"/>
        </w:rPr>
        <w:t xml:space="preserve">people, or </w:t>
      </w:r>
      <w:r w:rsidR="00992037" w:rsidRPr="009949B9">
        <w:rPr>
          <w:color w:val="auto"/>
          <w:lang w:val="en-GB"/>
        </w:rPr>
        <w:t xml:space="preserve">the </w:t>
      </w:r>
      <w:r w:rsidR="0097751D" w:rsidRPr="009949B9">
        <w:rPr>
          <w:color w:val="auto"/>
          <w:lang w:val="en-GB"/>
        </w:rPr>
        <w:t xml:space="preserve">ability for them to fit the demands of the programme into their </w:t>
      </w:r>
      <w:r w:rsidR="0034194A" w:rsidRPr="009949B9">
        <w:rPr>
          <w:color w:val="auto"/>
          <w:lang w:val="en-GB"/>
        </w:rPr>
        <w:t>often-busy</w:t>
      </w:r>
      <w:r w:rsidR="0097751D" w:rsidRPr="009949B9">
        <w:rPr>
          <w:color w:val="auto"/>
          <w:lang w:val="en-GB"/>
        </w:rPr>
        <w:t xml:space="preserve"> lives</w:t>
      </w:r>
      <w:r w:rsidRPr="009949B9">
        <w:rPr>
          <w:color w:val="auto"/>
          <w:lang w:val="en-GB"/>
        </w:rPr>
        <w:t xml:space="preserve">. Although many </w:t>
      </w:r>
      <w:r w:rsidR="00E34603">
        <w:rPr>
          <w:color w:val="auto"/>
          <w:lang w:val="en-GB"/>
        </w:rPr>
        <w:t xml:space="preserve">people </w:t>
      </w:r>
      <w:r w:rsidRPr="009949B9">
        <w:rPr>
          <w:color w:val="auto"/>
          <w:lang w:val="en-GB"/>
        </w:rPr>
        <w:t xml:space="preserve">know that they ought to change their health behaviours, offering </w:t>
      </w:r>
      <w:r w:rsidR="00E34603">
        <w:rPr>
          <w:color w:val="auto"/>
          <w:lang w:val="en-GB"/>
        </w:rPr>
        <w:t xml:space="preserve">them </w:t>
      </w:r>
      <w:r w:rsidRPr="009949B9">
        <w:rPr>
          <w:color w:val="auto"/>
          <w:lang w:val="en-GB"/>
        </w:rPr>
        <w:t>a programme does not necessarily mean that they will accept the help. Recruitment goals are often unrealistic. In areas like smoking cessation, of current smokers on a practice list, only 20</w:t>
      </w:r>
      <w:r w:rsidR="00973820">
        <w:rPr>
          <w:color w:val="auto"/>
          <w:lang w:val="en-GB"/>
        </w:rPr>
        <w:t xml:space="preserve"> percent</w:t>
      </w:r>
      <w:r w:rsidRPr="009949B9">
        <w:rPr>
          <w:color w:val="auto"/>
          <w:lang w:val="en-GB"/>
        </w:rPr>
        <w:t xml:space="preserve"> may be interested in help in quitting at any one time. Of those that say they want help, around 50</w:t>
      </w:r>
      <w:r w:rsidR="00973820">
        <w:rPr>
          <w:color w:val="auto"/>
          <w:lang w:val="en-GB"/>
        </w:rPr>
        <w:t xml:space="preserve"> percent</w:t>
      </w:r>
      <w:r w:rsidRPr="009949B9">
        <w:rPr>
          <w:color w:val="auto"/>
          <w:lang w:val="en-GB"/>
        </w:rPr>
        <w:t xml:space="preserve"> can be expected to engage with a smoking cessation service. Similar figures are seen with weight management programmes. Programmes may be wise to incorporate an information session, which gives people the chance to opt out. </w:t>
      </w:r>
      <w:r w:rsidR="00BC0675">
        <w:rPr>
          <w:color w:val="auto"/>
          <w:lang w:val="en-GB"/>
        </w:rPr>
        <w:t>T</w:t>
      </w:r>
      <w:r w:rsidRPr="009949B9">
        <w:rPr>
          <w:color w:val="auto"/>
          <w:lang w:val="en-GB"/>
        </w:rPr>
        <w:t xml:space="preserve">his approach was adopted by the Choose Change programme in Counties Manukau where all people referred to Choose Change who met the entry criteria were invited to attend an information evening prior to the start of the intake. </w:t>
      </w:r>
      <w:r w:rsidR="00AE2699" w:rsidRPr="009949B9">
        <w:rPr>
          <w:color w:val="auto"/>
          <w:lang w:val="en-GB"/>
        </w:rPr>
        <w:t xml:space="preserve">Referrers may benefit from some brief training on how to best make an offer of referring to these programmes. Such training does not need to be long and can take a more instructional and </w:t>
      </w:r>
      <w:r w:rsidR="00BD46DB" w:rsidRPr="009949B9">
        <w:rPr>
          <w:color w:val="auto"/>
          <w:lang w:val="en-GB"/>
        </w:rPr>
        <w:t>motivational</w:t>
      </w:r>
      <w:r w:rsidR="00BC0675">
        <w:rPr>
          <w:color w:val="auto"/>
          <w:lang w:val="en-GB"/>
        </w:rPr>
        <w:t xml:space="preserve"> approach (i</w:t>
      </w:r>
      <w:r w:rsidR="00AE2699" w:rsidRPr="009949B9">
        <w:rPr>
          <w:color w:val="auto"/>
          <w:lang w:val="en-GB"/>
        </w:rPr>
        <w:t>e</w:t>
      </w:r>
      <w:r w:rsidR="00BC0675">
        <w:rPr>
          <w:color w:val="auto"/>
          <w:lang w:val="en-GB"/>
        </w:rPr>
        <w:t>,</w:t>
      </w:r>
      <w:r w:rsidR="00AE2699" w:rsidRPr="009949B9">
        <w:rPr>
          <w:color w:val="auto"/>
          <w:lang w:val="en-GB"/>
        </w:rPr>
        <w:t xml:space="preserve"> what to say and do)</w:t>
      </w:r>
      <w:r w:rsidR="00BD46DB" w:rsidRPr="009949B9">
        <w:rPr>
          <w:color w:val="auto"/>
          <w:lang w:val="en-GB"/>
        </w:rPr>
        <w:t xml:space="preserve"> as opposed to training on the </w:t>
      </w:r>
      <w:r w:rsidR="00BC0675">
        <w:rPr>
          <w:color w:val="auto"/>
          <w:lang w:val="en-GB"/>
        </w:rPr>
        <w:t xml:space="preserve">health risks/burden of disease </w:t>
      </w:r>
      <w:r w:rsidR="00BD46DB" w:rsidRPr="009949B9">
        <w:rPr>
          <w:color w:val="auto"/>
          <w:lang w:val="en-GB"/>
        </w:rPr>
        <w:t>of these chronic conditions.</w:t>
      </w:r>
      <w:r w:rsidR="00ED5145" w:rsidRPr="009949B9">
        <w:rPr>
          <w:color w:val="auto"/>
          <w:lang w:val="en-GB"/>
        </w:rPr>
        <w:t xml:space="preserve"> Healthcare workers need to be able to briefly describe the programme to their patients and its benefits.</w:t>
      </w:r>
    </w:p>
    <w:p w:rsidR="00905EEF" w:rsidRPr="009949B9" w:rsidRDefault="00905EEF" w:rsidP="002B1917">
      <w:pPr>
        <w:pStyle w:val="NoSpacing"/>
        <w:rPr>
          <w:color w:val="auto"/>
          <w:lang w:val="en-GB"/>
        </w:rPr>
      </w:pPr>
      <w:r w:rsidRPr="009949B9">
        <w:rPr>
          <w:color w:val="auto"/>
          <w:lang w:val="en-GB"/>
        </w:rPr>
        <w:t>The use of behavioural support for in these types of interventions is important. The Clinical Guidelines for Weight Management in New Zealand adults includes this as a key component</w:t>
      </w:r>
      <w:r w:rsidR="002B1917" w:rsidRPr="009949B9">
        <w:rPr>
          <w:color w:val="auto"/>
          <w:lang w:val="en-GB"/>
        </w:rPr>
        <w:t>.</w:t>
      </w:r>
      <w:r w:rsidR="00B50FC5" w:rsidRPr="009949B9">
        <w:rPr>
          <w:color w:val="auto"/>
          <w:lang w:val="en-GB"/>
        </w:rPr>
        <w:fldChar w:fldCharType="begin"/>
      </w:r>
      <w:r w:rsidR="00506D4C" w:rsidRPr="009949B9">
        <w:rPr>
          <w:color w:val="auto"/>
          <w:lang w:val="en-GB"/>
        </w:rPr>
        <w:instrText xml:space="preserve"> ADDIN ZOTERO_ITEM CSL_CITATION {"citationID":"inlms7fgk","properties":{"formattedCitation":"{\\rtf \\super 1\\nosupersub{}}","plainCitation":"1"},"citationItems":[{"id":5430,"uris":["http://zotero.org/users/1878547/items/842IM7FW"],"uri":["http://zotero.org/users/1878547/items/842IM7FW"],"itemData":{"id":5430,"type":"article","title":"Clinical Guidelines for Weight Management in New Zealand Adults","publisher":"Ministry of Health","abstract":"The Ministry of Health commissioned the development of the Guidelines in 2008 for the management of overweight and obese adults, children and young people, with a focus on Māori, Pacific and South Asian populations.","URL":"http://www.health.govt.nz/publication/clinical-guidelines-weight-management-new-zealand-adults","author":[{"family":"Ministry of Health","given":""}],"issued":{"date-parts":[["2009"]]},"accessed":{"date-parts":[["2015",12,8]]}}}],"schema":"https://github.com/citation-style-language/schema/raw/master/csl-citation.json"} </w:instrText>
      </w:r>
      <w:r w:rsidR="00B50FC5" w:rsidRPr="009949B9">
        <w:rPr>
          <w:color w:val="auto"/>
          <w:lang w:val="en-GB"/>
        </w:rPr>
        <w:fldChar w:fldCharType="separate"/>
      </w:r>
      <w:r w:rsidR="00506D4C" w:rsidRPr="009949B9">
        <w:rPr>
          <w:rFonts w:cs="Arial"/>
          <w:color w:val="auto"/>
          <w:szCs w:val="24"/>
          <w:vertAlign w:val="superscript"/>
          <w:lang w:val="en-GB"/>
        </w:rPr>
        <w:t>1</w:t>
      </w:r>
      <w:r w:rsidR="00B50FC5" w:rsidRPr="009949B9">
        <w:rPr>
          <w:color w:val="auto"/>
          <w:lang w:val="en-GB"/>
        </w:rPr>
        <w:fldChar w:fldCharType="end"/>
      </w:r>
      <w:r w:rsidRPr="009949B9">
        <w:rPr>
          <w:color w:val="auto"/>
          <w:lang w:val="en-GB"/>
        </w:rPr>
        <w:t xml:space="preserve"> The only programme that provided a structured behavioural support element was the Choose Change project which </w:t>
      </w:r>
      <w:r w:rsidR="00BF0533">
        <w:rPr>
          <w:color w:val="auto"/>
          <w:lang w:val="en-GB"/>
        </w:rPr>
        <w:t xml:space="preserve">was </w:t>
      </w:r>
      <w:r w:rsidRPr="009949B9">
        <w:rPr>
          <w:color w:val="auto"/>
          <w:lang w:val="en-GB"/>
        </w:rPr>
        <w:t xml:space="preserve">delivered by psychotherapists, either in a 1:1 or group setting.  The feedback indicated that there may have been a degree of stigmatisation associated the need for psychotherapy. Programmes may be better to use softer, vaguer terms such as </w:t>
      </w:r>
      <w:r w:rsidR="00246611" w:rsidRPr="009949B9">
        <w:rPr>
          <w:color w:val="auto"/>
          <w:lang w:val="en-GB"/>
        </w:rPr>
        <w:t>‘</w:t>
      </w:r>
      <w:r w:rsidRPr="009949B9">
        <w:rPr>
          <w:color w:val="auto"/>
          <w:lang w:val="en-GB"/>
        </w:rPr>
        <w:t>support</w:t>
      </w:r>
      <w:r w:rsidR="00246611" w:rsidRPr="009949B9">
        <w:rPr>
          <w:color w:val="auto"/>
          <w:lang w:val="en-GB"/>
        </w:rPr>
        <w:t>’</w:t>
      </w:r>
      <w:r w:rsidRPr="009949B9">
        <w:rPr>
          <w:color w:val="auto"/>
          <w:lang w:val="en-GB"/>
        </w:rPr>
        <w:t xml:space="preserve"> to limit fears about seeing a psychologist. There are evidence-based behaviour change techniques for weight-loss </w:t>
      </w:r>
      <w:r w:rsidR="00B50FC5" w:rsidRPr="009949B9">
        <w:rPr>
          <w:color w:val="auto"/>
          <w:lang w:val="en-GB"/>
        </w:rPr>
        <w:fldChar w:fldCharType="begin"/>
      </w:r>
      <w:r w:rsidR="00102A29" w:rsidRPr="009949B9">
        <w:rPr>
          <w:color w:val="auto"/>
          <w:lang w:val="en-GB"/>
        </w:rPr>
        <w:instrText xml:space="preserve"> ADDIN ZOTERO_ITEM CSL_CITATION {"citationID":"2ej9e3q17t","properties":{"formattedCitation":"{\\rtf \\super 14\\nosupersub{}}","plainCitation":"14"},"citationItems":[{"id":4694,"uris":["http://zotero.org/users/1878547/items/E2JQTV67"],"uri":["http://zotero.org/users/1878547/items/E2JQTV67"],"itemData":{"id":4694,"type":"article-journal","title":"A refined taxonomy of behaviour change techniques to help people change their physical activity and healthy eating behaviours: the CALO-RE taxonomy","container-title":"Psychology &amp; Health","page":"1479-1498","volume":"26","issue":"11","source":"PubMed","abstract":"BACKGROUND: Current reporting of intervention content in published research articles and protocols is generally poor, with great diversity of terminology, resulting in low replicability. This study aimed to extend the scope and improve the reliability of a 26-item taxonomy of behaviour change techniques developed by Abraham and Michie [Abraham, C. and Michie, S. (2008). A taxonomy of behaviour change techniques used in interventions. Health Psychology, 27(3), 379-387.] in order to optimise the reporting and scientific study of behaviour change interventions.\nMETHODS: Three UK study centres collaborated in applying this existing taxonomy to two systematic reviews of interventions to increase physical activity and healthy eating. The taxonomy was refined in iterative steps of (1) coding intervention descriptions, and assessing inter-rater reliability, (2) identifying gaps and problems across study centres and (3) refining the labels and definitions based on consensus discussions.\nRESULTS: Labels and definitions were improved for all techniques, conceptual overlap between categories was resolved, some categories were split and 14 techniques were added, resulting in a 40-item taxonomy. Inter-rater reliability, assessed on 50 published intervention descriptions, was good (kappa</w:instrText>
      </w:r>
      <w:r w:rsidR="00102A29" w:rsidRPr="009949B9">
        <w:rPr>
          <w:rFonts w:hAnsi="Times New Roman" w:cs="Times New Roman"/>
          <w:color w:val="auto"/>
          <w:lang w:val="en-GB"/>
        </w:rPr>
        <w:instrText> </w:instrText>
      </w:r>
      <w:r w:rsidR="00102A29" w:rsidRPr="009949B9">
        <w:rPr>
          <w:color w:val="auto"/>
          <w:lang w:val="en-GB"/>
        </w:rPr>
        <w:instrText>=</w:instrText>
      </w:r>
      <w:r w:rsidR="00102A29" w:rsidRPr="009949B9">
        <w:rPr>
          <w:rFonts w:hAnsi="Times New Roman" w:cs="Times New Roman"/>
          <w:color w:val="auto"/>
          <w:lang w:val="en-GB"/>
        </w:rPr>
        <w:instrText> </w:instrText>
      </w:r>
      <w:r w:rsidR="00102A29" w:rsidRPr="009949B9">
        <w:rPr>
          <w:color w:val="auto"/>
          <w:lang w:val="en-GB"/>
        </w:rPr>
        <w:instrText xml:space="preserve">0.79).\nCONCLUSIONS: This taxonomy can be used to improve the specification of interventions in published reports, thus improving replication, implementation and evidence syntheses. This will strengthen the scientific study of behaviour change and intervention development.","DOI":"10.1080/08870446.2010.540664","ISSN":"1476-8321","note":"PMID: 21678185","shortTitle":"A refined taxonomy of behaviour change techniques to help people change their physical activity and healthy eating behaviours","journalAbbreviation":"Psychol Health","language":"eng","author":[{"family":"Michie","given":"Susan"},{"family":"Ashford","given":"Stefanie"},{"family":"Sniehotta","given":"Falko F."},{"family":"Dombrowski","given":"Stephan U."},{"family":"Bishop","given":"Alex"},{"family":"French","given":"David P."}],"issued":{"date-parts":[["2011",11]]},"PMID":"21678185"}}],"schema":"https://github.com/citation-style-language/schema/raw/master/csl-citation.json"} </w:instrText>
      </w:r>
      <w:r w:rsidR="00B50FC5" w:rsidRPr="009949B9">
        <w:rPr>
          <w:color w:val="auto"/>
          <w:lang w:val="en-GB"/>
        </w:rPr>
        <w:fldChar w:fldCharType="separate"/>
      </w:r>
      <w:r w:rsidR="00102A29" w:rsidRPr="009949B9">
        <w:rPr>
          <w:rFonts w:cs="Arial"/>
          <w:color w:val="auto"/>
          <w:szCs w:val="24"/>
          <w:vertAlign w:val="superscript"/>
          <w:lang w:val="en-GB"/>
        </w:rPr>
        <w:t>14</w:t>
      </w:r>
      <w:r w:rsidR="00B50FC5" w:rsidRPr="009949B9">
        <w:rPr>
          <w:color w:val="auto"/>
          <w:lang w:val="en-GB"/>
        </w:rPr>
        <w:fldChar w:fldCharType="end"/>
      </w:r>
      <w:r w:rsidRPr="009949B9">
        <w:rPr>
          <w:color w:val="auto"/>
          <w:lang w:val="en-GB"/>
        </w:rPr>
        <w:t xml:space="preserve"> (see Appendix 1)</w:t>
      </w:r>
      <w:r w:rsidR="00BF0533">
        <w:rPr>
          <w:color w:val="auto"/>
          <w:lang w:val="en-GB"/>
        </w:rPr>
        <w:t>,</w:t>
      </w:r>
      <w:r w:rsidRPr="009949B9">
        <w:rPr>
          <w:color w:val="auto"/>
          <w:lang w:val="en-GB"/>
        </w:rPr>
        <w:t xml:space="preserve"> and organisations offering programmes aimed at helping people </w:t>
      </w:r>
      <w:r w:rsidR="00BF0533">
        <w:rPr>
          <w:color w:val="auto"/>
          <w:lang w:val="en-GB"/>
        </w:rPr>
        <w:t xml:space="preserve">to </w:t>
      </w:r>
      <w:r w:rsidRPr="009949B9">
        <w:rPr>
          <w:color w:val="auto"/>
          <w:lang w:val="en-GB"/>
        </w:rPr>
        <w:t>lose weight should ensure tha</w:t>
      </w:r>
      <w:r w:rsidR="00BF0533">
        <w:rPr>
          <w:color w:val="auto"/>
          <w:lang w:val="en-GB"/>
        </w:rPr>
        <w:t>t these are incorporated where</w:t>
      </w:r>
      <w:r w:rsidRPr="009949B9">
        <w:rPr>
          <w:color w:val="auto"/>
          <w:lang w:val="en-GB"/>
        </w:rPr>
        <w:t xml:space="preserve">ver possible. </w:t>
      </w:r>
    </w:p>
    <w:p w:rsidR="00C00D35" w:rsidRPr="009949B9" w:rsidRDefault="00C00D35" w:rsidP="00005598">
      <w:pPr>
        <w:rPr>
          <w:rFonts w:ascii="Georgia" w:hAnsi="Georgia"/>
          <w:color w:val="auto"/>
          <w:lang w:val="en-GB"/>
        </w:rPr>
      </w:pPr>
      <w:r w:rsidRPr="009949B9">
        <w:rPr>
          <w:rFonts w:ascii="Georgia" w:hAnsi="Georgia"/>
          <w:color w:val="auto"/>
          <w:sz w:val="22"/>
          <w:lang w:val="en-GB"/>
        </w:rPr>
        <w:t>Costs associated with each of the programmes were reported as cost per enrolled participant. This very simplistic approach allows for some comparison between programmes</w:t>
      </w:r>
      <w:r w:rsidR="006E25C1" w:rsidRPr="009949B9">
        <w:rPr>
          <w:rFonts w:ascii="Georgia" w:hAnsi="Georgia"/>
          <w:color w:val="auto"/>
          <w:sz w:val="22"/>
          <w:lang w:val="en-GB"/>
        </w:rPr>
        <w:t xml:space="preserve"> (ie</w:t>
      </w:r>
      <w:r w:rsidR="00BF0533">
        <w:rPr>
          <w:rFonts w:ascii="Georgia" w:hAnsi="Georgia"/>
          <w:color w:val="auto"/>
          <w:sz w:val="22"/>
          <w:lang w:val="en-GB"/>
        </w:rPr>
        <w:t>,</w:t>
      </w:r>
      <w:r w:rsidR="006E25C1" w:rsidRPr="009949B9">
        <w:rPr>
          <w:rFonts w:ascii="Georgia" w:hAnsi="Georgia"/>
          <w:color w:val="auto"/>
          <w:sz w:val="22"/>
          <w:lang w:val="en-GB"/>
        </w:rPr>
        <w:t xml:space="preserve"> it gives an indication of how cost-efficiency of the programme), but caution should be applied when interpreting these results</w:t>
      </w:r>
      <w:r w:rsidR="0000170C" w:rsidRPr="009949B9">
        <w:rPr>
          <w:rFonts w:ascii="Georgia" w:hAnsi="Georgia"/>
          <w:color w:val="auto"/>
          <w:sz w:val="22"/>
          <w:lang w:val="en-GB"/>
        </w:rPr>
        <w:t>. A</w:t>
      </w:r>
      <w:r w:rsidR="006E25C1" w:rsidRPr="009949B9">
        <w:rPr>
          <w:rFonts w:ascii="Georgia" w:hAnsi="Georgia"/>
          <w:color w:val="auto"/>
          <w:sz w:val="22"/>
          <w:lang w:val="en-GB"/>
        </w:rPr>
        <w:t xml:space="preserve">s the </w:t>
      </w:r>
      <w:r w:rsidR="00BF0533" w:rsidRPr="009949B9">
        <w:rPr>
          <w:rFonts w:ascii="Georgia" w:hAnsi="Georgia"/>
          <w:color w:val="auto"/>
          <w:sz w:val="22"/>
          <w:lang w:val="en-GB"/>
        </w:rPr>
        <w:t xml:space="preserve">reported </w:t>
      </w:r>
      <w:r w:rsidR="006E25C1" w:rsidRPr="009949B9">
        <w:rPr>
          <w:rFonts w:ascii="Georgia" w:hAnsi="Georgia"/>
          <w:color w:val="auto"/>
          <w:sz w:val="22"/>
          <w:lang w:val="en-GB"/>
        </w:rPr>
        <w:t>outcomes varied between programmes</w:t>
      </w:r>
      <w:r w:rsidR="00BF0533">
        <w:rPr>
          <w:rFonts w:ascii="Georgia" w:hAnsi="Georgia"/>
          <w:color w:val="auto"/>
          <w:sz w:val="22"/>
          <w:lang w:val="en-GB"/>
        </w:rPr>
        <w:t>,</w:t>
      </w:r>
      <w:r w:rsidR="006E25C1" w:rsidRPr="009949B9">
        <w:rPr>
          <w:rFonts w:ascii="Georgia" w:hAnsi="Georgia"/>
          <w:color w:val="auto"/>
          <w:sz w:val="22"/>
          <w:lang w:val="en-GB"/>
        </w:rPr>
        <w:t xml:space="preserve"> no indication of cost-</w:t>
      </w:r>
      <w:r w:rsidR="00A43C9A" w:rsidRPr="009949B9">
        <w:rPr>
          <w:rFonts w:ascii="Georgia" w:hAnsi="Georgia"/>
          <w:color w:val="auto"/>
          <w:sz w:val="22"/>
          <w:lang w:val="en-GB"/>
        </w:rPr>
        <w:t>effectiveness</w:t>
      </w:r>
      <w:r w:rsidR="006E25C1" w:rsidRPr="009949B9">
        <w:rPr>
          <w:rFonts w:ascii="Georgia" w:hAnsi="Georgia"/>
          <w:color w:val="auto"/>
          <w:sz w:val="22"/>
          <w:lang w:val="en-GB"/>
        </w:rPr>
        <w:t xml:space="preserve"> can be given.</w:t>
      </w:r>
      <w:r w:rsidRPr="009949B9">
        <w:rPr>
          <w:rFonts w:ascii="Georgia" w:hAnsi="Georgia"/>
          <w:color w:val="auto"/>
          <w:sz w:val="22"/>
          <w:lang w:val="en-GB"/>
        </w:rPr>
        <w:t xml:space="preserve"> </w:t>
      </w:r>
    </w:p>
    <w:p w:rsidR="00905EEF" w:rsidRPr="009949B9" w:rsidRDefault="00905EEF" w:rsidP="00034C96">
      <w:pPr>
        <w:pStyle w:val="Heading2"/>
      </w:pPr>
      <w:bookmarkStart w:id="20" w:name="_Toc465944122"/>
      <w:r w:rsidRPr="009949B9">
        <w:t>Considerations for future work</w:t>
      </w:r>
      <w:bookmarkEnd w:id="20"/>
    </w:p>
    <w:p w:rsidR="003124AF" w:rsidRPr="009949B9" w:rsidRDefault="003124AF" w:rsidP="003124AF">
      <w:pPr>
        <w:pStyle w:val="NoSpacing"/>
        <w:rPr>
          <w:color w:val="auto"/>
          <w:lang w:val="en-GB"/>
        </w:rPr>
      </w:pPr>
      <w:r w:rsidRPr="009949B9">
        <w:rPr>
          <w:color w:val="auto"/>
          <w:lang w:val="en-GB"/>
        </w:rPr>
        <w:t xml:space="preserve">Perhaps the largest challenge in interpreting many of </w:t>
      </w:r>
      <w:r w:rsidR="00BE2682">
        <w:rPr>
          <w:color w:val="auto"/>
          <w:lang w:val="en-GB"/>
        </w:rPr>
        <w:t>this</w:t>
      </w:r>
      <w:r w:rsidRPr="009949B9">
        <w:rPr>
          <w:color w:val="auto"/>
          <w:lang w:val="en-GB"/>
        </w:rPr>
        <w:t xml:space="preserve"> data is the lack of consistency in reporting clinical outcomes. It is important to note</w:t>
      </w:r>
      <w:r w:rsidR="00BF0533">
        <w:rPr>
          <w:color w:val="auto"/>
          <w:lang w:val="en-GB"/>
        </w:rPr>
        <w:t>,</w:t>
      </w:r>
      <w:r w:rsidRPr="009949B9">
        <w:rPr>
          <w:color w:val="auto"/>
          <w:lang w:val="en-GB"/>
        </w:rPr>
        <w:t xml:space="preserve"> however</w:t>
      </w:r>
      <w:r w:rsidR="00BF0533">
        <w:rPr>
          <w:color w:val="auto"/>
          <w:lang w:val="en-GB"/>
        </w:rPr>
        <w:t>,</w:t>
      </w:r>
      <w:r w:rsidRPr="009949B9">
        <w:rPr>
          <w:color w:val="auto"/>
          <w:lang w:val="en-GB"/>
        </w:rPr>
        <w:t xml:space="preserve"> that these projects were pilot projects and no specific outcomes were specified. In future projects it would be useful to specify some standard outcomes so that the effectiveness of the programmes can be measured and compared. Whilst it can be argued that there are other measurable changes in behaviours and wellbeing, policy makers are most likely to </w:t>
      </w:r>
      <w:r w:rsidR="00BF0533">
        <w:rPr>
          <w:color w:val="auto"/>
          <w:lang w:val="en-GB"/>
        </w:rPr>
        <w:t xml:space="preserve">be </w:t>
      </w:r>
      <w:r w:rsidRPr="009949B9">
        <w:rPr>
          <w:color w:val="auto"/>
          <w:lang w:val="en-GB"/>
        </w:rPr>
        <w:t>swayed by evidence of change in clinical outcomes. Taking the pre-diabetes projects, for example, the aims were typically to</w:t>
      </w:r>
      <w:r w:rsidR="00BF0533">
        <w:rPr>
          <w:color w:val="auto"/>
          <w:lang w:val="en-GB"/>
        </w:rPr>
        <w:t>:</w:t>
      </w:r>
      <w:r w:rsidRPr="009949B9">
        <w:rPr>
          <w:color w:val="auto"/>
          <w:lang w:val="en-GB"/>
        </w:rPr>
        <w:t xml:space="preserve"> (a) reduce HbA1c into normal ranges</w:t>
      </w:r>
      <w:r w:rsidR="00BF0533">
        <w:rPr>
          <w:color w:val="auto"/>
          <w:lang w:val="en-GB"/>
        </w:rPr>
        <w:t>;</w:t>
      </w:r>
      <w:r w:rsidRPr="009949B9">
        <w:rPr>
          <w:color w:val="auto"/>
          <w:lang w:val="en-GB"/>
        </w:rPr>
        <w:t xml:space="preserve"> or (b) reduce the progression of pre-di</w:t>
      </w:r>
      <w:r w:rsidR="00BF0533">
        <w:rPr>
          <w:color w:val="auto"/>
          <w:lang w:val="en-GB"/>
        </w:rPr>
        <w:t>abetes to t</w:t>
      </w:r>
      <w:r w:rsidRPr="009949B9">
        <w:rPr>
          <w:color w:val="auto"/>
          <w:lang w:val="en-GB"/>
        </w:rPr>
        <w:t>ype 2 diabetes. Therefore a potential outcome measure for (a) might be the proportion of participants who reduce their HbA1c levels &lt; 41 mmol/mol, and for (b) the proportion of participants who maintain their HbA1c levels &lt; 55 mmol/mol.</w:t>
      </w:r>
      <w:r w:rsidR="0082193A" w:rsidRPr="009949B9">
        <w:rPr>
          <w:color w:val="auto"/>
          <w:lang w:val="en-GB"/>
        </w:rPr>
        <w:t xml:space="preserve"> Standardised outcomes would also help to analyse the cost-effectiveness.</w:t>
      </w:r>
    </w:p>
    <w:p w:rsidR="003124AF" w:rsidRPr="009949B9" w:rsidRDefault="003124AF" w:rsidP="003124AF">
      <w:pPr>
        <w:pStyle w:val="NoSpacing"/>
        <w:rPr>
          <w:color w:val="auto"/>
          <w:lang w:val="en-GB"/>
        </w:rPr>
      </w:pPr>
      <w:r w:rsidRPr="009949B9">
        <w:rPr>
          <w:color w:val="auto"/>
          <w:lang w:val="en-GB"/>
        </w:rPr>
        <w:t>Similarly for weight, interventions that lead to at least 5</w:t>
      </w:r>
      <w:r w:rsidR="00973820">
        <w:rPr>
          <w:color w:val="auto"/>
          <w:lang w:val="en-GB"/>
        </w:rPr>
        <w:t xml:space="preserve"> percent</w:t>
      </w:r>
      <w:r w:rsidRPr="009949B9">
        <w:rPr>
          <w:color w:val="auto"/>
          <w:lang w:val="en-GB"/>
        </w:rPr>
        <w:t xml:space="preserve"> reduction in body weight can lead to health improvements (</w:t>
      </w:r>
      <w:r w:rsidR="0034188F">
        <w:rPr>
          <w:color w:val="auto"/>
          <w:lang w:val="en-GB"/>
        </w:rPr>
        <w:t>eg,</w:t>
      </w:r>
      <w:r w:rsidRPr="009949B9">
        <w:rPr>
          <w:color w:val="auto"/>
          <w:lang w:val="en-GB"/>
        </w:rPr>
        <w:t xml:space="preserve"> a decreased risk of type </w:t>
      </w:r>
      <w:r w:rsidR="00BF0533">
        <w:rPr>
          <w:color w:val="auto"/>
          <w:lang w:val="en-GB"/>
        </w:rPr>
        <w:t>2</w:t>
      </w:r>
      <w:r w:rsidRPr="009949B9">
        <w:rPr>
          <w:color w:val="auto"/>
          <w:lang w:val="en-GB"/>
        </w:rPr>
        <w:t xml:space="preserve"> diabetes),</w:t>
      </w:r>
      <w:r w:rsidR="00B50FC5" w:rsidRPr="009949B9">
        <w:rPr>
          <w:color w:val="auto"/>
          <w:lang w:val="en-GB"/>
        </w:rPr>
        <w:fldChar w:fldCharType="begin"/>
      </w:r>
      <w:r w:rsidR="00102A29" w:rsidRPr="009949B9">
        <w:rPr>
          <w:color w:val="auto"/>
          <w:lang w:val="en-GB"/>
        </w:rPr>
        <w:instrText xml:space="preserve"> ADDIN ZOTERO_ITEM CSL_CITATION {"citationID":"5clpro7il","properties":{"formattedCitation":"{\\rtf \\super 15\\uc0\\u8211{}18\\nosupersub{}}","plainCitation":"15–18"},"citationItems":[{"id":4751,"uris":["http://zotero.org/users/1878547/items/6GKKVZFA"],"uri":["http://zotero.org/users/1878547/items/6GKKVZFA"],"itemData":{"id":4751,"type":"article-journal","title":"Benefits of modest weight loss in improving cardiovascular risk factors in overweight and obese individuals with type 2 diabetes","container-title":"Diabetes Care","page":"1481-1486","volume":"34","issue":"7","source":"PubMed","abstract":"OBJECTIVE: Overweight and obese individuals are encouraged to lose 5-10% of their body weight to improve cardiovascular disease (CVD) risk, but data supporting this recommendation are limited, particularly for individuals with type 2 diabetes.\nRESEARCH DESIGN AND METHODS: We conducted an observational analysis of participants in the Look AHEAD (Action For Health in Diabetes) study (n=5,145, 40.5% male, 37% from ethnic/racial minorities) and examined the association between the magnitude of weight loss and changes in CVD risk factors at 1 year and the odds of meeting predefined criteria for clinically significant improvements in risk factors in individuals with type 2 diabetes.\nRESULTS: The magnitude of weight loss at 1 year was strongly (P&lt;0.0001) associated with improvements in glycemia, blood pressure, triglycerides, and HDL cholesterol but not with LDL cholesterol (P=0.79). Compared with weight-stable participants, those who lost 5 to &lt;10% ([means±SD] 7.25±2.1 kg) of their body weight had increased odds of achieving a 0.5% point reduction in HbA1c (odds ratio 3.52 [95% CI 2.81-4.40]), a 5-mmHg decrease in diastolic blood pressure (1.48 [1.20-1.82]), a 5-mmHg decrease in systolic blood pressure (1.56 [1.27-1.91]), a 5 mg/dL increase in HDL cholesterol (1.69 [1.37-2.07]), and a 40 mg/dL decrease in triglycerides (2.20 [1.71-2.83]). The odds of clinically significant improvements in most risk factors were even greater in those who lost 10-15% of their body weight.\nCONCLUSIONS: Modest weight losses of 5 to &lt;10% were associated with significant improvements in CVD risk factors at 1 year, but larger weight losses had greater benefits.","DOI":"10.2337/dc10-2415","ISSN":"1935-5548","note":"PMID: 21593294\nPMCID: PMC3120182","journalAbbreviation":"Diabetes Care","language":"eng","author":[{"family":"Wing","given":"Rena R."},{"family":"Lang","given":"Wei"},{"family":"Wadden","given":"Thomas A."},{"family":"Safford","given":"Monika"},{"family":"Knowler","given":"William C."},{"family":"Bertoni","given":"Alain G."},{"family":"Hill","given":"James O."},{"family":"Brancati","given":"Frederick L."},{"family":"Peters","given":"Anne"},{"family":"Wagenknecht","given":"Lynne"},{"literal":"Look AHEAD Research Group"}],"issued":{"date-parts":[["2011",7]]},"PMID":"21593294","PMCID":"PMC3120182"}},{"id":4753,"uris":["http://zotero.org/users/1878547/items/FXS39IH4"],"uri":["http://zotero.org/users/1878547/items/FXS39IH4"],"itemData":{"id":4753,"type":"article-journal","title":"Effects of 5 % weight loss through diet or diet plus exercise on cardiovascular parameters of obese: a randomized clinical trial","container-title":"European Journal of Nutrition","page":"1443-1450","volume":"52","issue":"5","source":"PubMed","abstract":"OBJECTIVE: To evaluate the effects of 5 % weight loss, through diet only or diet plus exercise, on lipid profile, inflammation and endothelial function in obese individuals.\nMETHODS: In this randomized clinical trial, 48 obese individuals were randomized to either a diet only group (DI) or a diet and exercise group (DI + EXE). Treatment was maintained until 5 % of the initial body weight was lost. At baseline and upon completion, the following parameters were analyzed: total cholesterol and fractions, triglycerides, fibrinogen, von Willebrand factor, high-sensitive C-reactive protein (hs-CRP) and endothelial function (brachial artery flow-mediated vasodilation-FMD).\nRESULTS: Thirteen individuals dropped out before completing the weight loss intervention. The median time required for reduction of 5 % of initial body weight was 79.7 days for the DI group and 65.9 days for the DI + EXE group (P = 0.16). In both DI (n = 18) and DI + EXE (n = 17), total cholesterol (-15.8 ± 4.8 and -10.5 ± 4.9 mg/dL, respectively), triglycerides (-33.8 ± 10.0 and -39.4 ± 10.3 mg/dL, respectively) and hs-CRP (-1.35 ± 0.41 and -0.45 ± 0.43 mg/L, respectively) decreased significantly, and in a similar response (repeated measures ANOVA). Weight loss did not change significantly the fibrinogen and FMD in both groups.\nCONCLUSION: A 5 % weight loss improves lipid profile and reduces inflammation in obese individuals. Endothelial function did not change significantly. Weight loss has a significant impact on these cardiovascular risk factors, and this is independent of physical training.","DOI":"10.1007/s00394-012-0450-1","ISSN":"1436-6215","note":"PMID: 23052625","shortTitle":"Effects of 5 % weight loss through diet or diet plus exercise on cardiovascular parameters of obese","journalAbbreviation":"Eur J Nutr","language":"eng","author":[{"family":"Fayh","given":"Ana Paula Trussardi"},{"family":"Lopes","given":"André Luiz"},{"family":"Silva","given":"Antônio Marcos Vargas","non-dropping-particle":"da"},{"family":"Reischak-Oliveira","given":"Alvaro"},{"family":"Friedman","given":"Rogério"}],"issued":{"date-parts":[["2013",8]]},"PMID":"23052625"}},{"id":4755,"uris":["http://zotero.org/users/1878547/items/4QQEKQXE"],"uri":["http://zotero.org/users/1878547/items/4QQEKQXE"],"itemData":{"id":4755,"type":"article-journal","title":"What is the relationship between risk factor reduction and degree of weight loss?","container-title":"European Heart Journal Supplements","page":"L21-L26","volume":"7","issue":"suppl L","source":"eurheartjsupp.oxfordjournals.org","abstract":"Moderate weight loss achieved through lifestyle interventions positively impacts on a number of metabolic and cardiovascular risk factors. Clinical studies have shown that sustained moderate weight loss lowers blood pressure, improves glucose control, and improves dyslipidaemia as well as inflammatory, haemostatic, and fibrinolytic factors. In addition, it is associated with the prevention of progression to Type 2 diabetes in at-risk subjects. Furthermore, increasing physical fitness is associated with increases in HDL cholesterol and reductions in all-cause mortality. However, there is, as yet, only indirect evidence that modification of risk factors through weight loss will reduce mortality.","DOI":"10.1093/eurheartj/sui082","ISSN":"1520-765X, 1554-2815","language":"en","author":[{"family":"Gaal","given":"Luc F. Van"},{"family":"Mertens","given":"Ilse L."},{"family":"Ballaux","given":"Dominique"}],"issued":{"date-parts":[["2005",11,1]]}}},{"id":4758,"uris":["http://zotero.org/users/1878547/items/NAB4FBK3"],"uri":["http://zotero.org/users/1878547/items/NAB4FBK3"],"itemData":{"id":4758,"type":"article-journal","title":"Effect of degree of weight loss on health benefits","container-title":"Obesity Research","page":"211s-216s","volume":"3 Suppl 2","source":"PubMed","abstract":"Although most dieters strive to achieve \"ideal\" body weight, clinical and laboratory evidence clearly supports the value of a modest weight loss goal to attain health and emotional benefit. Weight loss as low as 5% has been shown to reduce or eliminate disorders associated with obesity, though several questions remain partially or completely unanswered regarding the roles of degree of weight loss, method of weight loss, distribution of fat reduction, and other variables. This paper reviews the effect of degree of weight loss on specific disease states and risk factors and discusses the impact of ethnic background, fat distribution, age, and mode of weight loss on outcome.","ISSN":"1071-7323","note":"PMID: 8581779","journalAbbreviation":"Obes. Res.","language":"eng","author":[{"family":"Blackburn","given":"G."}],"issued":{"date-parts":[["1995",9]]},"PMID":"8581779"}}],"schema":"https://github.com/citation-style-language/schema/raw/master/csl-citation.json"} </w:instrText>
      </w:r>
      <w:r w:rsidR="00B50FC5" w:rsidRPr="009949B9">
        <w:rPr>
          <w:color w:val="auto"/>
          <w:lang w:val="en-GB"/>
        </w:rPr>
        <w:fldChar w:fldCharType="separate"/>
      </w:r>
      <w:r w:rsidR="00102A29" w:rsidRPr="009949B9">
        <w:rPr>
          <w:color w:val="auto"/>
          <w:szCs w:val="24"/>
          <w:vertAlign w:val="superscript"/>
          <w:lang w:val="en-GB"/>
        </w:rPr>
        <w:t>15–18</w:t>
      </w:r>
      <w:r w:rsidR="00B50FC5" w:rsidRPr="009949B9">
        <w:rPr>
          <w:color w:val="auto"/>
          <w:lang w:val="en-GB"/>
        </w:rPr>
        <w:fldChar w:fldCharType="end"/>
      </w:r>
      <w:r w:rsidRPr="009949B9">
        <w:rPr>
          <w:color w:val="auto"/>
          <w:lang w:val="en-GB"/>
        </w:rPr>
        <w:t xml:space="preserve"> and so reporting the proportion of people that reduced their baseline body weight by at least 5</w:t>
      </w:r>
      <w:r w:rsidR="00973820">
        <w:rPr>
          <w:color w:val="auto"/>
          <w:lang w:val="en-GB"/>
        </w:rPr>
        <w:t xml:space="preserve"> percent</w:t>
      </w:r>
      <w:r w:rsidRPr="009949B9">
        <w:rPr>
          <w:color w:val="auto"/>
          <w:lang w:val="en-GB"/>
        </w:rPr>
        <w:t xml:space="preserve"> would be clinical</w:t>
      </w:r>
      <w:r w:rsidR="00BF0533">
        <w:rPr>
          <w:color w:val="auto"/>
          <w:lang w:val="en-GB"/>
        </w:rPr>
        <w:t>ly</w:t>
      </w:r>
      <w:r w:rsidRPr="009949B9">
        <w:rPr>
          <w:color w:val="auto"/>
          <w:lang w:val="en-GB"/>
        </w:rPr>
        <w:t xml:space="preserve"> relevant. The Choose Change project focussed on change in body fat, which is a novel approach and one that participants liked. </w:t>
      </w:r>
      <w:r w:rsidRPr="009949B9">
        <w:rPr>
          <w:color w:val="auto"/>
          <w:shd w:val="clear" w:color="auto" w:fill="FFFFFF"/>
          <w:lang w:val="en-GB"/>
        </w:rPr>
        <w:t>A systematic review of weight loss studies that measured weight, BMI and body composition found that there was agreement across measures. However</w:t>
      </w:r>
      <w:r w:rsidR="00BF0533">
        <w:rPr>
          <w:color w:val="auto"/>
          <w:shd w:val="clear" w:color="auto" w:fill="FFFFFF"/>
          <w:lang w:val="en-GB"/>
        </w:rPr>
        <w:t>,</w:t>
      </w:r>
      <w:r w:rsidRPr="009949B9">
        <w:rPr>
          <w:color w:val="auto"/>
          <w:shd w:val="clear" w:color="auto" w:fill="FFFFFF"/>
          <w:lang w:val="en-GB"/>
        </w:rPr>
        <w:t xml:space="preserve"> fat loss accounted for most of the weight loss and so there is good rationale for including</w:t>
      </w:r>
      <w:r w:rsidR="00973820">
        <w:rPr>
          <w:color w:val="auto"/>
          <w:shd w:val="clear" w:color="auto" w:fill="FFFFFF"/>
          <w:lang w:val="en-GB"/>
        </w:rPr>
        <w:t xml:space="preserve"> percent</w:t>
      </w:r>
      <w:r w:rsidRPr="009949B9">
        <w:rPr>
          <w:color w:val="auto"/>
          <w:shd w:val="clear" w:color="auto" w:fill="FFFFFF"/>
          <w:lang w:val="en-GB"/>
        </w:rPr>
        <w:t xml:space="preserve"> body fat </w:t>
      </w:r>
      <w:r w:rsidR="00BF0533">
        <w:rPr>
          <w:color w:val="auto"/>
          <w:shd w:val="clear" w:color="auto" w:fill="FFFFFF"/>
          <w:lang w:val="en-GB"/>
        </w:rPr>
        <w:t>as an outcome measure. The down</w:t>
      </w:r>
      <w:r w:rsidRPr="009949B9">
        <w:rPr>
          <w:color w:val="auto"/>
          <w:shd w:val="clear" w:color="auto" w:fill="FFFFFF"/>
          <w:lang w:val="en-GB"/>
        </w:rPr>
        <w:t xml:space="preserve">side is </w:t>
      </w:r>
      <w:r w:rsidR="00BF0533">
        <w:rPr>
          <w:color w:val="auto"/>
          <w:shd w:val="clear" w:color="auto" w:fill="FFFFFF"/>
          <w:lang w:val="en-GB"/>
        </w:rPr>
        <w:t xml:space="preserve">that </w:t>
      </w:r>
      <w:r w:rsidRPr="009949B9">
        <w:rPr>
          <w:color w:val="auto"/>
          <w:shd w:val="clear" w:color="auto" w:fill="FFFFFF"/>
          <w:lang w:val="en-GB"/>
        </w:rPr>
        <w:t>the accurate measurement of fat mass (</w:t>
      </w:r>
      <w:r w:rsidR="0034188F">
        <w:rPr>
          <w:color w:val="auto"/>
          <w:shd w:val="clear" w:color="auto" w:fill="FFFFFF"/>
          <w:lang w:val="en-GB"/>
        </w:rPr>
        <w:t>eg,</w:t>
      </w:r>
      <w:r w:rsidRPr="009949B9">
        <w:rPr>
          <w:color w:val="auto"/>
          <w:shd w:val="clear" w:color="auto" w:fill="FFFFFF"/>
          <w:lang w:val="en-GB"/>
        </w:rPr>
        <w:t xml:space="preserve"> using DEXA scan) is expensive. Bioelectrical impedance is a cheaper and easier measurement, but its accuracy can vary depending on the quality of the equipment and the equations used to estimate body composition.</w:t>
      </w:r>
      <w:r w:rsidR="00B50FC5" w:rsidRPr="009949B9">
        <w:rPr>
          <w:color w:val="auto"/>
          <w:shd w:val="clear" w:color="auto" w:fill="FFFFFF"/>
          <w:lang w:val="en-GB"/>
        </w:rPr>
        <w:fldChar w:fldCharType="begin"/>
      </w:r>
      <w:r w:rsidR="00102A29" w:rsidRPr="009949B9">
        <w:rPr>
          <w:color w:val="auto"/>
          <w:shd w:val="clear" w:color="auto" w:fill="FFFFFF"/>
          <w:lang w:val="en-GB"/>
        </w:rPr>
        <w:instrText xml:space="preserve"> ADDIN ZOTERO_ITEM CSL_CITATION {"citationID":"70rjoh4u4","properties":{"formattedCitation":"{\\rtf \\super 19\\nosupersub{}}","plainCitation":"19"},"citationItems":[{"id":5444,"uris":["http://zotero.org/users/1878547/items/XBJ676GM"],"uri":["http://zotero.org/users/1878547/items/XBJ676GM"],"itemData":{"id":5444,"type":"article-journal","title":"Measuring outcomes in adult weight loss studies that include diet and physical activity: a systematic review","container-title":"Journal of Nutrition and Metabolism","page":"421423","volume":"2014","source":"PubMed","abstract":"Background. Measuring success of obesity interventions is critical. Several methods measure weight loss outcomes but there is no consensus on best practices. This systematic review evaluates relevant outcomes (weight loss, BMI, % body fat, and fat mass) to determine which might be the best indicator(s) of success. Methods. Eligible articles described adult weight loss interventions that included diet and physical activity and a measure of weight or BMI change and body composition change. Results. 28 full-text articles met inclusion criteria. Subjects, settings, intervention lengths, and intensities varied. All studies measured body weight (-2.9 to -17.3</w:instrText>
      </w:r>
      <w:r w:rsidR="00102A29" w:rsidRPr="009949B9">
        <w:rPr>
          <w:rFonts w:hAnsi="Times New Roman" w:cs="Times New Roman"/>
          <w:color w:val="auto"/>
          <w:shd w:val="clear" w:color="auto" w:fill="FFFFFF"/>
          <w:lang w:val="en-GB"/>
        </w:rPr>
        <w:instrText> </w:instrText>
      </w:r>
      <w:r w:rsidR="00102A29" w:rsidRPr="009949B9">
        <w:rPr>
          <w:color w:val="auto"/>
          <w:shd w:val="clear" w:color="auto" w:fill="FFFFFF"/>
          <w:lang w:val="en-GB"/>
        </w:rPr>
        <w:instrText>kg), 9 studies measured BMI (-1.1 to -5.1</w:instrText>
      </w:r>
      <w:r w:rsidR="00102A29" w:rsidRPr="009949B9">
        <w:rPr>
          <w:rFonts w:hAnsi="Times New Roman" w:cs="Times New Roman"/>
          <w:color w:val="auto"/>
          <w:shd w:val="clear" w:color="auto" w:fill="FFFFFF"/>
          <w:lang w:val="en-GB"/>
        </w:rPr>
        <w:instrText> </w:instrText>
      </w:r>
      <w:r w:rsidR="00102A29" w:rsidRPr="009949B9">
        <w:rPr>
          <w:color w:val="auto"/>
          <w:shd w:val="clear" w:color="auto" w:fill="FFFFFF"/>
          <w:lang w:val="en-GB"/>
        </w:rPr>
        <w:instrText>kg/m(2)), 20 studies measured % body fat (-0.7 to -10.2%), and 22 studies measured fat mass (-0.9 to -14.9</w:instrText>
      </w:r>
      <w:r w:rsidR="00102A29" w:rsidRPr="009949B9">
        <w:rPr>
          <w:rFonts w:hAnsi="Times New Roman" w:cs="Times New Roman"/>
          <w:color w:val="auto"/>
          <w:shd w:val="clear" w:color="auto" w:fill="FFFFFF"/>
          <w:lang w:val="en-GB"/>
        </w:rPr>
        <w:instrText> </w:instrText>
      </w:r>
      <w:r w:rsidR="00102A29" w:rsidRPr="009949B9">
        <w:rPr>
          <w:color w:val="auto"/>
          <w:shd w:val="clear" w:color="auto" w:fill="FFFFFF"/>
          <w:lang w:val="en-GB"/>
        </w:rPr>
        <w:instrText xml:space="preserve">kg). All studies found agreement between weight or BMI and body fat mass or body fat % decreases, though there were discrepancies in degree of significance between measures. Conclusions. Nearly all weight or BMI and body composition measures agreed. Since body fat is the most metabolically harmful tissue type, it may be a more meaningful measure of health change. Future studies should consider primarily measuring % body fat, rather than or in addition to weight or BMI.","DOI":"10.1155/2014/421423","ISSN":"2090-0724","note":"PMID: 25525513\nPMCID: PMC4262752","shortTitle":"Measuring outcomes in adult weight loss studies that include diet and physical activity","journalAbbreviation":"J Nutr Metab","language":"eng","author":[{"family":"Millstein","given":"Rachel A."}],"issued":{"date-parts":[["2014"]]},"PMID":"25525513","PMCID":"PMC4262752"}}],"schema":"https://github.com/citation-style-language/schema/raw/master/csl-citation.json"} </w:instrText>
      </w:r>
      <w:r w:rsidR="00B50FC5" w:rsidRPr="009949B9">
        <w:rPr>
          <w:color w:val="auto"/>
          <w:shd w:val="clear" w:color="auto" w:fill="FFFFFF"/>
          <w:lang w:val="en-GB"/>
        </w:rPr>
        <w:fldChar w:fldCharType="separate"/>
      </w:r>
      <w:r w:rsidR="00102A29" w:rsidRPr="009949B9">
        <w:rPr>
          <w:rFonts w:cs="Arial"/>
          <w:color w:val="auto"/>
          <w:szCs w:val="24"/>
          <w:vertAlign w:val="superscript"/>
          <w:lang w:val="en-GB"/>
        </w:rPr>
        <w:t>19</w:t>
      </w:r>
      <w:r w:rsidR="00B50FC5" w:rsidRPr="009949B9">
        <w:rPr>
          <w:color w:val="auto"/>
          <w:shd w:val="clear" w:color="auto" w:fill="FFFFFF"/>
          <w:lang w:val="en-GB"/>
        </w:rPr>
        <w:fldChar w:fldCharType="end"/>
      </w:r>
    </w:p>
    <w:p w:rsidR="003124AF" w:rsidRPr="009949B9" w:rsidRDefault="003124AF" w:rsidP="003124AF">
      <w:pPr>
        <w:pStyle w:val="NoSpacing"/>
        <w:rPr>
          <w:color w:val="auto"/>
          <w:lang w:val="en-GB"/>
        </w:rPr>
      </w:pPr>
      <w:r w:rsidRPr="009949B9">
        <w:rPr>
          <w:color w:val="auto"/>
          <w:lang w:val="en-GB"/>
        </w:rPr>
        <w:t xml:space="preserve">A major factor in any behaviour change programme is loss to follow-up (LTFU). </w:t>
      </w:r>
      <w:r w:rsidR="0082193A" w:rsidRPr="009949B9">
        <w:rPr>
          <w:color w:val="auto"/>
          <w:lang w:val="en-GB"/>
        </w:rPr>
        <w:t xml:space="preserve">A commonly reported contributor to this is that those who are unable to achieve the behaviour change do not want to be followed up, whereas those who do well are keen to show their progress. </w:t>
      </w:r>
      <w:r w:rsidRPr="009949B9">
        <w:rPr>
          <w:color w:val="auto"/>
          <w:lang w:val="en-GB"/>
        </w:rPr>
        <w:t xml:space="preserve">For example, in the Alliance Health Plus project 752 patients enrolled and 242 completed the programme, suggesting that 510 were lost to follow-up. How to deal with those </w:t>
      </w:r>
      <w:r w:rsidR="00BF0533">
        <w:rPr>
          <w:color w:val="auto"/>
          <w:lang w:val="en-GB"/>
        </w:rPr>
        <w:t>LTFU</w:t>
      </w:r>
      <w:r w:rsidRPr="009949B9">
        <w:rPr>
          <w:color w:val="auto"/>
          <w:lang w:val="en-GB"/>
        </w:rPr>
        <w:t xml:space="preserve"> is often debated. One option is to simply ignore those LTFU and analyse data on those that completed treatment only. The problem with this method is that it tends to overestimate the effect of the programme. Those that are doing well, </w:t>
      </w:r>
      <w:r w:rsidR="0034188F">
        <w:rPr>
          <w:color w:val="auto"/>
          <w:lang w:val="en-GB"/>
        </w:rPr>
        <w:t>eg,</w:t>
      </w:r>
      <w:r w:rsidRPr="009949B9">
        <w:rPr>
          <w:color w:val="auto"/>
          <w:lang w:val="en-GB"/>
        </w:rPr>
        <w:t xml:space="preserve"> losing weight, are likely to keep attending, whilst those who do not lose weight drop out. Future evaluations should undertake sensitivity analyses. The most basic of these is to use baseline observation carried forward. Although this is not perfect, it is simple to undertake and represents a conservative approach.</w:t>
      </w:r>
    </w:p>
    <w:p w:rsidR="00905EEF" w:rsidRPr="009949B9" w:rsidRDefault="00905EEF" w:rsidP="00905EEF">
      <w:pPr>
        <w:rPr>
          <w:rFonts w:ascii="Georgia" w:hAnsi="Georgia"/>
          <w:bCs/>
          <w:color w:val="auto"/>
          <w:szCs w:val="18"/>
          <w:lang w:val="en-GB"/>
        </w:rPr>
      </w:pPr>
      <w:r w:rsidRPr="009949B9">
        <w:rPr>
          <w:rFonts w:ascii="Georgia" w:hAnsi="Georgia"/>
          <w:color w:val="auto"/>
          <w:lang w:val="en-GB"/>
        </w:rPr>
        <w:br w:type="page"/>
      </w:r>
    </w:p>
    <w:p w:rsidR="00905EEF" w:rsidRPr="009949B9" w:rsidRDefault="00905EEF" w:rsidP="00FD3577">
      <w:pPr>
        <w:pStyle w:val="Heading1"/>
      </w:pPr>
      <w:bookmarkStart w:id="21" w:name="_Toc465944123"/>
      <w:r w:rsidRPr="009949B9">
        <w:t>References</w:t>
      </w:r>
      <w:bookmarkEnd w:id="21"/>
    </w:p>
    <w:p w:rsidR="00102A29" w:rsidRPr="0046640B" w:rsidRDefault="00B50FC5" w:rsidP="00FD3577">
      <w:pPr>
        <w:pStyle w:val="Bibliography"/>
        <w:spacing w:after="140" w:line="264" w:lineRule="auto"/>
        <w:ind w:left="266" w:hanging="266"/>
        <w:rPr>
          <w:rFonts w:ascii="Georgia" w:hAnsi="Georgia" w:cs="Arial"/>
          <w:color w:val="auto"/>
          <w:szCs w:val="24"/>
          <w:lang w:val="en-GB"/>
        </w:rPr>
      </w:pPr>
      <w:r w:rsidRPr="009949B9">
        <w:rPr>
          <w:rFonts w:ascii="Georgia" w:hAnsi="Georgia"/>
          <w:color w:val="auto"/>
          <w:lang w:val="en-GB"/>
        </w:rPr>
        <w:fldChar w:fldCharType="begin"/>
      </w:r>
      <w:r w:rsidR="00102A29" w:rsidRPr="009949B9">
        <w:rPr>
          <w:rFonts w:ascii="Georgia" w:hAnsi="Georgia"/>
          <w:color w:val="auto"/>
          <w:lang w:val="en-GB"/>
        </w:rPr>
        <w:instrText xml:space="preserve"> ADDIN ZOTERO_BIBL {"custom":[]} CSL_BIBLIOGRAPHY </w:instrText>
      </w:r>
      <w:r w:rsidRPr="009949B9">
        <w:rPr>
          <w:rFonts w:ascii="Georgia" w:hAnsi="Georgia"/>
          <w:color w:val="auto"/>
          <w:lang w:val="en-GB"/>
        </w:rPr>
        <w:fldChar w:fldCharType="separate"/>
      </w:r>
      <w:r w:rsidR="00102A29" w:rsidRPr="009949B9">
        <w:rPr>
          <w:rFonts w:ascii="Georgia" w:hAnsi="Georgia" w:cs="Arial"/>
          <w:color w:val="auto"/>
          <w:szCs w:val="24"/>
          <w:lang w:val="en-GB"/>
        </w:rPr>
        <w:t>1.</w:t>
      </w:r>
      <w:r w:rsidR="00102A29" w:rsidRPr="009949B9">
        <w:rPr>
          <w:rFonts w:ascii="Georgia" w:hAnsi="Georgia" w:cs="Arial"/>
          <w:color w:val="auto"/>
          <w:szCs w:val="24"/>
          <w:lang w:val="en-GB"/>
        </w:rPr>
        <w:tab/>
      </w:r>
      <w:r w:rsidR="00102A29" w:rsidRPr="0046640B">
        <w:rPr>
          <w:rFonts w:ascii="Georgia" w:hAnsi="Georgia" w:cs="Arial"/>
          <w:color w:val="auto"/>
          <w:szCs w:val="24"/>
          <w:lang w:val="en-GB"/>
        </w:rPr>
        <w:t>Ministry of Health</w:t>
      </w:r>
      <w:r w:rsidR="00BF0533" w:rsidRPr="0046640B">
        <w:rPr>
          <w:rFonts w:ascii="Georgia" w:hAnsi="Georgia" w:cs="Arial"/>
          <w:color w:val="auto"/>
          <w:szCs w:val="24"/>
          <w:lang w:val="en-GB"/>
        </w:rPr>
        <w:t>, Clinical Trials Research Unit</w:t>
      </w:r>
      <w:r w:rsidR="00102A29" w:rsidRPr="0046640B">
        <w:rPr>
          <w:rFonts w:ascii="Georgia" w:hAnsi="Georgia" w:cs="Arial"/>
          <w:color w:val="auto"/>
          <w:szCs w:val="24"/>
          <w:lang w:val="en-GB"/>
        </w:rPr>
        <w:t xml:space="preserve">. </w:t>
      </w:r>
      <w:r w:rsidR="00BF0533" w:rsidRPr="0046640B">
        <w:rPr>
          <w:rFonts w:ascii="Georgia" w:hAnsi="Georgia" w:cs="Arial"/>
          <w:color w:val="auto"/>
          <w:szCs w:val="24"/>
          <w:lang w:val="en-GB"/>
        </w:rPr>
        <w:t xml:space="preserve">2009. </w:t>
      </w:r>
      <w:r w:rsidR="00102A29" w:rsidRPr="0046640B">
        <w:rPr>
          <w:rFonts w:ascii="Georgia" w:hAnsi="Georgia" w:cs="Arial"/>
          <w:i/>
          <w:color w:val="auto"/>
          <w:szCs w:val="24"/>
          <w:lang w:val="en-GB"/>
        </w:rPr>
        <w:t>Clinical Guidelines for Weight Managemen</w:t>
      </w:r>
      <w:r w:rsidR="00BF0533" w:rsidRPr="0046640B">
        <w:rPr>
          <w:rFonts w:ascii="Georgia" w:hAnsi="Georgia" w:cs="Arial"/>
          <w:i/>
          <w:color w:val="auto"/>
          <w:szCs w:val="24"/>
          <w:lang w:val="en-GB"/>
        </w:rPr>
        <w:t>t in New Zealand Adults.</w:t>
      </w:r>
      <w:r w:rsidR="00BF0533" w:rsidRPr="0046640B">
        <w:rPr>
          <w:rFonts w:ascii="Georgia" w:hAnsi="Georgia" w:cs="Arial"/>
          <w:color w:val="auto"/>
          <w:szCs w:val="24"/>
          <w:lang w:val="en-GB"/>
        </w:rPr>
        <w:t xml:space="preserve"> Wellington: Ministry of Health.</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2.</w:t>
      </w:r>
      <w:r w:rsidRPr="0046640B">
        <w:rPr>
          <w:rFonts w:ascii="Georgia" w:hAnsi="Georgia" w:cs="Arial"/>
          <w:color w:val="auto"/>
          <w:szCs w:val="24"/>
          <w:lang w:val="en-GB"/>
        </w:rPr>
        <w:tab/>
        <w:t xml:space="preserve">HealthEd. </w:t>
      </w:r>
      <w:r w:rsidR="00BF0533" w:rsidRPr="0046640B">
        <w:rPr>
          <w:rFonts w:ascii="Georgia" w:hAnsi="Georgia" w:cs="Arial"/>
          <w:color w:val="auto"/>
          <w:szCs w:val="24"/>
          <w:lang w:val="en-GB"/>
        </w:rPr>
        <w:t xml:space="preserve">2010. </w:t>
      </w:r>
      <w:r w:rsidRPr="0046640B">
        <w:rPr>
          <w:rFonts w:ascii="Georgia" w:hAnsi="Georgia" w:cs="Arial"/>
          <w:i/>
          <w:iCs/>
          <w:color w:val="auto"/>
          <w:szCs w:val="24"/>
          <w:lang w:val="en-GB"/>
        </w:rPr>
        <w:t>Be active every day: Physical activity for adults</w:t>
      </w:r>
      <w:r w:rsidRPr="0046640B">
        <w:rPr>
          <w:rFonts w:ascii="Georgia" w:hAnsi="Georgia" w:cs="Arial"/>
          <w:color w:val="auto"/>
          <w:szCs w:val="24"/>
          <w:lang w:val="en-GB"/>
        </w:rPr>
        <w:t xml:space="preserve">. </w:t>
      </w:r>
      <w:r w:rsidR="00074847" w:rsidRPr="0046640B">
        <w:rPr>
          <w:rFonts w:ascii="Georgia" w:hAnsi="Georgia" w:cs="Arial"/>
          <w:color w:val="auto"/>
          <w:szCs w:val="24"/>
          <w:lang w:val="en-GB"/>
        </w:rPr>
        <w:t>URL: https://www.healthed.govt.nz/resource/be-active-every-day-physical-activity-adults</w:t>
      </w:r>
      <w:r w:rsidR="00B6268D" w:rsidRPr="0046640B">
        <w:rPr>
          <w:rFonts w:ascii="Georgia" w:hAnsi="Georgia" w:cs="Arial"/>
          <w:color w:val="auto"/>
          <w:szCs w:val="24"/>
          <w:lang w:val="en-GB"/>
        </w:rPr>
        <w:t xml:space="preserve"> (accessed 2 November </w:t>
      </w:r>
      <w:r w:rsidR="00074847" w:rsidRPr="0046640B">
        <w:rPr>
          <w:rFonts w:ascii="Georgia" w:hAnsi="Georgia" w:cs="Arial"/>
          <w:color w:val="auto"/>
          <w:szCs w:val="24"/>
          <w:lang w:val="en-GB"/>
        </w:rPr>
        <w:t>2016)</w:t>
      </w:r>
      <w:r w:rsidRPr="0046640B">
        <w:rPr>
          <w:rFonts w:ascii="Georgia" w:hAnsi="Georgia" w:cs="Arial"/>
          <w:color w:val="auto"/>
          <w:szCs w:val="24"/>
          <w:lang w:val="en-GB"/>
        </w:rPr>
        <w:t>.</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3.</w:t>
      </w:r>
      <w:r w:rsidRPr="0046640B">
        <w:rPr>
          <w:rFonts w:ascii="Georgia" w:hAnsi="Georgia" w:cs="Arial"/>
          <w:color w:val="auto"/>
          <w:szCs w:val="24"/>
          <w:lang w:val="en-GB"/>
        </w:rPr>
        <w:tab/>
        <w:t xml:space="preserve">Paxton AE, Strycker LA, Toobert DJ, </w:t>
      </w:r>
      <w:r w:rsidR="00074847" w:rsidRPr="0046640B">
        <w:rPr>
          <w:rFonts w:ascii="Georgia" w:hAnsi="Georgia" w:cs="Arial"/>
          <w:color w:val="auto"/>
          <w:szCs w:val="24"/>
          <w:lang w:val="en-GB"/>
        </w:rPr>
        <w:t>et al</w:t>
      </w:r>
      <w:r w:rsidRPr="0046640B">
        <w:rPr>
          <w:rFonts w:ascii="Georgia" w:hAnsi="Georgia" w:cs="Arial"/>
          <w:color w:val="auto"/>
          <w:szCs w:val="24"/>
          <w:lang w:val="en-GB"/>
        </w:rPr>
        <w:t>.</w:t>
      </w:r>
      <w:r w:rsidR="00074847" w:rsidRPr="0046640B">
        <w:rPr>
          <w:rFonts w:ascii="Georgia" w:hAnsi="Georgia" w:cs="Arial"/>
          <w:color w:val="auto"/>
          <w:szCs w:val="24"/>
          <w:lang w:val="en-GB"/>
        </w:rPr>
        <w:t xml:space="preserve"> 2011.</w:t>
      </w:r>
      <w:r w:rsidRPr="0046640B">
        <w:rPr>
          <w:rFonts w:ascii="Georgia" w:hAnsi="Georgia" w:cs="Arial"/>
          <w:color w:val="auto"/>
          <w:szCs w:val="24"/>
          <w:lang w:val="en-GB"/>
        </w:rPr>
        <w:t xml:space="preserve"> Starting the conversation </w:t>
      </w:r>
      <w:r w:rsidR="00074847" w:rsidRPr="0046640B">
        <w:rPr>
          <w:rFonts w:ascii="Georgia" w:hAnsi="Georgia" w:cs="Arial"/>
          <w:color w:val="auto"/>
          <w:szCs w:val="24"/>
          <w:lang w:val="en-GB"/>
        </w:rPr>
        <w:t>p</w:t>
      </w:r>
      <w:r w:rsidRPr="0046640B">
        <w:rPr>
          <w:rFonts w:ascii="Georgia" w:hAnsi="Georgia" w:cs="Arial"/>
          <w:color w:val="auto"/>
          <w:szCs w:val="24"/>
          <w:lang w:val="en-GB"/>
        </w:rPr>
        <w:t xml:space="preserve">erformance of a brief dietary assessment and intervention tool for health professionals. </w:t>
      </w:r>
      <w:r w:rsidRPr="0046640B">
        <w:rPr>
          <w:rFonts w:ascii="Georgia" w:hAnsi="Georgia" w:cs="Arial"/>
          <w:i/>
          <w:iCs/>
          <w:color w:val="auto"/>
          <w:szCs w:val="24"/>
          <w:lang w:val="en-GB"/>
        </w:rPr>
        <w:t>Am</w:t>
      </w:r>
      <w:r w:rsidR="00074847" w:rsidRPr="0046640B">
        <w:rPr>
          <w:rFonts w:ascii="Georgia" w:hAnsi="Georgia" w:cs="Arial"/>
          <w:i/>
          <w:iCs/>
          <w:color w:val="auto"/>
          <w:szCs w:val="24"/>
          <w:lang w:val="en-GB"/>
        </w:rPr>
        <w:t>erican Journal of Prevent</w:t>
      </w:r>
      <w:r w:rsidR="00B6268D" w:rsidRPr="0046640B">
        <w:rPr>
          <w:rFonts w:ascii="Georgia" w:hAnsi="Georgia" w:cs="Arial"/>
          <w:i/>
          <w:iCs/>
          <w:color w:val="auto"/>
          <w:szCs w:val="24"/>
          <w:lang w:val="en-GB"/>
        </w:rPr>
        <w:t>ive Medicine</w:t>
      </w:r>
      <w:r w:rsidRPr="0046640B">
        <w:rPr>
          <w:rFonts w:ascii="Georgia" w:hAnsi="Georgia" w:cs="Arial"/>
          <w:color w:val="auto"/>
          <w:szCs w:val="24"/>
          <w:lang w:val="en-GB"/>
        </w:rPr>
        <w:t xml:space="preserve"> </w:t>
      </w:r>
      <w:r w:rsidRPr="0046640B">
        <w:rPr>
          <w:rFonts w:ascii="Georgia" w:hAnsi="Georgia" w:cs="Arial"/>
          <w:bCs/>
          <w:color w:val="auto"/>
          <w:szCs w:val="24"/>
          <w:lang w:val="en-GB"/>
        </w:rPr>
        <w:t>40,</w:t>
      </w:r>
      <w:r w:rsidRPr="0046640B">
        <w:rPr>
          <w:rFonts w:ascii="Georgia" w:hAnsi="Georgia" w:cs="Arial"/>
          <w:color w:val="auto"/>
          <w:szCs w:val="24"/>
          <w:lang w:val="en-GB"/>
        </w:rPr>
        <w:t xml:space="preserve"> 67–71.</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4.</w:t>
      </w:r>
      <w:r w:rsidRPr="0046640B">
        <w:rPr>
          <w:rFonts w:ascii="Georgia" w:hAnsi="Georgia" w:cs="Arial"/>
          <w:color w:val="auto"/>
          <w:szCs w:val="24"/>
          <w:lang w:val="en-GB"/>
        </w:rPr>
        <w:tab/>
        <w:t>Diabetes New Zealand.</w:t>
      </w:r>
      <w:r w:rsidR="00B6268D" w:rsidRPr="0046640B">
        <w:rPr>
          <w:rFonts w:ascii="Georgia" w:hAnsi="Georgia" w:cs="Arial"/>
          <w:color w:val="auto"/>
          <w:szCs w:val="24"/>
          <w:lang w:val="en-GB"/>
        </w:rPr>
        <w:t xml:space="preserve"> 2014.</w:t>
      </w:r>
      <w:r w:rsidRPr="0046640B">
        <w:rPr>
          <w:rFonts w:ascii="Georgia" w:hAnsi="Georgia" w:cs="Arial"/>
          <w:color w:val="auto"/>
          <w:szCs w:val="24"/>
          <w:lang w:val="en-GB"/>
        </w:rPr>
        <w:t xml:space="preserve"> Dia</w:t>
      </w:r>
      <w:r w:rsidR="00B6268D" w:rsidRPr="0046640B">
        <w:rPr>
          <w:rFonts w:ascii="Georgia" w:hAnsi="Georgia" w:cs="Arial"/>
          <w:color w:val="auto"/>
          <w:szCs w:val="24"/>
          <w:lang w:val="en-GB"/>
        </w:rPr>
        <w:t>betes and healthy food choices. Wellington: Diabetes New Zealand.</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5.</w:t>
      </w:r>
      <w:r w:rsidRPr="0046640B">
        <w:rPr>
          <w:rFonts w:ascii="Georgia" w:hAnsi="Georgia" w:cs="Arial"/>
          <w:color w:val="auto"/>
          <w:szCs w:val="24"/>
          <w:lang w:val="en-GB"/>
        </w:rPr>
        <w:tab/>
        <w:t>Panagioti M</w:t>
      </w:r>
      <w:r w:rsidR="00B6268D" w:rsidRPr="0046640B">
        <w:rPr>
          <w:rFonts w:ascii="Georgia" w:hAnsi="Georgia" w:cs="Arial"/>
          <w:color w:val="auto"/>
          <w:szCs w:val="24"/>
          <w:lang w:val="en-GB"/>
        </w:rPr>
        <w:t>, Richardson G, Small N, et al</w:t>
      </w:r>
      <w:r w:rsidRPr="0046640B">
        <w:rPr>
          <w:rFonts w:ascii="Georgia" w:hAnsi="Georgia" w:cs="Arial"/>
          <w:color w:val="auto"/>
          <w:szCs w:val="24"/>
          <w:lang w:val="en-GB"/>
        </w:rPr>
        <w:t>.</w:t>
      </w:r>
      <w:r w:rsidR="00B6268D" w:rsidRPr="0046640B">
        <w:rPr>
          <w:rFonts w:ascii="Georgia" w:hAnsi="Georgia" w:cs="Arial"/>
          <w:color w:val="auto"/>
          <w:szCs w:val="24"/>
          <w:lang w:val="en-GB"/>
        </w:rPr>
        <w:t xml:space="preserve"> 2014.</w:t>
      </w:r>
      <w:r w:rsidRPr="0046640B">
        <w:rPr>
          <w:rFonts w:ascii="Georgia" w:hAnsi="Georgia" w:cs="Arial"/>
          <w:color w:val="auto"/>
          <w:szCs w:val="24"/>
          <w:lang w:val="en-GB"/>
        </w:rPr>
        <w:t xml:space="preserve"> Self-management support interventions to reduce health care utilisation without compromising outcomes: a systematic review and meta-analysis. </w:t>
      </w:r>
      <w:r w:rsidRPr="0046640B">
        <w:rPr>
          <w:rFonts w:ascii="Georgia" w:hAnsi="Georgia" w:cs="Arial"/>
          <w:i/>
          <w:iCs/>
          <w:color w:val="auto"/>
          <w:szCs w:val="24"/>
          <w:lang w:val="en-GB"/>
        </w:rPr>
        <w:t>BMC Health Serv</w:t>
      </w:r>
      <w:r w:rsidR="00B6268D" w:rsidRPr="0046640B">
        <w:rPr>
          <w:rFonts w:ascii="Georgia" w:hAnsi="Georgia" w:cs="Arial"/>
          <w:i/>
          <w:iCs/>
          <w:color w:val="auto"/>
          <w:szCs w:val="24"/>
          <w:lang w:val="en-GB"/>
        </w:rPr>
        <w:t>ices</w:t>
      </w:r>
      <w:r w:rsidRPr="0046640B">
        <w:rPr>
          <w:rFonts w:ascii="Georgia" w:hAnsi="Georgia" w:cs="Arial"/>
          <w:i/>
          <w:iCs/>
          <w:color w:val="auto"/>
          <w:szCs w:val="24"/>
          <w:lang w:val="en-GB"/>
        </w:rPr>
        <w:t xml:space="preserve"> Res</w:t>
      </w:r>
      <w:r w:rsidR="00B6268D" w:rsidRPr="0046640B">
        <w:rPr>
          <w:rFonts w:ascii="Georgia" w:hAnsi="Georgia" w:cs="Arial"/>
          <w:i/>
          <w:iCs/>
          <w:color w:val="auto"/>
          <w:szCs w:val="24"/>
          <w:lang w:val="en-GB"/>
        </w:rPr>
        <w:t>earch</w:t>
      </w:r>
      <w:r w:rsidRPr="0046640B">
        <w:rPr>
          <w:rFonts w:ascii="Georgia" w:hAnsi="Georgia" w:cs="Arial"/>
          <w:color w:val="auto"/>
          <w:szCs w:val="24"/>
          <w:lang w:val="en-GB"/>
        </w:rPr>
        <w:t xml:space="preserve"> </w:t>
      </w:r>
      <w:r w:rsidRPr="0046640B">
        <w:rPr>
          <w:rFonts w:ascii="Georgia" w:hAnsi="Georgia" w:cs="Arial"/>
          <w:bCs/>
          <w:color w:val="auto"/>
          <w:szCs w:val="24"/>
          <w:lang w:val="en-GB"/>
        </w:rPr>
        <w:t>14,</w:t>
      </w:r>
      <w:r w:rsidR="00B6268D" w:rsidRPr="0046640B">
        <w:rPr>
          <w:rFonts w:ascii="Georgia" w:hAnsi="Georgia" w:cs="Arial"/>
          <w:color w:val="auto"/>
          <w:szCs w:val="24"/>
          <w:lang w:val="en-GB"/>
        </w:rPr>
        <w:t xml:space="preserve"> 356</w:t>
      </w:r>
      <w:r w:rsidRPr="0046640B">
        <w:rPr>
          <w:rFonts w:ascii="Georgia" w:hAnsi="Georgia" w:cs="Arial"/>
          <w:color w:val="auto"/>
          <w:szCs w:val="24"/>
          <w:lang w:val="en-GB"/>
        </w:rPr>
        <w:t>.</w:t>
      </w:r>
    </w:p>
    <w:p w:rsidR="00102A29" w:rsidRPr="0046640B" w:rsidRDefault="00B6268D"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6.</w:t>
      </w:r>
      <w:r w:rsidRPr="0046640B">
        <w:rPr>
          <w:rFonts w:ascii="Georgia" w:hAnsi="Georgia" w:cs="Arial"/>
          <w:color w:val="auto"/>
          <w:szCs w:val="24"/>
          <w:lang w:val="en-GB"/>
        </w:rPr>
        <w:tab/>
        <w:t>Foster G</w:t>
      </w:r>
      <w:r w:rsidR="00102A29" w:rsidRPr="0046640B">
        <w:rPr>
          <w:rFonts w:ascii="Georgia" w:hAnsi="Georgia" w:cs="Arial"/>
          <w:color w:val="auto"/>
          <w:szCs w:val="24"/>
          <w:lang w:val="en-GB"/>
        </w:rPr>
        <w:t>, Taylor SJC, Eldridge S</w:t>
      </w:r>
      <w:r w:rsidRPr="0046640B">
        <w:rPr>
          <w:rFonts w:ascii="Georgia" w:hAnsi="Georgia" w:cs="Arial"/>
          <w:color w:val="auto"/>
          <w:szCs w:val="24"/>
          <w:lang w:val="en-GB"/>
        </w:rPr>
        <w:t>, et al</w:t>
      </w:r>
      <w:r w:rsidR="00102A29" w:rsidRPr="0046640B">
        <w:rPr>
          <w:rFonts w:ascii="Georgia" w:hAnsi="Georgia" w:cs="Arial"/>
          <w:color w:val="auto"/>
          <w:szCs w:val="24"/>
          <w:lang w:val="en-GB"/>
        </w:rPr>
        <w:t xml:space="preserve">. </w:t>
      </w:r>
      <w:r w:rsidRPr="0046640B">
        <w:rPr>
          <w:rFonts w:ascii="Georgia" w:hAnsi="Georgia" w:cs="Arial"/>
          <w:color w:val="auto"/>
          <w:szCs w:val="24"/>
          <w:lang w:val="en-GB"/>
        </w:rPr>
        <w:t xml:space="preserve">2007. </w:t>
      </w:r>
      <w:r w:rsidR="00102A29" w:rsidRPr="0046640B">
        <w:rPr>
          <w:rFonts w:ascii="Georgia" w:hAnsi="Georgia" w:cs="Arial"/>
          <w:color w:val="auto"/>
          <w:szCs w:val="24"/>
          <w:lang w:val="en-GB"/>
        </w:rPr>
        <w:t xml:space="preserve">Self-management education programmes by lay leaders for people with chronic conditions. </w:t>
      </w:r>
      <w:r w:rsidR="00102A29" w:rsidRPr="0046640B">
        <w:rPr>
          <w:rFonts w:ascii="Georgia" w:hAnsi="Georgia" w:cs="Arial"/>
          <w:i/>
          <w:iCs/>
          <w:color w:val="auto"/>
          <w:szCs w:val="24"/>
          <w:lang w:val="en-GB"/>
        </w:rPr>
        <w:t xml:space="preserve">Cochrane Database </w:t>
      </w:r>
      <w:r w:rsidRPr="0046640B">
        <w:rPr>
          <w:rFonts w:ascii="Georgia" w:hAnsi="Georgia" w:cs="Arial"/>
          <w:i/>
          <w:iCs/>
          <w:color w:val="auto"/>
          <w:szCs w:val="24"/>
          <w:lang w:val="en-GB"/>
        </w:rPr>
        <w:t xml:space="preserve">of </w:t>
      </w:r>
      <w:r w:rsidR="00102A29" w:rsidRPr="0046640B">
        <w:rPr>
          <w:rFonts w:ascii="Georgia" w:hAnsi="Georgia" w:cs="Arial"/>
          <w:i/>
          <w:iCs/>
          <w:color w:val="auto"/>
          <w:szCs w:val="24"/>
          <w:lang w:val="en-GB"/>
        </w:rPr>
        <w:t>Syst</w:t>
      </w:r>
      <w:r w:rsidRPr="0046640B">
        <w:rPr>
          <w:rFonts w:ascii="Georgia" w:hAnsi="Georgia" w:cs="Arial"/>
          <w:i/>
          <w:iCs/>
          <w:color w:val="auto"/>
          <w:szCs w:val="24"/>
          <w:lang w:val="en-GB"/>
        </w:rPr>
        <w:t>ematic</w:t>
      </w:r>
      <w:r w:rsidR="00102A29" w:rsidRPr="0046640B">
        <w:rPr>
          <w:rFonts w:ascii="Georgia" w:hAnsi="Georgia" w:cs="Arial"/>
          <w:i/>
          <w:iCs/>
          <w:color w:val="auto"/>
          <w:szCs w:val="24"/>
          <w:lang w:val="en-GB"/>
        </w:rPr>
        <w:t xml:space="preserve"> Rev</w:t>
      </w:r>
      <w:r w:rsidRPr="0046640B">
        <w:rPr>
          <w:rFonts w:ascii="Georgia" w:hAnsi="Georgia" w:cs="Arial"/>
          <w:i/>
          <w:iCs/>
          <w:color w:val="auto"/>
          <w:szCs w:val="24"/>
          <w:lang w:val="en-GB"/>
        </w:rPr>
        <w:t>iews</w:t>
      </w:r>
      <w:r w:rsidR="00102A29" w:rsidRPr="0046640B">
        <w:rPr>
          <w:rFonts w:ascii="Georgia" w:hAnsi="Georgia" w:cs="Arial"/>
          <w:color w:val="auto"/>
          <w:szCs w:val="24"/>
          <w:lang w:val="en-GB"/>
        </w:rPr>
        <w:t xml:space="preserve">. </w:t>
      </w:r>
      <w:r w:rsidRPr="0046640B">
        <w:rPr>
          <w:rFonts w:ascii="Georgia" w:hAnsi="Georgia" w:cs="Arial"/>
          <w:color w:val="auto"/>
          <w:szCs w:val="24"/>
          <w:lang w:val="en-GB"/>
        </w:rPr>
        <w:t>DOI</w:t>
      </w:r>
      <w:r w:rsidR="00102A29" w:rsidRPr="0046640B">
        <w:rPr>
          <w:rFonts w:ascii="Georgia" w:hAnsi="Georgia" w:cs="Arial"/>
          <w:color w:val="auto"/>
          <w:szCs w:val="24"/>
          <w:lang w:val="en-GB"/>
        </w:rPr>
        <w:t>:10.1002/14651858.CD005108.pub2</w:t>
      </w:r>
      <w:r w:rsidRPr="0046640B">
        <w:rPr>
          <w:rFonts w:ascii="Georgia" w:hAnsi="Georgia" w:cs="Arial"/>
          <w:color w:val="auto"/>
          <w:szCs w:val="24"/>
          <w:lang w:val="en-GB"/>
        </w:rPr>
        <w:t xml:space="preserve"> (accessed 2 November 2016).</w:t>
      </w:r>
    </w:p>
    <w:p w:rsidR="00584856" w:rsidRPr="0046640B" w:rsidRDefault="00102A29" w:rsidP="00584856">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7.</w:t>
      </w:r>
      <w:r w:rsidRPr="0046640B">
        <w:rPr>
          <w:rFonts w:ascii="Georgia" w:hAnsi="Georgia" w:cs="Arial"/>
          <w:color w:val="auto"/>
          <w:szCs w:val="24"/>
          <w:lang w:val="en-GB"/>
        </w:rPr>
        <w:tab/>
        <w:t>Deakin</w:t>
      </w:r>
      <w:r w:rsidR="00584856" w:rsidRPr="0046640B">
        <w:rPr>
          <w:rFonts w:ascii="Georgia" w:hAnsi="Georgia" w:cs="Arial"/>
          <w:color w:val="auto"/>
          <w:szCs w:val="24"/>
          <w:lang w:val="en-GB"/>
        </w:rPr>
        <w:t xml:space="preserve"> T</w:t>
      </w:r>
      <w:r w:rsidRPr="0046640B">
        <w:rPr>
          <w:rFonts w:ascii="Georgia" w:hAnsi="Georgia" w:cs="Arial"/>
          <w:color w:val="auto"/>
          <w:szCs w:val="24"/>
          <w:lang w:val="en-GB"/>
        </w:rPr>
        <w:t>, McShane CE, Cade</w:t>
      </w:r>
      <w:r w:rsidR="00584856" w:rsidRPr="0046640B">
        <w:rPr>
          <w:rFonts w:ascii="Georgia" w:hAnsi="Georgia" w:cs="Arial"/>
          <w:color w:val="auto"/>
          <w:szCs w:val="24"/>
          <w:lang w:val="en-GB"/>
        </w:rPr>
        <w:t xml:space="preserve"> </w:t>
      </w:r>
      <w:r w:rsidRPr="0046640B">
        <w:rPr>
          <w:rFonts w:ascii="Georgia" w:hAnsi="Georgia" w:cs="Arial"/>
          <w:color w:val="auto"/>
          <w:szCs w:val="24"/>
          <w:lang w:val="en-GB"/>
        </w:rPr>
        <w:t>JE</w:t>
      </w:r>
      <w:r w:rsidR="00584856" w:rsidRPr="0046640B">
        <w:rPr>
          <w:rFonts w:ascii="Georgia" w:hAnsi="Georgia" w:cs="Arial"/>
          <w:color w:val="auto"/>
          <w:szCs w:val="24"/>
          <w:lang w:val="en-GB"/>
        </w:rPr>
        <w:t>, et al</w:t>
      </w:r>
      <w:r w:rsidRPr="0046640B">
        <w:rPr>
          <w:rFonts w:ascii="Georgia" w:hAnsi="Georgia" w:cs="Arial"/>
          <w:color w:val="auto"/>
          <w:szCs w:val="24"/>
          <w:lang w:val="en-GB"/>
        </w:rPr>
        <w:t>.</w:t>
      </w:r>
      <w:r w:rsidR="00584856" w:rsidRPr="0046640B">
        <w:rPr>
          <w:rFonts w:ascii="Georgia" w:hAnsi="Georgia" w:cs="Arial"/>
          <w:color w:val="auto"/>
          <w:szCs w:val="24"/>
          <w:lang w:val="en-GB"/>
        </w:rPr>
        <w:t xml:space="preserve"> 2005.</w:t>
      </w:r>
      <w:r w:rsidRPr="0046640B">
        <w:rPr>
          <w:rFonts w:ascii="Georgia" w:hAnsi="Georgia" w:cs="Arial"/>
          <w:color w:val="auto"/>
          <w:szCs w:val="24"/>
          <w:lang w:val="en-GB"/>
        </w:rPr>
        <w:t xml:space="preserve"> Group based training for self-management strategies in people with type 2 diabetes mellitus. </w:t>
      </w:r>
      <w:r w:rsidRPr="0046640B">
        <w:rPr>
          <w:rFonts w:ascii="Georgia" w:hAnsi="Georgia" w:cs="Arial"/>
          <w:i/>
          <w:iCs/>
          <w:color w:val="auto"/>
          <w:szCs w:val="24"/>
          <w:lang w:val="en-GB"/>
        </w:rPr>
        <w:t>Cochrane Database</w:t>
      </w:r>
      <w:r w:rsidR="00584856" w:rsidRPr="0046640B">
        <w:rPr>
          <w:rFonts w:ascii="Georgia" w:hAnsi="Georgia" w:cs="Arial"/>
          <w:i/>
          <w:iCs/>
          <w:color w:val="auto"/>
          <w:szCs w:val="24"/>
          <w:lang w:val="en-GB"/>
        </w:rPr>
        <w:t xml:space="preserve"> of</w:t>
      </w:r>
      <w:r w:rsidRPr="0046640B">
        <w:rPr>
          <w:rFonts w:ascii="Georgia" w:hAnsi="Georgia" w:cs="Arial"/>
          <w:i/>
          <w:iCs/>
          <w:color w:val="auto"/>
          <w:szCs w:val="24"/>
          <w:lang w:val="en-GB"/>
        </w:rPr>
        <w:t xml:space="preserve"> Syst</w:t>
      </w:r>
      <w:r w:rsidR="00584856" w:rsidRPr="0046640B">
        <w:rPr>
          <w:rFonts w:ascii="Georgia" w:hAnsi="Georgia" w:cs="Arial"/>
          <w:i/>
          <w:iCs/>
          <w:color w:val="auto"/>
          <w:szCs w:val="24"/>
          <w:lang w:val="en-GB"/>
        </w:rPr>
        <w:t>ematic</w:t>
      </w:r>
      <w:r w:rsidRPr="0046640B">
        <w:rPr>
          <w:rFonts w:ascii="Georgia" w:hAnsi="Georgia" w:cs="Arial"/>
          <w:i/>
          <w:iCs/>
          <w:color w:val="auto"/>
          <w:szCs w:val="24"/>
          <w:lang w:val="en-GB"/>
        </w:rPr>
        <w:t xml:space="preserve"> Rev</w:t>
      </w:r>
      <w:r w:rsidR="00584856" w:rsidRPr="0046640B">
        <w:rPr>
          <w:rFonts w:ascii="Georgia" w:hAnsi="Georgia" w:cs="Arial"/>
          <w:i/>
          <w:iCs/>
          <w:color w:val="auto"/>
          <w:szCs w:val="24"/>
          <w:lang w:val="en-GB"/>
        </w:rPr>
        <w:t>iews.</w:t>
      </w:r>
      <w:r w:rsidR="00584856" w:rsidRPr="0046640B">
        <w:rPr>
          <w:rFonts w:ascii="Georgia" w:hAnsi="Georgia" w:cs="Arial"/>
          <w:iCs/>
          <w:color w:val="auto"/>
          <w:szCs w:val="24"/>
          <w:lang w:val="en-GB"/>
        </w:rPr>
        <w:t xml:space="preserve"> DOI:</w:t>
      </w:r>
      <w:r w:rsidRPr="0046640B">
        <w:rPr>
          <w:rFonts w:ascii="Georgia" w:hAnsi="Georgia" w:cs="Arial"/>
          <w:color w:val="auto"/>
          <w:szCs w:val="24"/>
          <w:lang w:val="en-GB"/>
        </w:rPr>
        <w:t>10.1002/14651858.CD003417.pub2</w:t>
      </w:r>
      <w:r w:rsidR="00584856" w:rsidRPr="0046640B">
        <w:rPr>
          <w:rFonts w:ascii="Georgia" w:hAnsi="Georgia" w:cs="Arial"/>
          <w:color w:val="auto"/>
          <w:szCs w:val="24"/>
          <w:lang w:val="en-GB"/>
        </w:rPr>
        <w:t xml:space="preserve"> (accessed 2 November 2016).</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8</w:t>
      </w:r>
      <w:r w:rsidR="00584856" w:rsidRPr="0046640B">
        <w:rPr>
          <w:rFonts w:ascii="Georgia" w:hAnsi="Georgia" w:cs="Arial"/>
          <w:color w:val="auto"/>
          <w:szCs w:val="24"/>
          <w:lang w:val="en-GB"/>
        </w:rPr>
        <w:t>.</w:t>
      </w:r>
      <w:r w:rsidR="00584856" w:rsidRPr="0046640B">
        <w:rPr>
          <w:rFonts w:ascii="Georgia" w:hAnsi="Georgia" w:cs="Arial"/>
          <w:color w:val="auto"/>
          <w:szCs w:val="24"/>
          <w:lang w:val="en-GB"/>
        </w:rPr>
        <w:tab/>
        <w:t>Kennedy</w:t>
      </w:r>
      <w:r w:rsidRPr="0046640B">
        <w:rPr>
          <w:rFonts w:ascii="Georgia" w:hAnsi="Georgia" w:cs="Arial"/>
          <w:color w:val="auto"/>
          <w:szCs w:val="24"/>
          <w:lang w:val="en-GB"/>
        </w:rPr>
        <w:t xml:space="preserve"> A</w:t>
      </w:r>
      <w:r w:rsidR="00584856" w:rsidRPr="0046640B">
        <w:rPr>
          <w:rFonts w:ascii="Georgia" w:hAnsi="Georgia" w:cs="Arial"/>
          <w:color w:val="auto"/>
          <w:szCs w:val="24"/>
          <w:lang w:val="en-GB"/>
        </w:rPr>
        <w:t>, Bower P, Reeves D, et al</w:t>
      </w:r>
      <w:r w:rsidRPr="0046640B">
        <w:rPr>
          <w:rFonts w:ascii="Georgia" w:hAnsi="Georgia" w:cs="Arial"/>
          <w:color w:val="auto"/>
          <w:szCs w:val="24"/>
          <w:lang w:val="en-GB"/>
        </w:rPr>
        <w:t>.</w:t>
      </w:r>
      <w:r w:rsidR="00584856" w:rsidRPr="0046640B">
        <w:rPr>
          <w:rFonts w:ascii="Georgia" w:hAnsi="Georgia" w:cs="Arial"/>
          <w:color w:val="auto"/>
          <w:szCs w:val="24"/>
          <w:lang w:val="en-GB"/>
        </w:rPr>
        <w:t xml:space="preserve"> 2013.</w:t>
      </w:r>
      <w:r w:rsidRPr="0046640B">
        <w:rPr>
          <w:rFonts w:ascii="Georgia" w:hAnsi="Georgia" w:cs="Arial"/>
          <w:color w:val="auto"/>
          <w:szCs w:val="24"/>
          <w:lang w:val="en-GB"/>
        </w:rPr>
        <w:t xml:space="preserve"> Implementation of self management support for long term conditions in routine primary care settings: cluster randomised controlled trial. </w:t>
      </w:r>
      <w:r w:rsidRPr="0046640B">
        <w:rPr>
          <w:rFonts w:ascii="Georgia" w:hAnsi="Georgia" w:cs="Arial"/>
          <w:i/>
          <w:iCs/>
          <w:color w:val="auto"/>
          <w:szCs w:val="24"/>
          <w:lang w:val="en-GB"/>
        </w:rPr>
        <w:t>BMJ</w:t>
      </w:r>
      <w:r w:rsidRPr="0046640B">
        <w:rPr>
          <w:rFonts w:ascii="Georgia" w:hAnsi="Georgia" w:cs="Arial"/>
          <w:color w:val="auto"/>
          <w:szCs w:val="24"/>
          <w:lang w:val="en-GB"/>
        </w:rPr>
        <w:t xml:space="preserve"> </w:t>
      </w:r>
      <w:r w:rsidRPr="0046640B">
        <w:rPr>
          <w:rFonts w:ascii="Georgia" w:hAnsi="Georgia" w:cs="Arial"/>
          <w:bCs/>
          <w:color w:val="auto"/>
          <w:szCs w:val="24"/>
          <w:lang w:val="en-GB"/>
        </w:rPr>
        <w:t>346,</w:t>
      </w:r>
      <w:r w:rsidRPr="0046640B">
        <w:rPr>
          <w:rFonts w:ascii="Georgia" w:hAnsi="Georgia" w:cs="Arial"/>
          <w:color w:val="auto"/>
          <w:szCs w:val="24"/>
          <w:lang w:val="en-GB"/>
        </w:rPr>
        <w:t xml:space="preserve"> f2882.</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9.</w:t>
      </w:r>
      <w:r w:rsidRPr="0046640B">
        <w:rPr>
          <w:rFonts w:ascii="Georgia" w:hAnsi="Georgia" w:cs="Arial"/>
          <w:color w:val="auto"/>
          <w:szCs w:val="24"/>
          <w:lang w:val="en-GB"/>
        </w:rPr>
        <w:tab/>
        <w:t>Freund T</w:t>
      </w:r>
      <w:r w:rsidR="00584856" w:rsidRPr="0046640B">
        <w:rPr>
          <w:rFonts w:ascii="Georgia" w:hAnsi="Georgia" w:cs="Arial"/>
          <w:color w:val="auto"/>
          <w:szCs w:val="24"/>
          <w:lang w:val="en-GB"/>
        </w:rPr>
        <w:t>, Peters-Klimm F, Boyd CM, et al</w:t>
      </w:r>
      <w:r w:rsidRPr="0046640B">
        <w:rPr>
          <w:rFonts w:ascii="Georgia" w:hAnsi="Georgia" w:cs="Arial"/>
          <w:i/>
          <w:iCs/>
          <w:color w:val="auto"/>
          <w:szCs w:val="24"/>
          <w:lang w:val="en-GB"/>
        </w:rPr>
        <w:t>.</w:t>
      </w:r>
      <w:r w:rsidRPr="0046640B">
        <w:rPr>
          <w:rFonts w:ascii="Georgia" w:hAnsi="Georgia" w:cs="Arial"/>
          <w:color w:val="auto"/>
          <w:szCs w:val="24"/>
          <w:lang w:val="en-GB"/>
        </w:rPr>
        <w:t xml:space="preserve"> </w:t>
      </w:r>
      <w:r w:rsidR="00584856" w:rsidRPr="0046640B">
        <w:rPr>
          <w:rFonts w:ascii="Georgia" w:hAnsi="Georgia" w:cs="Arial"/>
          <w:color w:val="auto"/>
          <w:szCs w:val="24"/>
          <w:lang w:val="en-GB"/>
        </w:rPr>
        <w:t xml:space="preserve">2016. </w:t>
      </w:r>
      <w:r w:rsidRPr="0046640B">
        <w:rPr>
          <w:rFonts w:ascii="Georgia" w:hAnsi="Georgia" w:cs="Arial"/>
          <w:color w:val="auto"/>
          <w:szCs w:val="24"/>
          <w:lang w:val="en-GB"/>
        </w:rPr>
        <w:t xml:space="preserve">Medical Assistant-Based Care Management for High-Risk Patients in Small Primary Care Practices: A Cluster Randomized Clinical Trial. </w:t>
      </w:r>
      <w:r w:rsidRPr="0046640B">
        <w:rPr>
          <w:rFonts w:ascii="Georgia" w:hAnsi="Georgia" w:cs="Arial"/>
          <w:i/>
          <w:iCs/>
          <w:color w:val="auto"/>
          <w:szCs w:val="24"/>
          <w:lang w:val="en-GB"/>
        </w:rPr>
        <w:t>Ann</w:t>
      </w:r>
      <w:r w:rsidR="00584856" w:rsidRPr="0046640B">
        <w:rPr>
          <w:rFonts w:ascii="Georgia" w:hAnsi="Georgia" w:cs="Arial"/>
          <w:i/>
          <w:iCs/>
          <w:color w:val="auto"/>
          <w:szCs w:val="24"/>
          <w:lang w:val="en-GB"/>
        </w:rPr>
        <w:t xml:space="preserve">als of </w:t>
      </w:r>
      <w:r w:rsidRPr="0046640B">
        <w:rPr>
          <w:rFonts w:ascii="Georgia" w:hAnsi="Georgia" w:cs="Arial"/>
          <w:i/>
          <w:iCs/>
          <w:color w:val="auto"/>
          <w:szCs w:val="24"/>
          <w:lang w:val="en-GB"/>
        </w:rPr>
        <w:t>Intern</w:t>
      </w:r>
      <w:r w:rsidR="00584856" w:rsidRPr="0046640B">
        <w:rPr>
          <w:rFonts w:ascii="Georgia" w:hAnsi="Georgia" w:cs="Arial"/>
          <w:i/>
          <w:iCs/>
          <w:color w:val="auto"/>
          <w:szCs w:val="24"/>
          <w:lang w:val="en-GB"/>
        </w:rPr>
        <w:t xml:space="preserve">al </w:t>
      </w:r>
      <w:r w:rsidRPr="0046640B">
        <w:rPr>
          <w:rFonts w:ascii="Georgia" w:hAnsi="Georgia" w:cs="Arial"/>
          <w:i/>
          <w:iCs/>
          <w:color w:val="auto"/>
          <w:szCs w:val="24"/>
          <w:lang w:val="en-GB"/>
        </w:rPr>
        <w:t>Med</w:t>
      </w:r>
      <w:r w:rsidR="00584856" w:rsidRPr="0046640B">
        <w:rPr>
          <w:rFonts w:ascii="Georgia" w:hAnsi="Georgia" w:cs="Arial"/>
          <w:i/>
          <w:iCs/>
          <w:color w:val="auto"/>
          <w:szCs w:val="24"/>
          <w:lang w:val="en-GB"/>
        </w:rPr>
        <w:t>icine</w:t>
      </w:r>
      <w:r w:rsidRPr="0046640B">
        <w:rPr>
          <w:rFonts w:ascii="Georgia" w:hAnsi="Georgia" w:cs="Arial"/>
          <w:color w:val="auto"/>
          <w:szCs w:val="24"/>
          <w:lang w:val="en-GB"/>
        </w:rPr>
        <w:t xml:space="preserve"> </w:t>
      </w:r>
      <w:r w:rsidRPr="0046640B">
        <w:rPr>
          <w:rFonts w:ascii="Georgia" w:hAnsi="Georgia" w:cs="Arial"/>
          <w:bCs/>
          <w:color w:val="auto"/>
          <w:szCs w:val="24"/>
          <w:lang w:val="en-GB"/>
        </w:rPr>
        <w:t>164,</w:t>
      </w:r>
      <w:r w:rsidR="00584856" w:rsidRPr="0046640B">
        <w:rPr>
          <w:rFonts w:ascii="Georgia" w:hAnsi="Georgia" w:cs="Arial"/>
          <w:color w:val="auto"/>
          <w:szCs w:val="24"/>
          <w:lang w:val="en-GB"/>
        </w:rPr>
        <w:t xml:space="preserve"> 323–330</w:t>
      </w:r>
      <w:r w:rsidRPr="0046640B">
        <w:rPr>
          <w:rFonts w:ascii="Georgia" w:hAnsi="Georgia" w:cs="Arial"/>
          <w:color w:val="auto"/>
          <w:szCs w:val="24"/>
          <w:lang w:val="en-GB"/>
        </w:rPr>
        <w:t>.</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10.</w:t>
      </w:r>
      <w:r w:rsidRPr="0046640B">
        <w:rPr>
          <w:rFonts w:ascii="Georgia" w:hAnsi="Georgia" w:cs="Arial"/>
          <w:color w:val="auto"/>
          <w:szCs w:val="24"/>
          <w:lang w:val="en-GB"/>
        </w:rPr>
        <w:tab/>
        <w:t xml:space="preserve">Ministry of Health. </w:t>
      </w:r>
      <w:r w:rsidR="00584856" w:rsidRPr="0046640B">
        <w:rPr>
          <w:rFonts w:ascii="Georgia" w:hAnsi="Georgia" w:cs="Arial"/>
          <w:color w:val="auto"/>
          <w:szCs w:val="24"/>
          <w:lang w:val="en-GB"/>
        </w:rPr>
        <w:t xml:space="preserve">2014. </w:t>
      </w:r>
      <w:r w:rsidRPr="0046640B">
        <w:rPr>
          <w:rFonts w:ascii="Georgia" w:hAnsi="Georgia" w:cs="Arial"/>
          <w:i/>
          <w:iCs/>
          <w:color w:val="auto"/>
          <w:szCs w:val="24"/>
          <w:lang w:val="en-GB"/>
        </w:rPr>
        <w:t>The New Zealand Guidelines for Helping People to Stop Smoking</w:t>
      </w:r>
      <w:r w:rsidRPr="0046640B">
        <w:rPr>
          <w:rFonts w:ascii="Georgia" w:hAnsi="Georgia" w:cs="Arial"/>
          <w:color w:val="auto"/>
          <w:szCs w:val="24"/>
          <w:lang w:val="en-GB"/>
        </w:rPr>
        <w:t xml:space="preserve">. </w:t>
      </w:r>
      <w:r w:rsidR="00584856" w:rsidRPr="0046640B">
        <w:rPr>
          <w:rFonts w:ascii="Georgia" w:hAnsi="Georgia" w:cs="Arial"/>
          <w:color w:val="auto"/>
          <w:szCs w:val="24"/>
          <w:lang w:val="en-GB"/>
        </w:rPr>
        <w:t xml:space="preserve">Wellington: </w:t>
      </w:r>
      <w:r w:rsidRPr="0046640B">
        <w:rPr>
          <w:rFonts w:ascii="Georgia" w:hAnsi="Georgia" w:cs="Arial"/>
          <w:color w:val="auto"/>
          <w:szCs w:val="24"/>
          <w:lang w:val="en-GB"/>
        </w:rPr>
        <w:t>Ministry of Health.</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11.</w:t>
      </w:r>
      <w:r w:rsidRPr="0046640B">
        <w:rPr>
          <w:rFonts w:ascii="Georgia" w:hAnsi="Georgia" w:cs="Arial"/>
          <w:color w:val="auto"/>
          <w:szCs w:val="24"/>
          <w:lang w:val="en-GB"/>
        </w:rPr>
        <w:tab/>
        <w:t>Dobbie F</w:t>
      </w:r>
      <w:r w:rsidR="00584856" w:rsidRPr="0046640B">
        <w:rPr>
          <w:rFonts w:ascii="Georgia" w:hAnsi="Georgia" w:cs="Arial"/>
          <w:color w:val="auto"/>
          <w:szCs w:val="24"/>
          <w:lang w:val="en-GB"/>
        </w:rPr>
        <w:t>, Hiscock R, Leonardi-Bee J, et al</w:t>
      </w:r>
      <w:r w:rsidRPr="0046640B">
        <w:rPr>
          <w:rFonts w:ascii="Georgia" w:hAnsi="Georgia" w:cs="Arial"/>
          <w:i/>
          <w:iCs/>
          <w:color w:val="auto"/>
          <w:szCs w:val="24"/>
          <w:lang w:val="en-GB"/>
        </w:rPr>
        <w:t>.</w:t>
      </w:r>
      <w:r w:rsidRPr="0046640B">
        <w:rPr>
          <w:rFonts w:ascii="Georgia" w:hAnsi="Georgia" w:cs="Arial"/>
          <w:color w:val="auto"/>
          <w:szCs w:val="24"/>
          <w:lang w:val="en-GB"/>
        </w:rPr>
        <w:t xml:space="preserve"> </w:t>
      </w:r>
      <w:r w:rsidR="00584856" w:rsidRPr="0046640B">
        <w:rPr>
          <w:rFonts w:ascii="Georgia" w:hAnsi="Georgia" w:cs="Arial"/>
          <w:color w:val="auto"/>
          <w:szCs w:val="24"/>
          <w:lang w:val="en-GB"/>
        </w:rPr>
        <w:t xml:space="preserve">2015. </w:t>
      </w:r>
      <w:r w:rsidRPr="0046640B">
        <w:rPr>
          <w:rFonts w:ascii="Georgia" w:hAnsi="Georgia" w:cs="Arial"/>
          <w:color w:val="auto"/>
          <w:szCs w:val="24"/>
          <w:lang w:val="en-GB"/>
        </w:rPr>
        <w:t xml:space="preserve">Evaluating Long-term Outcomes of NHS Stop Smoking Services (ELONS): a prospective cohort study. </w:t>
      </w:r>
      <w:r w:rsidRPr="0046640B">
        <w:rPr>
          <w:rFonts w:ascii="Georgia" w:hAnsi="Georgia" w:cs="Arial"/>
          <w:i/>
          <w:iCs/>
          <w:color w:val="auto"/>
          <w:szCs w:val="24"/>
          <w:lang w:val="en-GB"/>
        </w:rPr>
        <w:t>Health Technol</w:t>
      </w:r>
      <w:r w:rsidR="00584856" w:rsidRPr="0046640B">
        <w:rPr>
          <w:rFonts w:ascii="Georgia" w:hAnsi="Georgia" w:cs="Arial"/>
          <w:i/>
          <w:iCs/>
          <w:color w:val="auto"/>
          <w:szCs w:val="24"/>
          <w:lang w:val="en-GB"/>
        </w:rPr>
        <w:t>ogy</w:t>
      </w:r>
      <w:r w:rsidRPr="0046640B">
        <w:rPr>
          <w:rFonts w:ascii="Georgia" w:hAnsi="Georgia" w:cs="Arial"/>
          <w:i/>
          <w:iCs/>
          <w:color w:val="auto"/>
          <w:szCs w:val="24"/>
          <w:lang w:val="en-GB"/>
        </w:rPr>
        <w:t xml:space="preserve"> Assess</w:t>
      </w:r>
      <w:r w:rsidR="00584856" w:rsidRPr="0046640B">
        <w:rPr>
          <w:rFonts w:ascii="Georgia" w:hAnsi="Georgia" w:cs="Arial"/>
          <w:i/>
          <w:iCs/>
          <w:color w:val="auto"/>
          <w:szCs w:val="24"/>
          <w:lang w:val="en-GB"/>
        </w:rPr>
        <w:t>ment</w:t>
      </w:r>
      <w:r w:rsidR="00E46F7E" w:rsidRPr="0046640B">
        <w:rPr>
          <w:rFonts w:ascii="Georgia" w:hAnsi="Georgia" w:cs="Arial"/>
          <w:i/>
          <w:iCs/>
          <w:color w:val="auto"/>
          <w:szCs w:val="24"/>
          <w:lang w:val="en-GB"/>
        </w:rPr>
        <w:t xml:space="preserve"> </w:t>
      </w:r>
      <w:r w:rsidRPr="0046640B">
        <w:rPr>
          <w:rFonts w:ascii="Georgia" w:hAnsi="Georgia" w:cs="Arial"/>
          <w:bCs/>
          <w:color w:val="auto"/>
          <w:szCs w:val="24"/>
          <w:lang w:val="en-GB"/>
        </w:rPr>
        <w:t>19,</w:t>
      </w:r>
      <w:r w:rsidRPr="0046640B">
        <w:rPr>
          <w:rFonts w:ascii="Georgia" w:hAnsi="Georgia" w:cs="Arial"/>
          <w:color w:val="auto"/>
          <w:szCs w:val="24"/>
          <w:lang w:val="en-GB"/>
        </w:rPr>
        <w:t xml:space="preserve"> 1–156.</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12.</w:t>
      </w:r>
      <w:r w:rsidRPr="0046640B">
        <w:rPr>
          <w:rFonts w:ascii="Georgia" w:hAnsi="Georgia" w:cs="Arial"/>
          <w:color w:val="auto"/>
          <w:szCs w:val="24"/>
          <w:lang w:val="en-GB"/>
        </w:rPr>
        <w:tab/>
        <w:t>Wadden T</w:t>
      </w:r>
      <w:r w:rsidR="007573A5" w:rsidRPr="0046640B">
        <w:rPr>
          <w:rFonts w:ascii="Georgia" w:hAnsi="Georgia" w:cs="Arial"/>
          <w:color w:val="auto"/>
          <w:szCs w:val="24"/>
          <w:lang w:val="en-GB"/>
        </w:rPr>
        <w:t>A, Butryn</w:t>
      </w:r>
      <w:r w:rsidRPr="0046640B">
        <w:rPr>
          <w:rFonts w:ascii="Georgia" w:hAnsi="Georgia" w:cs="Arial"/>
          <w:color w:val="auto"/>
          <w:szCs w:val="24"/>
          <w:lang w:val="en-GB"/>
        </w:rPr>
        <w:t xml:space="preserve"> ML</w:t>
      </w:r>
      <w:r w:rsidR="007573A5" w:rsidRPr="0046640B">
        <w:rPr>
          <w:rFonts w:ascii="Georgia" w:hAnsi="Georgia" w:cs="Arial"/>
          <w:color w:val="auto"/>
          <w:szCs w:val="24"/>
          <w:lang w:val="en-GB"/>
        </w:rPr>
        <w:t>, Hong</w:t>
      </w:r>
      <w:r w:rsidRPr="0046640B">
        <w:rPr>
          <w:rFonts w:ascii="Georgia" w:hAnsi="Georgia" w:cs="Arial"/>
          <w:color w:val="auto"/>
          <w:szCs w:val="24"/>
          <w:lang w:val="en-GB"/>
        </w:rPr>
        <w:t xml:space="preserve"> PS</w:t>
      </w:r>
      <w:r w:rsidR="007573A5" w:rsidRPr="0046640B">
        <w:rPr>
          <w:rFonts w:ascii="Georgia" w:hAnsi="Georgia" w:cs="Arial"/>
          <w:color w:val="auto"/>
          <w:szCs w:val="24"/>
          <w:lang w:val="en-GB"/>
        </w:rPr>
        <w:t>, et al</w:t>
      </w:r>
      <w:r w:rsidRPr="0046640B">
        <w:rPr>
          <w:rFonts w:ascii="Georgia" w:hAnsi="Georgia" w:cs="Arial"/>
          <w:color w:val="auto"/>
          <w:szCs w:val="24"/>
          <w:lang w:val="en-GB"/>
        </w:rPr>
        <w:t xml:space="preserve">. </w:t>
      </w:r>
      <w:r w:rsidR="007573A5" w:rsidRPr="0046640B">
        <w:rPr>
          <w:rFonts w:ascii="Georgia" w:hAnsi="Georgia" w:cs="Arial"/>
          <w:color w:val="auto"/>
          <w:szCs w:val="24"/>
          <w:lang w:val="en-GB"/>
        </w:rPr>
        <w:t xml:space="preserve">2014. </w:t>
      </w:r>
      <w:r w:rsidRPr="0046640B">
        <w:rPr>
          <w:rFonts w:ascii="Georgia" w:hAnsi="Georgia" w:cs="Arial"/>
          <w:color w:val="auto"/>
          <w:szCs w:val="24"/>
          <w:lang w:val="en-GB"/>
        </w:rPr>
        <w:t xml:space="preserve">Behavioral treatment of obesity in patients encountered in primary care settings: a systematic review. </w:t>
      </w:r>
      <w:r w:rsidRPr="0046640B">
        <w:rPr>
          <w:rFonts w:ascii="Georgia" w:hAnsi="Georgia" w:cs="Arial"/>
          <w:i/>
          <w:iCs/>
          <w:color w:val="auto"/>
          <w:szCs w:val="24"/>
          <w:lang w:val="en-GB"/>
        </w:rPr>
        <w:t>JAMA</w:t>
      </w:r>
      <w:r w:rsidRPr="0046640B">
        <w:rPr>
          <w:rFonts w:ascii="Georgia" w:hAnsi="Georgia" w:cs="Arial"/>
          <w:color w:val="auto"/>
          <w:szCs w:val="24"/>
          <w:lang w:val="en-GB"/>
        </w:rPr>
        <w:t xml:space="preserve"> </w:t>
      </w:r>
      <w:r w:rsidRPr="0046640B">
        <w:rPr>
          <w:rFonts w:ascii="Georgia" w:hAnsi="Georgia" w:cs="Arial"/>
          <w:bCs/>
          <w:color w:val="auto"/>
          <w:szCs w:val="24"/>
          <w:lang w:val="en-GB"/>
        </w:rPr>
        <w:t>312,</w:t>
      </w:r>
      <w:r w:rsidRPr="0046640B">
        <w:rPr>
          <w:rFonts w:ascii="Georgia" w:hAnsi="Georgia" w:cs="Arial"/>
          <w:color w:val="auto"/>
          <w:szCs w:val="24"/>
          <w:lang w:val="en-GB"/>
        </w:rPr>
        <w:t xml:space="preserve"> 1779–1791.</w:t>
      </w:r>
    </w:p>
    <w:p w:rsidR="00102A29" w:rsidRPr="0046640B" w:rsidRDefault="007573A5"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13.</w:t>
      </w:r>
      <w:r w:rsidRPr="0046640B">
        <w:rPr>
          <w:rFonts w:ascii="Georgia" w:hAnsi="Georgia" w:cs="Arial"/>
          <w:color w:val="auto"/>
          <w:szCs w:val="24"/>
          <w:lang w:val="en-GB"/>
        </w:rPr>
        <w:tab/>
        <w:t>McRobbie</w:t>
      </w:r>
      <w:r w:rsidR="00102A29" w:rsidRPr="0046640B">
        <w:rPr>
          <w:rFonts w:ascii="Georgia" w:hAnsi="Georgia" w:cs="Arial"/>
          <w:color w:val="auto"/>
          <w:szCs w:val="24"/>
          <w:lang w:val="en-GB"/>
        </w:rPr>
        <w:t xml:space="preserve"> H</w:t>
      </w:r>
      <w:r w:rsidRPr="0046640B">
        <w:rPr>
          <w:rFonts w:ascii="Georgia" w:hAnsi="Georgia" w:cs="Arial"/>
          <w:color w:val="auto"/>
          <w:szCs w:val="24"/>
          <w:lang w:val="en-GB"/>
        </w:rPr>
        <w:t>, et al</w:t>
      </w:r>
      <w:r w:rsidR="00102A29" w:rsidRPr="0046640B">
        <w:rPr>
          <w:rFonts w:ascii="Georgia" w:hAnsi="Georgia" w:cs="Arial"/>
          <w:color w:val="auto"/>
          <w:szCs w:val="24"/>
          <w:lang w:val="en-GB"/>
        </w:rPr>
        <w:t xml:space="preserve">. </w:t>
      </w:r>
      <w:r w:rsidRPr="0046640B">
        <w:rPr>
          <w:rFonts w:ascii="Georgia" w:hAnsi="Georgia" w:cs="Arial"/>
          <w:color w:val="auto"/>
          <w:szCs w:val="24"/>
          <w:lang w:val="en-GB"/>
        </w:rPr>
        <w:t xml:space="preserve">2016. </w:t>
      </w:r>
      <w:r w:rsidR="00102A29" w:rsidRPr="0046640B">
        <w:rPr>
          <w:rFonts w:ascii="Georgia" w:hAnsi="Georgia" w:cs="Arial"/>
          <w:color w:val="auto"/>
          <w:szCs w:val="24"/>
          <w:lang w:val="en-GB"/>
        </w:rPr>
        <w:t>A peer-support weight management programme versus multi</w:t>
      </w:r>
      <w:r w:rsidRPr="0046640B">
        <w:rPr>
          <w:rFonts w:ascii="Georgia" w:hAnsi="Georgia" w:cs="Arial"/>
          <w:color w:val="auto"/>
          <w:szCs w:val="24"/>
          <w:lang w:val="en-GB"/>
        </w:rPr>
        <w:t xml:space="preserve"> </w:t>
      </w:r>
      <w:r w:rsidR="00102A29" w:rsidRPr="0046640B">
        <w:rPr>
          <w:rFonts w:ascii="Georgia" w:hAnsi="Georgia" w:cs="Arial"/>
          <w:color w:val="auto"/>
          <w:szCs w:val="24"/>
          <w:lang w:val="en-GB"/>
        </w:rPr>
        <w:t xml:space="preserve">session advice in general practice for obese adults from deprived communities: A randomised controlled trial and economic evaluation. </w:t>
      </w:r>
      <w:r w:rsidR="00102A29" w:rsidRPr="0046640B">
        <w:rPr>
          <w:rFonts w:ascii="Georgia" w:hAnsi="Georgia" w:cs="Arial"/>
          <w:i/>
          <w:iCs/>
          <w:color w:val="auto"/>
          <w:szCs w:val="24"/>
          <w:lang w:val="en-GB"/>
        </w:rPr>
        <w:t>Health Technol</w:t>
      </w:r>
      <w:r w:rsidRPr="0046640B">
        <w:rPr>
          <w:rFonts w:ascii="Georgia" w:hAnsi="Georgia" w:cs="Arial"/>
          <w:i/>
          <w:iCs/>
          <w:color w:val="auto"/>
          <w:szCs w:val="24"/>
          <w:lang w:val="en-GB"/>
        </w:rPr>
        <w:t>ogy</w:t>
      </w:r>
      <w:r w:rsidR="00102A29" w:rsidRPr="0046640B">
        <w:rPr>
          <w:rFonts w:ascii="Georgia" w:hAnsi="Georgia" w:cs="Arial"/>
          <w:i/>
          <w:iCs/>
          <w:color w:val="auto"/>
          <w:szCs w:val="24"/>
          <w:lang w:val="en-GB"/>
        </w:rPr>
        <w:t xml:space="preserve"> Assess</w:t>
      </w:r>
      <w:r w:rsidRPr="0046640B">
        <w:rPr>
          <w:rFonts w:ascii="Georgia" w:hAnsi="Georgia" w:cs="Arial"/>
          <w:i/>
          <w:iCs/>
          <w:color w:val="auto"/>
          <w:szCs w:val="24"/>
          <w:lang w:val="en-GB"/>
        </w:rPr>
        <w:t>ment</w:t>
      </w:r>
      <w:r w:rsidR="00102A29" w:rsidRPr="0046640B">
        <w:rPr>
          <w:rFonts w:ascii="Georgia" w:hAnsi="Georgia" w:cs="Arial"/>
          <w:i/>
          <w:iCs/>
          <w:color w:val="auto"/>
          <w:szCs w:val="24"/>
          <w:lang w:val="en-GB"/>
        </w:rPr>
        <w:t>.</w:t>
      </w:r>
      <w:r w:rsidR="00102A29" w:rsidRPr="0046640B">
        <w:rPr>
          <w:rFonts w:ascii="Georgia" w:hAnsi="Georgia" w:cs="Arial"/>
          <w:color w:val="auto"/>
          <w:szCs w:val="24"/>
          <w:lang w:val="en-GB"/>
        </w:rPr>
        <w:t xml:space="preserve"> </w:t>
      </w:r>
      <w:r w:rsidR="00102A29" w:rsidRPr="0046640B">
        <w:rPr>
          <w:rFonts w:ascii="Georgia" w:hAnsi="Georgia" w:cs="Arial"/>
          <w:bCs/>
          <w:color w:val="auto"/>
          <w:szCs w:val="24"/>
          <w:lang w:val="en-GB"/>
        </w:rPr>
        <w:t>In Press</w:t>
      </w:r>
      <w:r w:rsidR="00102A29" w:rsidRPr="0046640B">
        <w:rPr>
          <w:rFonts w:ascii="Georgia" w:hAnsi="Georgia" w:cs="Arial"/>
          <w:color w:val="auto"/>
          <w:szCs w:val="24"/>
          <w:lang w:val="en-GB"/>
        </w:rPr>
        <w:t>.</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14.</w:t>
      </w:r>
      <w:r w:rsidRPr="0046640B">
        <w:rPr>
          <w:rFonts w:ascii="Georgia" w:hAnsi="Georgia" w:cs="Arial"/>
          <w:color w:val="auto"/>
          <w:szCs w:val="24"/>
          <w:lang w:val="en-GB"/>
        </w:rPr>
        <w:tab/>
        <w:t>Michie S</w:t>
      </w:r>
      <w:r w:rsidR="007573A5" w:rsidRPr="0046640B">
        <w:rPr>
          <w:rFonts w:ascii="Georgia" w:hAnsi="Georgia" w:cs="Arial"/>
          <w:color w:val="auto"/>
          <w:szCs w:val="24"/>
          <w:lang w:val="en-GB"/>
        </w:rPr>
        <w:t>, Ashford S, Sniehotta FF, et al. 2011.</w:t>
      </w:r>
      <w:r w:rsidRPr="0046640B">
        <w:rPr>
          <w:rFonts w:ascii="Georgia" w:hAnsi="Georgia" w:cs="Arial"/>
          <w:color w:val="auto"/>
          <w:szCs w:val="24"/>
          <w:lang w:val="en-GB"/>
        </w:rPr>
        <w:t xml:space="preserve"> A refined taxonomy of behaviour change techniques to help people change their physical activity and healthy eating behaviours: the CALO-RE taxonomy. </w:t>
      </w:r>
      <w:r w:rsidR="007573A5" w:rsidRPr="0046640B">
        <w:rPr>
          <w:rFonts w:ascii="Georgia" w:hAnsi="Georgia" w:cs="Arial"/>
          <w:i/>
          <w:iCs/>
          <w:color w:val="auto"/>
          <w:szCs w:val="24"/>
          <w:lang w:val="en-GB"/>
        </w:rPr>
        <w:t xml:space="preserve">Psychology &amp; </w:t>
      </w:r>
      <w:r w:rsidRPr="0046640B">
        <w:rPr>
          <w:rFonts w:ascii="Georgia" w:hAnsi="Georgia" w:cs="Arial"/>
          <w:i/>
          <w:iCs/>
          <w:color w:val="auto"/>
          <w:szCs w:val="24"/>
          <w:lang w:val="en-GB"/>
        </w:rPr>
        <w:t>Health</w:t>
      </w:r>
      <w:r w:rsidRPr="0046640B">
        <w:rPr>
          <w:rFonts w:ascii="Georgia" w:hAnsi="Georgia" w:cs="Arial"/>
          <w:color w:val="auto"/>
          <w:szCs w:val="24"/>
          <w:lang w:val="en-GB"/>
        </w:rPr>
        <w:t xml:space="preserve"> </w:t>
      </w:r>
      <w:r w:rsidRPr="0046640B">
        <w:rPr>
          <w:rFonts w:ascii="Georgia" w:hAnsi="Georgia" w:cs="Arial"/>
          <w:bCs/>
          <w:color w:val="auto"/>
          <w:szCs w:val="24"/>
          <w:lang w:val="en-GB"/>
        </w:rPr>
        <w:t>26,</w:t>
      </w:r>
      <w:r w:rsidRPr="0046640B">
        <w:rPr>
          <w:rFonts w:ascii="Georgia" w:hAnsi="Georgia" w:cs="Arial"/>
          <w:color w:val="auto"/>
          <w:szCs w:val="24"/>
          <w:lang w:val="en-GB"/>
        </w:rPr>
        <w:t xml:space="preserve"> 1479–1498.</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15.</w:t>
      </w:r>
      <w:r w:rsidRPr="0046640B">
        <w:rPr>
          <w:rFonts w:ascii="Georgia" w:hAnsi="Georgia" w:cs="Arial"/>
          <w:color w:val="auto"/>
          <w:szCs w:val="24"/>
          <w:lang w:val="en-GB"/>
        </w:rPr>
        <w:tab/>
        <w:t>Wing</w:t>
      </w:r>
      <w:r w:rsidR="005B5486" w:rsidRPr="0046640B">
        <w:rPr>
          <w:rFonts w:ascii="Georgia" w:hAnsi="Georgia" w:cs="Arial"/>
          <w:color w:val="auto"/>
          <w:szCs w:val="24"/>
          <w:lang w:val="en-GB"/>
        </w:rPr>
        <w:t xml:space="preserve"> </w:t>
      </w:r>
      <w:r w:rsidRPr="0046640B">
        <w:rPr>
          <w:rFonts w:ascii="Georgia" w:hAnsi="Georgia" w:cs="Arial"/>
          <w:color w:val="auto"/>
          <w:szCs w:val="24"/>
          <w:lang w:val="en-GB"/>
        </w:rPr>
        <w:t>RR</w:t>
      </w:r>
      <w:r w:rsidR="005B5486" w:rsidRPr="0046640B">
        <w:rPr>
          <w:rFonts w:ascii="Georgia" w:hAnsi="Georgia" w:cs="Arial"/>
          <w:color w:val="auto"/>
          <w:szCs w:val="24"/>
          <w:lang w:val="en-GB"/>
        </w:rPr>
        <w:t>, Lang W, Wadden TA, et al</w:t>
      </w:r>
      <w:r w:rsidRPr="0046640B">
        <w:rPr>
          <w:rFonts w:ascii="Georgia" w:hAnsi="Georgia" w:cs="Arial"/>
          <w:i/>
          <w:iCs/>
          <w:color w:val="auto"/>
          <w:szCs w:val="24"/>
          <w:lang w:val="en-GB"/>
        </w:rPr>
        <w:t>.</w:t>
      </w:r>
      <w:r w:rsidRPr="0046640B">
        <w:rPr>
          <w:rFonts w:ascii="Georgia" w:hAnsi="Georgia" w:cs="Arial"/>
          <w:color w:val="auto"/>
          <w:szCs w:val="24"/>
          <w:lang w:val="en-GB"/>
        </w:rPr>
        <w:t xml:space="preserve"> </w:t>
      </w:r>
      <w:r w:rsidR="005B5486" w:rsidRPr="0046640B">
        <w:rPr>
          <w:rFonts w:ascii="Georgia" w:hAnsi="Georgia" w:cs="Arial"/>
          <w:color w:val="auto"/>
          <w:szCs w:val="24"/>
          <w:lang w:val="en-GB"/>
        </w:rPr>
        <w:t xml:space="preserve">2011. </w:t>
      </w:r>
      <w:r w:rsidRPr="0046640B">
        <w:rPr>
          <w:rFonts w:ascii="Georgia" w:hAnsi="Georgia" w:cs="Arial"/>
          <w:color w:val="auto"/>
          <w:szCs w:val="24"/>
          <w:lang w:val="en-GB"/>
        </w:rPr>
        <w:t xml:space="preserve">Benefits of modest weight loss in improving cardiovascular risk factors in overweight and obese individuals with type 2 diabetes. </w:t>
      </w:r>
      <w:r w:rsidRPr="0046640B">
        <w:rPr>
          <w:rFonts w:ascii="Georgia" w:hAnsi="Georgia" w:cs="Arial"/>
          <w:i/>
          <w:iCs/>
          <w:color w:val="auto"/>
          <w:szCs w:val="24"/>
          <w:lang w:val="en-GB"/>
        </w:rPr>
        <w:t>Diabetes Care</w:t>
      </w:r>
      <w:r w:rsidRPr="0046640B">
        <w:rPr>
          <w:rFonts w:ascii="Georgia" w:hAnsi="Georgia" w:cs="Arial"/>
          <w:color w:val="auto"/>
          <w:szCs w:val="24"/>
          <w:lang w:val="en-GB"/>
        </w:rPr>
        <w:t xml:space="preserve"> </w:t>
      </w:r>
      <w:r w:rsidRPr="0046640B">
        <w:rPr>
          <w:rFonts w:ascii="Georgia" w:hAnsi="Georgia" w:cs="Arial"/>
          <w:bCs/>
          <w:color w:val="auto"/>
          <w:szCs w:val="24"/>
          <w:lang w:val="en-GB"/>
        </w:rPr>
        <w:t>34,</w:t>
      </w:r>
      <w:r w:rsidRPr="0046640B">
        <w:rPr>
          <w:rFonts w:ascii="Georgia" w:hAnsi="Georgia" w:cs="Arial"/>
          <w:color w:val="auto"/>
          <w:szCs w:val="24"/>
          <w:lang w:val="en-GB"/>
        </w:rPr>
        <w:t xml:space="preserve"> 1481–1486.</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16.</w:t>
      </w:r>
      <w:r w:rsidRPr="0046640B">
        <w:rPr>
          <w:rFonts w:ascii="Georgia" w:hAnsi="Georgia" w:cs="Arial"/>
          <w:color w:val="auto"/>
          <w:szCs w:val="24"/>
          <w:lang w:val="en-GB"/>
        </w:rPr>
        <w:tab/>
        <w:t>Fayh</w:t>
      </w:r>
      <w:r w:rsidR="005B5486" w:rsidRPr="0046640B">
        <w:rPr>
          <w:rFonts w:ascii="Georgia" w:hAnsi="Georgia" w:cs="Arial"/>
          <w:color w:val="auto"/>
          <w:szCs w:val="24"/>
          <w:lang w:val="en-GB"/>
        </w:rPr>
        <w:t xml:space="preserve"> AP, </w:t>
      </w:r>
      <w:r w:rsidRPr="0046640B">
        <w:rPr>
          <w:rFonts w:ascii="Georgia" w:hAnsi="Georgia" w:cs="Arial"/>
          <w:color w:val="auto"/>
          <w:szCs w:val="24"/>
          <w:lang w:val="en-GB"/>
        </w:rPr>
        <w:t>Lopes</w:t>
      </w:r>
      <w:r w:rsidR="005B5486" w:rsidRPr="0046640B">
        <w:rPr>
          <w:rFonts w:ascii="Georgia" w:hAnsi="Georgia" w:cs="Arial"/>
          <w:color w:val="auto"/>
          <w:szCs w:val="24"/>
          <w:lang w:val="en-GB"/>
        </w:rPr>
        <w:t xml:space="preserve"> AL, d</w:t>
      </w:r>
      <w:r w:rsidRPr="0046640B">
        <w:rPr>
          <w:rFonts w:ascii="Georgia" w:hAnsi="Georgia" w:cs="Arial"/>
          <w:color w:val="auto"/>
          <w:szCs w:val="24"/>
          <w:lang w:val="en-GB"/>
        </w:rPr>
        <w:t>a Silva A</w:t>
      </w:r>
      <w:r w:rsidR="005B5486" w:rsidRPr="0046640B">
        <w:rPr>
          <w:rFonts w:ascii="Georgia" w:hAnsi="Georgia" w:cs="Arial"/>
          <w:color w:val="auto"/>
          <w:szCs w:val="24"/>
          <w:lang w:val="en-GB"/>
        </w:rPr>
        <w:t>M, et al</w:t>
      </w:r>
      <w:r w:rsidRPr="0046640B">
        <w:rPr>
          <w:rFonts w:ascii="Georgia" w:hAnsi="Georgia" w:cs="Arial"/>
          <w:color w:val="auto"/>
          <w:szCs w:val="24"/>
          <w:lang w:val="en-GB"/>
        </w:rPr>
        <w:t>.</w:t>
      </w:r>
      <w:r w:rsidR="005B5486" w:rsidRPr="0046640B">
        <w:rPr>
          <w:rFonts w:ascii="Georgia" w:hAnsi="Georgia" w:cs="Arial"/>
          <w:color w:val="auto"/>
          <w:szCs w:val="24"/>
          <w:lang w:val="en-GB"/>
        </w:rPr>
        <w:t xml:space="preserve"> 2013.</w:t>
      </w:r>
      <w:r w:rsidRPr="0046640B">
        <w:rPr>
          <w:rFonts w:ascii="Georgia" w:hAnsi="Georgia" w:cs="Arial"/>
          <w:color w:val="auto"/>
          <w:szCs w:val="24"/>
          <w:lang w:val="en-GB"/>
        </w:rPr>
        <w:t xml:space="preserve"> Effects of 5 </w:t>
      </w:r>
      <w:r w:rsidR="0046640B" w:rsidRPr="0046640B">
        <w:rPr>
          <w:rFonts w:ascii="Georgia" w:hAnsi="Georgia" w:cs="Arial"/>
          <w:color w:val="auto"/>
          <w:szCs w:val="24"/>
          <w:lang w:val="en-GB"/>
        </w:rPr>
        <w:t>%</w:t>
      </w:r>
      <w:r w:rsidRPr="0046640B">
        <w:rPr>
          <w:rFonts w:ascii="Georgia" w:hAnsi="Georgia" w:cs="Arial"/>
          <w:color w:val="auto"/>
          <w:szCs w:val="24"/>
          <w:lang w:val="en-GB"/>
        </w:rPr>
        <w:t xml:space="preserve"> weight loss through diet or diet plus exercise on cardiovascular parameters of obese: a randomized clinical trial. </w:t>
      </w:r>
      <w:r w:rsidRPr="0046640B">
        <w:rPr>
          <w:rFonts w:ascii="Georgia" w:hAnsi="Georgia" w:cs="Arial"/>
          <w:i/>
          <w:iCs/>
          <w:color w:val="auto"/>
          <w:szCs w:val="24"/>
          <w:lang w:val="en-GB"/>
        </w:rPr>
        <w:t>Eur</w:t>
      </w:r>
      <w:r w:rsidR="0046640B" w:rsidRPr="0046640B">
        <w:rPr>
          <w:rFonts w:ascii="Georgia" w:hAnsi="Georgia" w:cs="Arial"/>
          <w:i/>
          <w:iCs/>
          <w:color w:val="auto"/>
          <w:szCs w:val="24"/>
          <w:lang w:val="en-GB"/>
        </w:rPr>
        <w:t xml:space="preserve">opean </w:t>
      </w:r>
      <w:r w:rsidRPr="0046640B">
        <w:rPr>
          <w:rFonts w:ascii="Georgia" w:hAnsi="Georgia" w:cs="Arial"/>
          <w:i/>
          <w:iCs/>
          <w:color w:val="auto"/>
          <w:szCs w:val="24"/>
          <w:lang w:val="en-GB"/>
        </w:rPr>
        <w:t>J</w:t>
      </w:r>
      <w:r w:rsidR="0046640B" w:rsidRPr="0046640B">
        <w:rPr>
          <w:rFonts w:ascii="Georgia" w:hAnsi="Georgia" w:cs="Arial"/>
          <w:i/>
          <w:iCs/>
          <w:color w:val="auto"/>
          <w:szCs w:val="24"/>
          <w:lang w:val="en-GB"/>
        </w:rPr>
        <w:t xml:space="preserve">ournal of </w:t>
      </w:r>
      <w:r w:rsidRPr="0046640B">
        <w:rPr>
          <w:rFonts w:ascii="Georgia" w:hAnsi="Georgia" w:cs="Arial"/>
          <w:i/>
          <w:iCs/>
          <w:color w:val="auto"/>
          <w:szCs w:val="24"/>
          <w:lang w:val="en-GB"/>
        </w:rPr>
        <w:t>Nutr</w:t>
      </w:r>
      <w:r w:rsidR="0046640B" w:rsidRPr="0046640B">
        <w:rPr>
          <w:rFonts w:ascii="Georgia" w:hAnsi="Georgia" w:cs="Arial"/>
          <w:i/>
          <w:iCs/>
          <w:color w:val="auto"/>
          <w:szCs w:val="24"/>
          <w:lang w:val="en-GB"/>
        </w:rPr>
        <w:t>ition</w:t>
      </w:r>
      <w:r w:rsidRPr="0046640B">
        <w:rPr>
          <w:rFonts w:ascii="Georgia" w:hAnsi="Georgia" w:cs="Arial"/>
          <w:color w:val="auto"/>
          <w:szCs w:val="24"/>
          <w:lang w:val="en-GB"/>
        </w:rPr>
        <w:t xml:space="preserve"> </w:t>
      </w:r>
      <w:r w:rsidRPr="0046640B">
        <w:rPr>
          <w:rFonts w:ascii="Georgia" w:hAnsi="Georgia" w:cs="Arial"/>
          <w:bCs/>
          <w:color w:val="auto"/>
          <w:szCs w:val="24"/>
          <w:lang w:val="en-GB"/>
        </w:rPr>
        <w:t>52,</w:t>
      </w:r>
      <w:r w:rsidRPr="0046640B">
        <w:rPr>
          <w:rFonts w:ascii="Georgia" w:hAnsi="Georgia" w:cs="Arial"/>
          <w:color w:val="auto"/>
          <w:szCs w:val="24"/>
          <w:lang w:val="en-GB"/>
        </w:rPr>
        <w:t xml:space="preserve"> 1443–1450.</w:t>
      </w:r>
    </w:p>
    <w:p w:rsidR="00102A29" w:rsidRPr="0046640B" w:rsidRDefault="00102A29"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17.</w:t>
      </w:r>
      <w:r w:rsidRPr="0046640B">
        <w:rPr>
          <w:rFonts w:ascii="Georgia" w:hAnsi="Georgia" w:cs="Arial"/>
          <w:color w:val="auto"/>
          <w:szCs w:val="24"/>
          <w:lang w:val="en-GB"/>
        </w:rPr>
        <w:tab/>
      </w:r>
      <w:r w:rsidR="0046640B" w:rsidRPr="0046640B">
        <w:rPr>
          <w:rFonts w:ascii="Georgia" w:hAnsi="Georgia" w:cs="Arial"/>
          <w:color w:val="auto"/>
          <w:szCs w:val="24"/>
          <w:lang w:val="en-GB"/>
        </w:rPr>
        <w:t xml:space="preserve">Van </w:t>
      </w:r>
      <w:r w:rsidRPr="0046640B">
        <w:rPr>
          <w:rFonts w:ascii="Georgia" w:hAnsi="Georgia" w:cs="Arial"/>
          <w:color w:val="auto"/>
          <w:szCs w:val="24"/>
          <w:lang w:val="en-GB"/>
        </w:rPr>
        <w:t>Gaal</w:t>
      </w:r>
      <w:r w:rsidR="0046640B" w:rsidRPr="0046640B">
        <w:rPr>
          <w:rFonts w:ascii="Georgia" w:hAnsi="Georgia" w:cs="Arial"/>
          <w:color w:val="auto"/>
          <w:szCs w:val="24"/>
          <w:lang w:val="en-GB"/>
        </w:rPr>
        <w:t xml:space="preserve"> L</w:t>
      </w:r>
      <w:r w:rsidRPr="0046640B">
        <w:rPr>
          <w:rFonts w:ascii="Georgia" w:hAnsi="Georgia" w:cs="Arial"/>
          <w:color w:val="auto"/>
          <w:szCs w:val="24"/>
          <w:lang w:val="en-GB"/>
        </w:rPr>
        <w:t>F</w:t>
      </w:r>
      <w:r w:rsidR="0046640B" w:rsidRPr="0046640B">
        <w:rPr>
          <w:rFonts w:ascii="Georgia" w:hAnsi="Georgia" w:cs="Arial"/>
          <w:color w:val="auto"/>
          <w:szCs w:val="24"/>
          <w:lang w:val="en-GB"/>
        </w:rPr>
        <w:t xml:space="preserve">, </w:t>
      </w:r>
      <w:r w:rsidRPr="0046640B">
        <w:rPr>
          <w:rFonts w:ascii="Georgia" w:hAnsi="Georgia" w:cs="Arial"/>
          <w:color w:val="auto"/>
          <w:szCs w:val="24"/>
          <w:lang w:val="en-GB"/>
        </w:rPr>
        <w:t>Mertens</w:t>
      </w:r>
      <w:r w:rsidR="0046640B" w:rsidRPr="0046640B">
        <w:rPr>
          <w:rFonts w:ascii="Georgia" w:hAnsi="Georgia" w:cs="Arial"/>
          <w:color w:val="auto"/>
          <w:szCs w:val="24"/>
          <w:lang w:val="en-GB"/>
        </w:rPr>
        <w:t xml:space="preserve"> </w:t>
      </w:r>
      <w:r w:rsidRPr="0046640B">
        <w:rPr>
          <w:rFonts w:ascii="Georgia" w:hAnsi="Georgia" w:cs="Arial"/>
          <w:color w:val="auto"/>
          <w:szCs w:val="24"/>
          <w:lang w:val="en-GB"/>
        </w:rPr>
        <w:t>IL</w:t>
      </w:r>
      <w:r w:rsidR="0046640B" w:rsidRPr="0046640B">
        <w:rPr>
          <w:rFonts w:ascii="Georgia" w:hAnsi="Georgia" w:cs="Arial"/>
          <w:color w:val="auto"/>
          <w:szCs w:val="24"/>
          <w:lang w:val="en-GB"/>
        </w:rPr>
        <w:t xml:space="preserve">, </w:t>
      </w:r>
      <w:r w:rsidRPr="0046640B">
        <w:rPr>
          <w:rFonts w:ascii="Georgia" w:hAnsi="Georgia" w:cs="Arial"/>
          <w:color w:val="auto"/>
          <w:szCs w:val="24"/>
          <w:lang w:val="en-GB"/>
        </w:rPr>
        <w:t>Ballaux D.</w:t>
      </w:r>
      <w:r w:rsidR="0046640B" w:rsidRPr="0046640B">
        <w:rPr>
          <w:rFonts w:ascii="Georgia" w:hAnsi="Georgia" w:cs="Arial"/>
          <w:color w:val="auto"/>
          <w:szCs w:val="24"/>
          <w:lang w:val="en-GB"/>
        </w:rPr>
        <w:t xml:space="preserve"> 2005.</w:t>
      </w:r>
      <w:r w:rsidRPr="0046640B">
        <w:rPr>
          <w:rFonts w:ascii="Georgia" w:hAnsi="Georgia" w:cs="Arial"/>
          <w:color w:val="auto"/>
          <w:szCs w:val="24"/>
          <w:lang w:val="en-GB"/>
        </w:rPr>
        <w:t xml:space="preserve"> What is the relationship between risk factor reduction and degree of weight loss? </w:t>
      </w:r>
      <w:r w:rsidRPr="0046640B">
        <w:rPr>
          <w:rFonts w:ascii="Georgia" w:hAnsi="Georgia" w:cs="Arial"/>
          <w:i/>
          <w:iCs/>
          <w:color w:val="auto"/>
          <w:szCs w:val="24"/>
          <w:lang w:val="en-GB"/>
        </w:rPr>
        <w:t>Eur</w:t>
      </w:r>
      <w:r w:rsidR="0046640B" w:rsidRPr="0046640B">
        <w:rPr>
          <w:rFonts w:ascii="Georgia" w:hAnsi="Georgia" w:cs="Arial"/>
          <w:i/>
          <w:iCs/>
          <w:color w:val="auto"/>
          <w:szCs w:val="24"/>
          <w:lang w:val="en-GB"/>
        </w:rPr>
        <w:t>opean</w:t>
      </w:r>
      <w:r w:rsidRPr="0046640B">
        <w:rPr>
          <w:rFonts w:ascii="Georgia" w:hAnsi="Georgia" w:cs="Arial"/>
          <w:i/>
          <w:iCs/>
          <w:color w:val="auto"/>
          <w:szCs w:val="24"/>
          <w:lang w:val="en-GB"/>
        </w:rPr>
        <w:t xml:space="preserve"> Heart J</w:t>
      </w:r>
      <w:r w:rsidR="0046640B" w:rsidRPr="0046640B">
        <w:rPr>
          <w:rFonts w:ascii="Georgia" w:hAnsi="Georgia" w:cs="Arial"/>
          <w:i/>
          <w:iCs/>
          <w:color w:val="auto"/>
          <w:szCs w:val="24"/>
          <w:lang w:val="en-GB"/>
        </w:rPr>
        <w:t xml:space="preserve">ournal </w:t>
      </w:r>
      <w:r w:rsidRPr="0046640B">
        <w:rPr>
          <w:rFonts w:ascii="Georgia" w:hAnsi="Georgia" w:cs="Arial"/>
          <w:i/>
          <w:iCs/>
          <w:color w:val="auto"/>
          <w:szCs w:val="24"/>
          <w:lang w:val="en-GB"/>
        </w:rPr>
        <w:t>Suppl</w:t>
      </w:r>
      <w:r w:rsidR="0046640B" w:rsidRPr="0046640B">
        <w:rPr>
          <w:rFonts w:ascii="Georgia" w:hAnsi="Georgia" w:cs="Arial"/>
          <w:i/>
          <w:iCs/>
          <w:color w:val="auto"/>
          <w:szCs w:val="24"/>
          <w:lang w:val="en-GB"/>
        </w:rPr>
        <w:t>ement</w:t>
      </w:r>
      <w:r w:rsidRPr="0046640B">
        <w:rPr>
          <w:rFonts w:ascii="Georgia" w:hAnsi="Georgia" w:cs="Arial"/>
          <w:color w:val="auto"/>
          <w:szCs w:val="24"/>
          <w:lang w:val="en-GB"/>
        </w:rPr>
        <w:t xml:space="preserve"> </w:t>
      </w:r>
      <w:r w:rsidRPr="0046640B">
        <w:rPr>
          <w:rFonts w:ascii="Georgia" w:hAnsi="Georgia" w:cs="Arial"/>
          <w:bCs/>
          <w:color w:val="auto"/>
          <w:szCs w:val="24"/>
          <w:lang w:val="en-GB"/>
        </w:rPr>
        <w:t>7,</w:t>
      </w:r>
      <w:r w:rsidR="0046640B" w:rsidRPr="0046640B">
        <w:rPr>
          <w:rFonts w:ascii="Georgia" w:hAnsi="Georgia" w:cs="Arial"/>
          <w:color w:val="auto"/>
          <w:szCs w:val="24"/>
          <w:lang w:val="en-GB"/>
        </w:rPr>
        <w:t xml:space="preserve"> L21–L26</w:t>
      </w:r>
      <w:r w:rsidRPr="0046640B">
        <w:rPr>
          <w:rFonts w:ascii="Georgia" w:hAnsi="Georgia" w:cs="Arial"/>
          <w:color w:val="auto"/>
          <w:szCs w:val="24"/>
          <w:lang w:val="en-GB"/>
        </w:rPr>
        <w:t>.</w:t>
      </w:r>
    </w:p>
    <w:p w:rsidR="00102A29" w:rsidRPr="0046640B" w:rsidRDefault="0046640B" w:rsidP="00FD3577">
      <w:pPr>
        <w:pStyle w:val="Bibliography"/>
        <w:spacing w:after="140" w:line="264" w:lineRule="auto"/>
        <w:ind w:left="266" w:hanging="266"/>
        <w:rPr>
          <w:rFonts w:ascii="Georgia" w:hAnsi="Georgia" w:cs="Arial"/>
          <w:color w:val="auto"/>
          <w:szCs w:val="24"/>
          <w:lang w:val="en-GB"/>
        </w:rPr>
      </w:pPr>
      <w:r w:rsidRPr="0046640B">
        <w:rPr>
          <w:rFonts w:ascii="Georgia" w:hAnsi="Georgia" w:cs="Arial"/>
          <w:color w:val="auto"/>
          <w:szCs w:val="24"/>
          <w:lang w:val="en-GB"/>
        </w:rPr>
        <w:t>18.</w:t>
      </w:r>
      <w:r w:rsidRPr="0046640B">
        <w:rPr>
          <w:rFonts w:ascii="Georgia" w:hAnsi="Georgia" w:cs="Arial"/>
          <w:color w:val="auto"/>
          <w:szCs w:val="24"/>
          <w:lang w:val="en-GB"/>
        </w:rPr>
        <w:tab/>
        <w:t>Blackburn</w:t>
      </w:r>
      <w:r w:rsidR="00102A29" w:rsidRPr="0046640B">
        <w:rPr>
          <w:rFonts w:ascii="Georgia" w:hAnsi="Georgia" w:cs="Arial"/>
          <w:color w:val="auto"/>
          <w:szCs w:val="24"/>
          <w:lang w:val="en-GB"/>
        </w:rPr>
        <w:t xml:space="preserve"> G. </w:t>
      </w:r>
      <w:r w:rsidRPr="0046640B">
        <w:rPr>
          <w:rFonts w:ascii="Georgia" w:hAnsi="Georgia" w:cs="Arial"/>
          <w:color w:val="auto"/>
          <w:szCs w:val="24"/>
          <w:lang w:val="en-GB"/>
        </w:rPr>
        <w:t xml:space="preserve">1995. </w:t>
      </w:r>
      <w:r w:rsidR="00102A29" w:rsidRPr="0046640B">
        <w:rPr>
          <w:rFonts w:ascii="Georgia" w:hAnsi="Georgia" w:cs="Arial"/>
          <w:color w:val="auto"/>
          <w:szCs w:val="24"/>
          <w:lang w:val="en-GB"/>
        </w:rPr>
        <w:t xml:space="preserve">Effect of degree of weight loss on health benefits. </w:t>
      </w:r>
      <w:r w:rsidR="00102A29" w:rsidRPr="0046640B">
        <w:rPr>
          <w:rFonts w:ascii="Georgia" w:hAnsi="Georgia" w:cs="Arial"/>
          <w:i/>
          <w:iCs/>
          <w:color w:val="auto"/>
          <w:szCs w:val="24"/>
          <w:lang w:val="en-GB"/>
        </w:rPr>
        <w:t>Obes</w:t>
      </w:r>
      <w:r w:rsidRPr="0046640B">
        <w:rPr>
          <w:rFonts w:ascii="Georgia" w:hAnsi="Georgia" w:cs="Arial"/>
          <w:i/>
          <w:iCs/>
          <w:color w:val="auto"/>
          <w:szCs w:val="24"/>
          <w:lang w:val="en-GB"/>
        </w:rPr>
        <w:t>ity</w:t>
      </w:r>
      <w:r w:rsidR="00102A29" w:rsidRPr="0046640B">
        <w:rPr>
          <w:rFonts w:ascii="Georgia" w:hAnsi="Georgia" w:cs="Arial"/>
          <w:i/>
          <w:iCs/>
          <w:color w:val="auto"/>
          <w:szCs w:val="24"/>
          <w:lang w:val="en-GB"/>
        </w:rPr>
        <w:t xml:space="preserve"> Res</w:t>
      </w:r>
      <w:r w:rsidRPr="0046640B">
        <w:rPr>
          <w:rFonts w:ascii="Georgia" w:hAnsi="Georgia" w:cs="Arial"/>
          <w:i/>
          <w:iCs/>
          <w:color w:val="auto"/>
          <w:szCs w:val="24"/>
          <w:lang w:val="en-GB"/>
        </w:rPr>
        <w:t>earch</w:t>
      </w:r>
      <w:r w:rsidR="00102A29" w:rsidRPr="0046640B">
        <w:rPr>
          <w:rFonts w:ascii="Georgia" w:hAnsi="Georgia" w:cs="Arial"/>
          <w:i/>
          <w:iCs/>
          <w:color w:val="auto"/>
          <w:szCs w:val="24"/>
          <w:lang w:val="en-GB"/>
        </w:rPr>
        <w:t>.</w:t>
      </w:r>
      <w:r w:rsidR="00102A29" w:rsidRPr="0046640B">
        <w:rPr>
          <w:rFonts w:ascii="Georgia" w:hAnsi="Georgia" w:cs="Arial"/>
          <w:color w:val="auto"/>
          <w:szCs w:val="24"/>
          <w:lang w:val="en-GB"/>
        </w:rPr>
        <w:t xml:space="preserve"> </w:t>
      </w:r>
      <w:r w:rsidR="00102A29" w:rsidRPr="0046640B">
        <w:rPr>
          <w:rFonts w:ascii="Georgia" w:hAnsi="Georgia" w:cs="Arial"/>
          <w:bCs/>
          <w:color w:val="auto"/>
          <w:szCs w:val="24"/>
          <w:lang w:val="en-GB"/>
        </w:rPr>
        <w:t>3 Suppl 2,</w:t>
      </w:r>
      <w:r w:rsidRPr="0046640B">
        <w:rPr>
          <w:rFonts w:ascii="Georgia" w:hAnsi="Georgia" w:cs="Arial"/>
          <w:color w:val="auto"/>
          <w:szCs w:val="24"/>
          <w:lang w:val="en-GB"/>
        </w:rPr>
        <w:t xml:space="preserve"> 211s–216s</w:t>
      </w:r>
      <w:r w:rsidR="00102A29" w:rsidRPr="0046640B">
        <w:rPr>
          <w:rFonts w:ascii="Georgia" w:hAnsi="Georgia" w:cs="Arial"/>
          <w:color w:val="auto"/>
          <w:szCs w:val="24"/>
          <w:lang w:val="en-GB"/>
        </w:rPr>
        <w:t>.</w:t>
      </w:r>
    </w:p>
    <w:p w:rsidR="00905EEF" w:rsidRPr="009949B9" w:rsidRDefault="0046640B" w:rsidP="00FD3577">
      <w:pPr>
        <w:pStyle w:val="Bibliography"/>
        <w:spacing w:after="140" w:line="264" w:lineRule="auto"/>
        <w:ind w:left="266" w:hanging="266"/>
        <w:rPr>
          <w:rFonts w:ascii="Georgia" w:hAnsi="Georgia"/>
          <w:color w:val="auto"/>
          <w:lang w:val="en-GB"/>
        </w:rPr>
      </w:pPr>
      <w:r w:rsidRPr="0046640B">
        <w:rPr>
          <w:rFonts w:ascii="Georgia" w:hAnsi="Georgia" w:cs="Arial"/>
          <w:color w:val="auto"/>
          <w:szCs w:val="24"/>
          <w:lang w:val="en-GB"/>
        </w:rPr>
        <w:t>19.</w:t>
      </w:r>
      <w:r w:rsidRPr="0046640B">
        <w:rPr>
          <w:rFonts w:ascii="Georgia" w:hAnsi="Georgia" w:cs="Arial"/>
          <w:color w:val="auto"/>
          <w:szCs w:val="24"/>
          <w:lang w:val="en-GB"/>
        </w:rPr>
        <w:tab/>
        <w:t>Millstein</w:t>
      </w:r>
      <w:r w:rsidR="00102A29" w:rsidRPr="0046640B">
        <w:rPr>
          <w:rFonts w:ascii="Georgia" w:hAnsi="Georgia" w:cs="Arial"/>
          <w:color w:val="auto"/>
          <w:szCs w:val="24"/>
          <w:lang w:val="en-GB"/>
        </w:rPr>
        <w:t xml:space="preserve"> RA.</w:t>
      </w:r>
      <w:r w:rsidRPr="0046640B">
        <w:rPr>
          <w:rFonts w:ascii="Georgia" w:hAnsi="Georgia" w:cs="Arial"/>
          <w:color w:val="auto"/>
          <w:szCs w:val="24"/>
          <w:lang w:val="en-GB"/>
        </w:rPr>
        <w:t xml:space="preserve"> 2014.</w:t>
      </w:r>
      <w:r w:rsidR="00102A29" w:rsidRPr="0046640B">
        <w:rPr>
          <w:rFonts w:ascii="Georgia" w:hAnsi="Georgia" w:cs="Arial"/>
          <w:color w:val="auto"/>
          <w:szCs w:val="24"/>
          <w:lang w:val="en-GB"/>
        </w:rPr>
        <w:t xml:space="preserve"> Measuring outcomes in adult weight loss studies that include diet and physical activity: a systematic review. </w:t>
      </w:r>
      <w:r w:rsidR="00102A29" w:rsidRPr="0046640B">
        <w:rPr>
          <w:rFonts w:ascii="Georgia" w:hAnsi="Georgia" w:cs="Arial"/>
          <w:i/>
          <w:iCs/>
          <w:color w:val="auto"/>
          <w:szCs w:val="24"/>
          <w:lang w:val="en-GB"/>
        </w:rPr>
        <w:t>J</w:t>
      </w:r>
      <w:r w:rsidRPr="0046640B">
        <w:rPr>
          <w:rFonts w:ascii="Georgia" w:hAnsi="Georgia" w:cs="Arial"/>
          <w:i/>
          <w:iCs/>
          <w:color w:val="auto"/>
          <w:szCs w:val="24"/>
          <w:lang w:val="en-GB"/>
        </w:rPr>
        <w:t xml:space="preserve">ournal of </w:t>
      </w:r>
      <w:r w:rsidR="00102A29" w:rsidRPr="0046640B">
        <w:rPr>
          <w:rFonts w:ascii="Georgia" w:hAnsi="Georgia" w:cs="Arial"/>
          <w:i/>
          <w:iCs/>
          <w:color w:val="auto"/>
          <w:szCs w:val="24"/>
          <w:lang w:val="en-GB"/>
        </w:rPr>
        <w:t>Nutr</w:t>
      </w:r>
      <w:r w:rsidRPr="0046640B">
        <w:rPr>
          <w:rFonts w:ascii="Georgia" w:hAnsi="Georgia" w:cs="Arial"/>
          <w:i/>
          <w:iCs/>
          <w:color w:val="auto"/>
          <w:szCs w:val="24"/>
          <w:lang w:val="en-GB"/>
        </w:rPr>
        <w:t xml:space="preserve">ition and </w:t>
      </w:r>
      <w:r w:rsidR="00102A29" w:rsidRPr="0046640B">
        <w:rPr>
          <w:rFonts w:ascii="Georgia" w:hAnsi="Georgia" w:cs="Arial"/>
          <w:i/>
          <w:iCs/>
          <w:color w:val="auto"/>
          <w:szCs w:val="24"/>
          <w:lang w:val="en-GB"/>
        </w:rPr>
        <w:t>Metab</w:t>
      </w:r>
      <w:r w:rsidRPr="0046640B">
        <w:rPr>
          <w:rFonts w:ascii="Georgia" w:hAnsi="Georgia" w:cs="Arial"/>
          <w:i/>
          <w:iCs/>
          <w:color w:val="auto"/>
          <w:szCs w:val="24"/>
          <w:lang w:val="en-GB"/>
        </w:rPr>
        <w:t>olism</w:t>
      </w:r>
      <w:r w:rsidR="00102A29" w:rsidRPr="0046640B">
        <w:rPr>
          <w:rFonts w:ascii="Georgia" w:hAnsi="Georgia" w:cs="Arial"/>
          <w:color w:val="auto"/>
          <w:szCs w:val="24"/>
          <w:lang w:val="en-GB"/>
        </w:rPr>
        <w:t xml:space="preserve"> </w:t>
      </w:r>
      <w:r w:rsidR="00102A29" w:rsidRPr="0046640B">
        <w:rPr>
          <w:rFonts w:ascii="Georgia" w:hAnsi="Georgia" w:cs="Arial"/>
          <w:bCs/>
          <w:color w:val="auto"/>
          <w:szCs w:val="24"/>
          <w:lang w:val="en-GB"/>
        </w:rPr>
        <w:t>2014,</w:t>
      </w:r>
      <w:r w:rsidRPr="0046640B">
        <w:rPr>
          <w:rFonts w:ascii="Georgia" w:hAnsi="Georgia" w:cs="Arial"/>
          <w:color w:val="auto"/>
          <w:szCs w:val="24"/>
          <w:lang w:val="en-GB"/>
        </w:rPr>
        <w:t xml:space="preserve"> 421423</w:t>
      </w:r>
      <w:r w:rsidR="00102A29" w:rsidRPr="0046640B">
        <w:rPr>
          <w:rFonts w:ascii="Georgia" w:hAnsi="Georgia" w:cs="Arial"/>
          <w:color w:val="auto"/>
          <w:szCs w:val="24"/>
          <w:lang w:val="en-GB"/>
        </w:rPr>
        <w:t>.</w:t>
      </w:r>
      <w:r w:rsidR="00B50FC5" w:rsidRPr="009949B9">
        <w:rPr>
          <w:rFonts w:ascii="Georgia" w:hAnsi="Georgia"/>
          <w:color w:val="auto"/>
          <w:lang w:val="en-GB"/>
        </w:rPr>
        <w:fldChar w:fldCharType="end"/>
      </w:r>
      <w:r w:rsidR="00905EEF" w:rsidRPr="009949B9">
        <w:rPr>
          <w:rFonts w:ascii="Georgia" w:hAnsi="Georgia"/>
          <w:color w:val="auto"/>
          <w:lang w:val="en-GB"/>
        </w:rPr>
        <w:br w:type="page"/>
      </w:r>
    </w:p>
    <w:p w:rsidR="00905EEF" w:rsidRPr="009949B9" w:rsidRDefault="00905EEF" w:rsidP="00034C96">
      <w:pPr>
        <w:pStyle w:val="Heading1"/>
      </w:pPr>
      <w:bookmarkStart w:id="22" w:name="_Toc465944124"/>
      <w:r w:rsidRPr="009949B9">
        <w:t>Appendix 1: Evidence-based behaviour change techniques for increasing healthy eating and physical activity</w:t>
      </w:r>
      <w:bookmarkEnd w:id="22"/>
    </w:p>
    <w:tbl>
      <w:tblPr>
        <w:tblStyle w:val="LightGrid-Accent1"/>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060"/>
      </w:tblGrid>
      <w:tr w:rsidR="00974961" w:rsidRPr="009949B9" w:rsidTr="00FD3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tcPr>
          <w:p w:rsidR="00974961" w:rsidRPr="009949B9" w:rsidRDefault="00974961" w:rsidP="00974961">
            <w:pPr>
              <w:rPr>
                <w:rFonts w:ascii="Georgia" w:hAnsi="Georgia"/>
                <w:color w:val="auto"/>
                <w:lang w:val="en-GB"/>
              </w:rPr>
            </w:pPr>
            <w:r w:rsidRPr="009949B9">
              <w:rPr>
                <w:rFonts w:ascii="Georgia" w:hAnsi="Georgia"/>
                <w:color w:val="auto"/>
                <w:lang w:val="en-GB"/>
              </w:rPr>
              <w:t>Behaviour change techniques for changing physical activity and health eating behaviours</w:t>
            </w:r>
            <w:r w:rsidR="00B50FC5" w:rsidRPr="009949B9">
              <w:rPr>
                <w:rFonts w:ascii="Georgia" w:hAnsi="Georgia"/>
                <w:color w:val="auto"/>
                <w:lang w:val="en-GB"/>
              </w:rPr>
              <w:fldChar w:fldCharType="begin"/>
            </w:r>
            <w:r w:rsidR="00102A29" w:rsidRPr="009949B9">
              <w:rPr>
                <w:rFonts w:ascii="Georgia" w:hAnsi="Georgia"/>
                <w:color w:val="auto"/>
                <w:lang w:val="en-GB"/>
              </w:rPr>
              <w:instrText xml:space="preserve"> ADDIN ZOTERO_ITEM CSL_CITATION {"citationID":"2ukNlnuI","properties":{"formattedCitation":"{\\rtf \\super 14\\nosupersub{}}","plainCitation":"14"},"citationItems":[{"id":4694,"uris":["http://zotero.org/users/1878547/items/E2JQTV67"],"uri":["http://zotero.org/users/1878547/items/E2JQTV67"],"itemData":{"id":4694,"type":"article-journal","title":"A refined taxonomy of behaviour change techniques to help people change their physical activity and healthy eating behaviours: the CALO-RE taxonomy","container-title":"Psychology &amp; Health","page":"1479-1498","volume":"26","issue":"11","source":"PubMed","abstract":"BACKGROUND: Current reporting of intervention content in published research articles and protocols is generally poor, with great diversity of terminology, resulting in low replicability. This study aimed to extend the scope and improve the reliability of a 26-item taxonomy of behaviour change techniques developed by Abraham and Michie [Abraham, C. and Michie, S. (2008). A taxonomy of behaviour change techniques used in interventions. Health Psychology, 27(3), 379-387.] in order to optimise the reporting and scientific study of behaviour change interventions.\nMETHODS: Three UK study centres collaborated in applying this existing taxonomy to two systematic reviews of interventions to increase physical activity and healthy eating. The taxonomy was refined in iterative steps of (1) coding intervention descriptions, and assessing inter-rater reliability, (2) identifying gaps and problems across study centres and (3) refining the labels and definitions based on consensus discussions.\nRESULTS: Labels and definitions were improved for all techniques, conceptual overlap between categories was resolved, some categories were split and 14 techniques were added, resulting in a 40-item taxonomy. Inter-rater reliability, assessed on 50 published intervention descriptions, was good (kappa</w:instrText>
            </w:r>
            <w:r w:rsidR="00102A29" w:rsidRPr="009949B9">
              <w:rPr>
                <w:color w:val="auto"/>
                <w:lang w:val="en-GB"/>
              </w:rPr>
              <w:instrText> </w:instrText>
            </w:r>
            <w:r w:rsidR="00102A29" w:rsidRPr="009949B9">
              <w:rPr>
                <w:rFonts w:ascii="Georgia" w:hAnsi="Georgia"/>
                <w:color w:val="auto"/>
                <w:lang w:val="en-GB"/>
              </w:rPr>
              <w:instrText>=</w:instrText>
            </w:r>
            <w:r w:rsidR="00102A29" w:rsidRPr="009949B9">
              <w:rPr>
                <w:color w:val="auto"/>
                <w:lang w:val="en-GB"/>
              </w:rPr>
              <w:instrText> </w:instrText>
            </w:r>
            <w:r w:rsidR="00102A29" w:rsidRPr="009949B9">
              <w:rPr>
                <w:rFonts w:ascii="Georgia" w:hAnsi="Georgia"/>
                <w:color w:val="auto"/>
                <w:lang w:val="en-GB"/>
              </w:rPr>
              <w:instrText xml:space="preserve">0.79).\nCONCLUSIONS: This taxonomy can be used to improve the specification of interventions in published reports, thus improving replication, implementation and evidence syntheses. This will strengthen the scientific study of behaviour change and intervention development.","DOI":"10.1080/08870446.2010.540664","ISSN":"1476-8321","note":"PMID: 21678185","shortTitle":"A refined taxonomy of behaviour change techniques to help people change their physical activity and healthy eating behaviours","journalAbbreviation":"Psychol Health","language":"eng","author":[{"family":"Michie","given":"Susan"},{"family":"Ashford","given":"Stefanie"},{"family":"Sniehotta","given":"Falko F."},{"family":"Dombrowski","given":"Stephan U."},{"family":"Bishop","given":"Alex"},{"family":"French","given":"David P."}],"issued":{"date-parts":[["2011",11]]},"PMID":"21678185"}}],"schema":"https://github.com/citation-style-language/schema/raw/master/csl-citation.json"} </w:instrText>
            </w:r>
            <w:r w:rsidR="00B50FC5" w:rsidRPr="009949B9">
              <w:rPr>
                <w:rFonts w:ascii="Georgia" w:hAnsi="Georgia"/>
                <w:color w:val="auto"/>
                <w:lang w:val="en-GB"/>
              </w:rPr>
              <w:fldChar w:fldCharType="separate"/>
            </w:r>
            <w:r w:rsidR="00102A29" w:rsidRPr="009949B9">
              <w:rPr>
                <w:rFonts w:ascii="Georgia" w:hAnsi="Georgia" w:cs="Arial"/>
                <w:color w:val="auto"/>
                <w:vertAlign w:val="superscript"/>
                <w:lang w:val="en-GB"/>
              </w:rPr>
              <w:t>14</w:t>
            </w:r>
            <w:r w:rsidR="00B50FC5" w:rsidRPr="009949B9">
              <w:rPr>
                <w:rFonts w:ascii="Georgia" w:hAnsi="Georgia"/>
                <w:color w:val="auto"/>
                <w:lang w:val="en-GB"/>
              </w:rPr>
              <w:fldChar w:fldCharType="end"/>
            </w:r>
          </w:p>
        </w:tc>
      </w:tr>
      <w:tr w:rsidR="00974961" w:rsidRPr="009949B9" w:rsidTr="00FD3577">
        <w:trPr>
          <w:cnfStyle w:val="000000100000" w:firstRow="0" w:lastRow="0" w:firstColumn="0" w:lastColumn="0" w:oddVBand="0" w:evenVBand="0" w:oddHBand="1" w:evenHBand="0" w:firstRowFirstColumn="0" w:firstRowLastColumn="0" w:lastRowFirstColumn="0" w:lastRowLastColumn="0"/>
          <w:trHeight w:val="9348"/>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974961" w:rsidRPr="009949B9" w:rsidRDefault="00974961" w:rsidP="00C408F2">
            <w:pPr>
              <w:pStyle w:val="ListParagraph"/>
              <w:rPr>
                <w:b w:val="0"/>
                <w:color w:val="auto"/>
                <w:sz w:val="20"/>
              </w:rPr>
            </w:pPr>
            <w:r w:rsidRPr="009949B9">
              <w:rPr>
                <w:b w:val="0"/>
                <w:color w:val="auto"/>
                <w:sz w:val="20"/>
              </w:rPr>
              <w:t xml:space="preserve">Provide information on </w:t>
            </w:r>
            <w:r w:rsidR="00C07064">
              <w:rPr>
                <w:b w:val="0"/>
                <w:color w:val="auto"/>
                <w:sz w:val="20"/>
              </w:rPr>
              <w:t xml:space="preserve">the </w:t>
            </w:r>
            <w:r w:rsidRPr="009949B9">
              <w:rPr>
                <w:b w:val="0"/>
                <w:color w:val="auto"/>
                <w:sz w:val="20"/>
              </w:rPr>
              <w:t>consequences of behaviour to the individual</w:t>
            </w:r>
          </w:p>
          <w:p w:rsidR="00974961" w:rsidRPr="009949B9" w:rsidRDefault="00974961" w:rsidP="00C408F2">
            <w:pPr>
              <w:pStyle w:val="ListParagraph"/>
              <w:rPr>
                <w:b w:val="0"/>
                <w:color w:val="auto"/>
                <w:sz w:val="20"/>
              </w:rPr>
            </w:pPr>
            <w:r w:rsidRPr="009949B9">
              <w:rPr>
                <w:b w:val="0"/>
                <w:color w:val="auto"/>
                <w:sz w:val="20"/>
              </w:rPr>
              <w:t>Provide information about others’ approval</w:t>
            </w:r>
          </w:p>
          <w:p w:rsidR="00974961" w:rsidRPr="009949B9" w:rsidRDefault="00974961" w:rsidP="00C408F2">
            <w:pPr>
              <w:pStyle w:val="ListParagraph"/>
              <w:rPr>
                <w:b w:val="0"/>
                <w:color w:val="auto"/>
                <w:sz w:val="20"/>
              </w:rPr>
            </w:pPr>
            <w:r w:rsidRPr="009949B9">
              <w:rPr>
                <w:b w:val="0"/>
                <w:color w:val="auto"/>
                <w:sz w:val="20"/>
              </w:rPr>
              <w:t>Provide normative information about others’ behaviour</w:t>
            </w:r>
          </w:p>
          <w:p w:rsidR="00974961" w:rsidRPr="009949B9" w:rsidRDefault="00974961" w:rsidP="00C408F2">
            <w:pPr>
              <w:pStyle w:val="ListParagraph"/>
              <w:rPr>
                <w:b w:val="0"/>
                <w:color w:val="auto"/>
                <w:sz w:val="20"/>
              </w:rPr>
            </w:pPr>
            <w:r w:rsidRPr="009949B9">
              <w:rPr>
                <w:b w:val="0"/>
                <w:color w:val="auto"/>
                <w:sz w:val="20"/>
              </w:rPr>
              <w:t>Goal setting (behaviour)</w:t>
            </w:r>
          </w:p>
          <w:p w:rsidR="00974961" w:rsidRPr="009949B9" w:rsidRDefault="00974961" w:rsidP="00C408F2">
            <w:pPr>
              <w:pStyle w:val="ListParagraph"/>
              <w:rPr>
                <w:b w:val="0"/>
                <w:color w:val="auto"/>
                <w:sz w:val="20"/>
              </w:rPr>
            </w:pPr>
            <w:r w:rsidRPr="009949B9">
              <w:rPr>
                <w:b w:val="0"/>
                <w:color w:val="auto"/>
                <w:sz w:val="20"/>
              </w:rPr>
              <w:t>Goal setting (outcome)</w:t>
            </w:r>
          </w:p>
          <w:p w:rsidR="00974961" w:rsidRPr="009949B9" w:rsidRDefault="00974961" w:rsidP="00C408F2">
            <w:pPr>
              <w:pStyle w:val="ListParagraph"/>
              <w:rPr>
                <w:b w:val="0"/>
                <w:color w:val="auto"/>
                <w:sz w:val="20"/>
              </w:rPr>
            </w:pPr>
            <w:r w:rsidRPr="009949B9">
              <w:rPr>
                <w:b w:val="0"/>
                <w:color w:val="auto"/>
                <w:sz w:val="20"/>
              </w:rPr>
              <w:t>Action planning</w:t>
            </w:r>
          </w:p>
          <w:p w:rsidR="00974961" w:rsidRPr="009949B9" w:rsidRDefault="00974961" w:rsidP="00C408F2">
            <w:pPr>
              <w:pStyle w:val="ListParagraph"/>
              <w:rPr>
                <w:b w:val="0"/>
                <w:color w:val="auto"/>
                <w:sz w:val="20"/>
              </w:rPr>
            </w:pPr>
            <w:r w:rsidRPr="009949B9">
              <w:rPr>
                <w:b w:val="0"/>
                <w:color w:val="auto"/>
                <w:sz w:val="20"/>
              </w:rPr>
              <w:t>Barrier identification/problem solving</w:t>
            </w:r>
          </w:p>
          <w:p w:rsidR="00974961" w:rsidRPr="009949B9" w:rsidRDefault="00974961" w:rsidP="00C408F2">
            <w:pPr>
              <w:pStyle w:val="ListParagraph"/>
              <w:rPr>
                <w:b w:val="0"/>
                <w:color w:val="auto"/>
                <w:sz w:val="20"/>
              </w:rPr>
            </w:pPr>
            <w:r w:rsidRPr="009949B9">
              <w:rPr>
                <w:b w:val="0"/>
                <w:color w:val="auto"/>
                <w:sz w:val="20"/>
              </w:rPr>
              <w:t>Set graded tasks</w:t>
            </w:r>
          </w:p>
          <w:p w:rsidR="00974961" w:rsidRPr="009949B9" w:rsidRDefault="00974961" w:rsidP="00C408F2">
            <w:pPr>
              <w:pStyle w:val="ListParagraph"/>
              <w:rPr>
                <w:b w:val="0"/>
                <w:color w:val="auto"/>
                <w:sz w:val="20"/>
              </w:rPr>
            </w:pPr>
            <w:r w:rsidRPr="009949B9">
              <w:rPr>
                <w:b w:val="0"/>
                <w:color w:val="auto"/>
                <w:sz w:val="20"/>
              </w:rPr>
              <w:t xml:space="preserve">Prompt review of behavioural goals </w:t>
            </w:r>
          </w:p>
          <w:p w:rsidR="00974961" w:rsidRPr="009949B9" w:rsidRDefault="00974961" w:rsidP="00C408F2">
            <w:pPr>
              <w:pStyle w:val="ListParagraph"/>
              <w:rPr>
                <w:b w:val="0"/>
                <w:color w:val="auto"/>
                <w:sz w:val="20"/>
              </w:rPr>
            </w:pPr>
            <w:r w:rsidRPr="009949B9">
              <w:rPr>
                <w:b w:val="0"/>
                <w:color w:val="auto"/>
                <w:sz w:val="20"/>
              </w:rPr>
              <w:t xml:space="preserve">Prompt review of outcome goals </w:t>
            </w:r>
          </w:p>
          <w:p w:rsidR="00974961" w:rsidRPr="009949B9" w:rsidRDefault="00974961" w:rsidP="00C408F2">
            <w:pPr>
              <w:pStyle w:val="ListParagraph"/>
              <w:rPr>
                <w:b w:val="0"/>
                <w:color w:val="auto"/>
                <w:sz w:val="20"/>
              </w:rPr>
            </w:pPr>
            <w:r w:rsidRPr="009949B9">
              <w:rPr>
                <w:b w:val="0"/>
                <w:color w:val="auto"/>
                <w:sz w:val="20"/>
              </w:rPr>
              <w:t xml:space="preserve">Prompt rewards contingent on effort or progress towards behaviour </w:t>
            </w:r>
          </w:p>
          <w:p w:rsidR="00974961" w:rsidRPr="009949B9" w:rsidRDefault="00974961" w:rsidP="00C408F2">
            <w:pPr>
              <w:pStyle w:val="ListParagraph"/>
              <w:rPr>
                <w:b w:val="0"/>
                <w:color w:val="auto"/>
                <w:sz w:val="20"/>
              </w:rPr>
            </w:pPr>
            <w:r w:rsidRPr="009949B9">
              <w:rPr>
                <w:b w:val="0"/>
                <w:color w:val="auto"/>
                <w:sz w:val="20"/>
              </w:rPr>
              <w:t xml:space="preserve">Provide rewards contingent on successful behaviour </w:t>
            </w:r>
          </w:p>
          <w:p w:rsidR="00974961" w:rsidRPr="009949B9" w:rsidRDefault="00974961" w:rsidP="00C408F2">
            <w:pPr>
              <w:pStyle w:val="ListParagraph"/>
              <w:rPr>
                <w:b w:val="0"/>
                <w:color w:val="auto"/>
                <w:sz w:val="20"/>
              </w:rPr>
            </w:pPr>
            <w:r w:rsidRPr="009949B9">
              <w:rPr>
                <w:b w:val="0"/>
                <w:color w:val="auto"/>
                <w:sz w:val="20"/>
              </w:rPr>
              <w:t xml:space="preserve">Shaping </w:t>
            </w:r>
          </w:p>
          <w:p w:rsidR="00974961" w:rsidRPr="009949B9" w:rsidRDefault="00974961" w:rsidP="00C408F2">
            <w:pPr>
              <w:pStyle w:val="ListParagraph"/>
              <w:rPr>
                <w:b w:val="0"/>
                <w:color w:val="auto"/>
                <w:sz w:val="20"/>
              </w:rPr>
            </w:pPr>
            <w:r w:rsidRPr="009949B9">
              <w:rPr>
                <w:b w:val="0"/>
                <w:color w:val="auto"/>
                <w:sz w:val="20"/>
              </w:rPr>
              <w:t xml:space="preserve">Prompting generalisation of a target behaviour </w:t>
            </w:r>
          </w:p>
          <w:p w:rsidR="00974961" w:rsidRPr="009949B9" w:rsidRDefault="00974961" w:rsidP="00C408F2">
            <w:pPr>
              <w:pStyle w:val="ListParagraph"/>
              <w:rPr>
                <w:b w:val="0"/>
                <w:color w:val="auto"/>
                <w:sz w:val="20"/>
              </w:rPr>
            </w:pPr>
            <w:r w:rsidRPr="009949B9">
              <w:rPr>
                <w:b w:val="0"/>
                <w:color w:val="auto"/>
                <w:sz w:val="20"/>
              </w:rPr>
              <w:t xml:space="preserve">Prompt self-monitoring of behaviour </w:t>
            </w:r>
          </w:p>
          <w:p w:rsidR="00974961" w:rsidRPr="009949B9" w:rsidRDefault="00974961" w:rsidP="00C408F2">
            <w:pPr>
              <w:pStyle w:val="ListParagraph"/>
              <w:rPr>
                <w:b w:val="0"/>
                <w:color w:val="auto"/>
                <w:sz w:val="20"/>
              </w:rPr>
            </w:pPr>
            <w:r w:rsidRPr="009949B9">
              <w:rPr>
                <w:b w:val="0"/>
                <w:color w:val="auto"/>
                <w:sz w:val="20"/>
              </w:rPr>
              <w:t xml:space="preserve">Prompt self-monitoring of behavioural outcome </w:t>
            </w:r>
          </w:p>
          <w:p w:rsidR="00974961" w:rsidRPr="009949B9" w:rsidRDefault="00974961" w:rsidP="00C408F2">
            <w:pPr>
              <w:pStyle w:val="ListParagraph"/>
              <w:rPr>
                <w:b w:val="0"/>
                <w:color w:val="auto"/>
                <w:sz w:val="20"/>
              </w:rPr>
            </w:pPr>
            <w:r w:rsidRPr="009949B9">
              <w:rPr>
                <w:b w:val="0"/>
                <w:color w:val="auto"/>
                <w:sz w:val="20"/>
              </w:rPr>
              <w:t xml:space="preserve">Prompting focus on past success </w:t>
            </w:r>
          </w:p>
          <w:p w:rsidR="00974961" w:rsidRPr="009949B9" w:rsidRDefault="00974961" w:rsidP="00C408F2">
            <w:pPr>
              <w:pStyle w:val="ListParagraph"/>
              <w:rPr>
                <w:b w:val="0"/>
                <w:color w:val="auto"/>
                <w:sz w:val="20"/>
              </w:rPr>
            </w:pPr>
            <w:r w:rsidRPr="009949B9">
              <w:rPr>
                <w:b w:val="0"/>
                <w:color w:val="auto"/>
                <w:sz w:val="20"/>
              </w:rPr>
              <w:t xml:space="preserve">Provide feedback on performance </w:t>
            </w:r>
          </w:p>
          <w:p w:rsidR="00974961" w:rsidRPr="009949B9" w:rsidRDefault="00974961" w:rsidP="00C408F2">
            <w:pPr>
              <w:pStyle w:val="ListParagraph"/>
              <w:rPr>
                <w:b w:val="0"/>
                <w:color w:val="auto"/>
                <w:sz w:val="20"/>
              </w:rPr>
            </w:pPr>
            <w:r w:rsidRPr="009949B9">
              <w:rPr>
                <w:b w:val="0"/>
                <w:color w:val="auto"/>
                <w:sz w:val="20"/>
              </w:rPr>
              <w:t xml:space="preserve">Provide information on where and when to perform the behaviour </w:t>
            </w:r>
          </w:p>
          <w:p w:rsidR="00974961" w:rsidRPr="009949B9" w:rsidRDefault="00974961" w:rsidP="00C408F2">
            <w:pPr>
              <w:pStyle w:val="ListParagraph"/>
              <w:rPr>
                <w:b w:val="0"/>
                <w:color w:val="auto"/>
                <w:sz w:val="20"/>
              </w:rPr>
            </w:pPr>
            <w:r w:rsidRPr="009949B9">
              <w:rPr>
                <w:b w:val="0"/>
                <w:color w:val="auto"/>
                <w:sz w:val="20"/>
              </w:rPr>
              <w:t xml:space="preserve">Provide instruction on how to perform the behaviour </w:t>
            </w:r>
          </w:p>
          <w:p w:rsidR="00974961" w:rsidRPr="009949B9" w:rsidRDefault="00747204" w:rsidP="00C408F2">
            <w:pPr>
              <w:pStyle w:val="ListParagraph"/>
              <w:rPr>
                <w:b w:val="0"/>
                <w:color w:val="auto"/>
                <w:sz w:val="20"/>
              </w:rPr>
            </w:pPr>
            <w:r>
              <w:rPr>
                <w:b w:val="0"/>
                <w:color w:val="auto"/>
                <w:sz w:val="20"/>
              </w:rPr>
              <w:t>Model/d</w:t>
            </w:r>
            <w:r w:rsidR="00974961" w:rsidRPr="009949B9">
              <w:rPr>
                <w:b w:val="0"/>
                <w:color w:val="auto"/>
                <w:sz w:val="20"/>
              </w:rPr>
              <w:t xml:space="preserve">emonstrate the behaviour </w:t>
            </w:r>
          </w:p>
          <w:p w:rsidR="00974961" w:rsidRPr="009949B9" w:rsidRDefault="00974961" w:rsidP="00C408F2">
            <w:pPr>
              <w:pStyle w:val="ListParagraph"/>
              <w:rPr>
                <w:b w:val="0"/>
                <w:color w:val="auto"/>
                <w:sz w:val="20"/>
              </w:rPr>
            </w:pPr>
            <w:r w:rsidRPr="009949B9">
              <w:rPr>
                <w:b w:val="0"/>
                <w:color w:val="auto"/>
                <w:sz w:val="20"/>
              </w:rPr>
              <w:t xml:space="preserve">Teach to use prompts/cues </w:t>
            </w:r>
          </w:p>
          <w:p w:rsidR="00974961" w:rsidRPr="009949B9" w:rsidRDefault="00974961" w:rsidP="00C408F2">
            <w:pPr>
              <w:pStyle w:val="ListParagraph"/>
              <w:rPr>
                <w:b w:val="0"/>
                <w:color w:val="auto"/>
                <w:sz w:val="20"/>
              </w:rPr>
            </w:pPr>
            <w:r w:rsidRPr="009949B9">
              <w:rPr>
                <w:b w:val="0"/>
                <w:color w:val="auto"/>
                <w:sz w:val="20"/>
              </w:rPr>
              <w:t xml:space="preserve">Environmental restructuring </w:t>
            </w:r>
          </w:p>
          <w:p w:rsidR="00974961" w:rsidRPr="009949B9" w:rsidRDefault="00974961" w:rsidP="00C408F2">
            <w:pPr>
              <w:pStyle w:val="ListParagraph"/>
              <w:rPr>
                <w:b w:val="0"/>
                <w:color w:val="auto"/>
                <w:sz w:val="20"/>
              </w:rPr>
            </w:pPr>
            <w:r w:rsidRPr="009949B9">
              <w:rPr>
                <w:b w:val="0"/>
                <w:color w:val="auto"/>
                <w:sz w:val="20"/>
              </w:rPr>
              <w:t xml:space="preserve">Agree behavioural contract </w:t>
            </w:r>
          </w:p>
          <w:p w:rsidR="00974961" w:rsidRPr="009949B9" w:rsidRDefault="00974961" w:rsidP="00C408F2">
            <w:pPr>
              <w:pStyle w:val="ListParagraph"/>
              <w:rPr>
                <w:b w:val="0"/>
                <w:color w:val="auto"/>
                <w:sz w:val="20"/>
              </w:rPr>
            </w:pPr>
            <w:r w:rsidRPr="009949B9">
              <w:rPr>
                <w:b w:val="0"/>
                <w:color w:val="auto"/>
                <w:sz w:val="20"/>
              </w:rPr>
              <w:t xml:space="preserve">Prompt practice </w:t>
            </w:r>
          </w:p>
          <w:p w:rsidR="00974961" w:rsidRPr="009949B9" w:rsidRDefault="00974961" w:rsidP="00C408F2">
            <w:pPr>
              <w:pStyle w:val="ListParagraph"/>
              <w:rPr>
                <w:b w:val="0"/>
                <w:color w:val="auto"/>
                <w:sz w:val="20"/>
              </w:rPr>
            </w:pPr>
            <w:r w:rsidRPr="009949B9">
              <w:rPr>
                <w:b w:val="0"/>
                <w:color w:val="auto"/>
                <w:sz w:val="20"/>
              </w:rPr>
              <w:t xml:space="preserve">Use of follow-up prompts </w:t>
            </w:r>
          </w:p>
          <w:p w:rsidR="00974961" w:rsidRPr="009949B9" w:rsidRDefault="00974961" w:rsidP="00C408F2">
            <w:pPr>
              <w:pStyle w:val="ListParagraph"/>
              <w:rPr>
                <w:b w:val="0"/>
                <w:color w:val="auto"/>
                <w:sz w:val="20"/>
              </w:rPr>
            </w:pPr>
            <w:r w:rsidRPr="009949B9">
              <w:rPr>
                <w:b w:val="0"/>
                <w:color w:val="auto"/>
                <w:sz w:val="20"/>
              </w:rPr>
              <w:t xml:space="preserve">Facilitate social comparison </w:t>
            </w:r>
          </w:p>
          <w:p w:rsidR="00974961" w:rsidRPr="009949B9" w:rsidRDefault="00974961" w:rsidP="00C408F2">
            <w:pPr>
              <w:pStyle w:val="ListParagraph"/>
              <w:rPr>
                <w:b w:val="0"/>
                <w:color w:val="auto"/>
                <w:sz w:val="20"/>
              </w:rPr>
            </w:pPr>
            <w:r w:rsidRPr="009949B9">
              <w:rPr>
                <w:b w:val="0"/>
                <w:color w:val="auto"/>
                <w:sz w:val="20"/>
              </w:rPr>
              <w:t xml:space="preserve">Plan social support/social change </w:t>
            </w:r>
          </w:p>
          <w:p w:rsidR="00974961" w:rsidRPr="009949B9" w:rsidRDefault="00974961" w:rsidP="00C408F2">
            <w:pPr>
              <w:pStyle w:val="ListParagraph"/>
              <w:rPr>
                <w:b w:val="0"/>
                <w:color w:val="auto"/>
                <w:sz w:val="20"/>
              </w:rPr>
            </w:pPr>
            <w:r w:rsidRPr="009949B9">
              <w:rPr>
                <w:b w:val="0"/>
                <w:color w:val="auto"/>
                <w:sz w:val="20"/>
              </w:rPr>
              <w:t xml:space="preserve">Prompt identification as role model/position advocate </w:t>
            </w:r>
          </w:p>
          <w:p w:rsidR="00974961" w:rsidRPr="009949B9" w:rsidRDefault="00974961" w:rsidP="00C408F2">
            <w:pPr>
              <w:pStyle w:val="ListParagraph"/>
              <w:rPr>
                <w:b w:val="0"/>
                <w:color w:val="auto"/>
                <w:sz w:val="20"/>
              </w:rPr>
            </w:pPr>
            <w:r w:rsidRPr="009949B9">
              <w:rPr>
                <w:b w:val="0"/>
                <w:color w:val="auto"/>
                <w:sz w:val="20"/>
              </w:rPr>
              <w:t xml:space="preserve">Prompt anticipated regret </w:t>
            </w:r>
          </w:p>
          <w:p w:rsidR="00974961" w:rsidRPr="009949B9" w:rsidRDefault="00974961" w:rsidP="00C408F2">
            <w:pPr>
              <w:pStyle w:val="ListParagraph"/>
              <w:rPr>
                <w:b w:val="0"/>
                <w:color w:val="auto"/>
                <w:sz w:val="20"/>
              </w:rPr>
            </w:pPr>
            <w:r w:rsidRPr="009949B9">
              <w:rPr>
                <w:b w:val="0"/>
                <w:color w:val="auto"/>
                <w:sz w:val="20"/>
              </w:rPr>
              <w:t xml:space="preserve">Fear arousal </w:t>
            </w:r>
          </w:p>
          <w:p w:rsidR="00974961" w:rsidRPr="009949B9" w:rsidRDefault="00974961" w:rsidP="00C408F2">
            <w:pPr>
              <w:pStyle w:val="ListParagraph"/>
              <w:rPr>
                <w:b w:val="0"/>
                <w:color w:val="auto"/>
                <w:sz w:val="20"/>
              </w:rPr>
            </w:pPr>
            <w:r w:rsidRPr="009949B9">
              <w:rPr>
                <w:b w:val="0"/>
                <w:color w:val="auto"/>
                <w:sz w:val="20"/>
              </w:rPr>
              <w:t xml:space="preserve">Prompt </w:t>
            </w:r>
            <w:r w:rsidR="00A97778" w:rsidRPr="009949B9">
              <w:rPr>
                <w:b w:val="0"/>
                <w:color w:val="auto"/>
                <w:sz w:val="20"/>
              </w:rPr>
              <w:t>self-talk</w:t>
            </w:r>
            <w:r w:rsidRPr="009949B9">
              <w:rPr>
                <w:b w:val="0"/>
                <w:color w:val="auto"/>
                <w:sz w:val="20"/>
              </w:rPr>
              <w:t xml:space="preserve"> </w:t>
            </w:r>
          </w:p>
          <w:p w:rsidR="00974961" w:rsidRPr="009949B9" w:rsidRDefault="00974961" w:rsidP="00C408F2">
            <w:pPr>
              <w:pStyle w:val="ListParagraph"/>
              <w:rPr>
                <w:b w:val="0"/>
                <w:color w:val="auto"/>
                <w:sz w:val="20"/>
              </w:rPr>
            </w:pPr>
            <w:r w:rsidRPr="009949B9">
              <w:rPr>
                <w:b w:val="0"/>
                <w:color w:val="auto"/>
                <w:sz w:val="20"/>
              </w:rPr>
              <w:t xml:space="preserve">Prompt use of imagery </w:t>
            </w:r>
          </w:p>
          <w:p w:rsidR="00974961" w:rsidRPr="009949B9" w:rsidRDefault="00974961" w:rsidP="00C408F2">
            <w:pPr>
              <w:pStyle w:val="ListParagraph"/>
              <w:rPr>
                <w:b w:val="0"/>
                <w:color w:val="auto"/>
                <w:sz w:val="20"/>
              </w:rPr>
            </w:pPr>
            <w:r w:rsidRPr="009949B9">
              <w:rPr>
                <w:b w:val="0"/>
                <w:color w:val="auto"/>
                <w:sz w:val="20"/>
              </w:rPr>
              <w:t xml:space="preserve">Relapse prevention/coping planning </w:t>
            </w:r>
          </w:p>
          <w:p w:rsidR="00974961" w:rsidRPr="009949B9" w:rsidRDefault="00974961" w:rsidP="00C408F2">
            <w:pPr>
              <w:pStyle w:val="ListParagraph"/>
              <w:rPr>
                <w:b w:val="0"/>
                <w:color w:val="auto"/>
                <w:sz w:val="20"/>
              </w:rPr>
            </w:pPr>
            <w:r w:rsidRPr="009949B9">
              <w:rPr>
                <w:b w:val="0"/>
                <w:color w:val="auto"/>
                <w:sz w:val="20"/>
              </w:rPr>
              <w:t xml:space="preserve">Stress management/emotional control training </w:t>
            </w:r>
          </w:p>
          <w:p w:rsidR="00974961" w:rsidRPr="009949B9" w:rsidRDefault="00974961" w:rsidP="00C408F2">
            <w:pPr>
              <w:pStyle w:val="ListParagraph"/>
              <w:rPr>
                <w:b w:val="0"/>
                <w:color w:val="auto"/>
                <w:sz w:val="20"/>
              </w:rPr>
            </w:pPr>
            <w:r w:rsidRPr="009949B9">
              <w:rPr>
                <w:b w:val="0"/>
                <w:color w:val="auto"/>
                <w:sz w:val="20"/>
              </w:rPr>
              <w:t xml:space="preserve">Motivational interviewing </w:t>
            </w:r>
          </w:p>
          <w:p w:rsidR="00974961" w:rsidRPr="009949B9" w:rsidRDefault="00974961" w:rsidP="00C408F2">
            <w:pPr>
              <w:pStyle w:val="ListParagraph"/>
              <w:rPr>
                <w:b w:val="0"/>
                <w:color w:val="auto"/>
                <w:sz w:val="20"/>
              </w:rPr>
            </w:pPr>
            <w:r w:rsidRPr="009949B9">
              <w:rPr>
                <w:b w:val="0"/>
                <w:color w:val="auto"/>
                <w:sz w:val="20"/>
              </w:rPr>
              <w:t xml:space="preserve">Time management </w:t>
            </w:r>
          </w:p>
          <w:p w:rsidR="000E19EC" w:rsidRPr="009949B9" w:rsidRDefault="00974961" w:rsidP="00C408F2">
            <w:pPr>
              <w:pStyle w:val="ListParagraph"/>
              <w:rPr>
                <w:b w:val="0"/>
                <w:color w:val="auto"/>
                <w:sz w:val="20"/>
              </w:rPr>
            </w:pPr>
            <w:r w:rsidRPr="009949B9">
              <w:rPr>
                <w:b w:val="0"/>
                <w:color w:val="auto"/>
                <w:sz w:val="20"/>
              </w:rPr>
              <w:t xml:space="preserve">General communication skills training </w:t>
            </w:r>
          </w:p>
          <w:p w:rsidR="00FD3577" w:rsidRPr="00FD3577" w:rsidRDefault="00974961" w:rsidP="00FD3577">
            <w:pPr>
              <w:pStyle w:val="ListParagraph"/>
              <w:rPr>
                <w:color w:val="auto"/>
              </w:rPr>
            </w:pPr>
            <w:r w:rsidRPr="009949B9">
              <w:rPr>
                <w:b w:val="0"/>
                <w:color w:val="auto"/>
                <w:sz w:val="20"/>
              </w:rPr>
              <w:t>Stimulate anticipation of future rewards</w:t>
            </w:r>
          </w:p>
        </w:tc>
      </w:tr>
    </w:tbl>
    <w:p w:rsidR="00974961" w:rsidRPr="00FD3577" w:rsidRDefault="00974961" w:rsidP="00FD3577">
      <w:pPr>
        <w:rPr>
          <w:rFonts w:ascii="Georgia" w:hAnsi="Georgia"/>
          <w:color w:val="auto"/>
          <w:sz w:val="2"/>
          <w:lang w:val="en-GB"/>
        </w:rPr>
      </w:pPr>
    </w:p>
    <w:sectPr w:rsidR="00974961" w:rsidRPr="00FD3577" w:rsidSect="00FD3577">
      <w:headerReference w:type="even" r:id="rId11"/>
      <w:headerReference w:type="default" r:id="rId12"/>
      <w:headerReference w:type="first" r:id="rId13"/>
      <w:pgSz w:w="12240" w:h="15840"/>
      <w:pgMar w:top="1080" w:right="1080" w:bottom="709"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48" w:rsidRDefault="00FD3A48">
      <w:pPr>
        <w:spacing w:line="240" w:lineRule="auto"/>
      </w:pPr>
      <w:r>
        <w:separator/>
      </w:r>
    </w:p>
  </w:endnote>
  <w:endnote w:type="continuationSeparator" w:id="0">
    <w:p w:rsidR="00FD3A48" w:rsidRDefault="00FD3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PARCSans">
    <w:altName w:val="SPARCSans"/>
    <w:panose1 w:val="00000000000000000000"/>
    <w:charset w:val="00"/>
    <w:family w:val="swiss"/>
    <w:notTrueType/>
    <w:pitch w:val="default"/>
    <w:sig w:usb0="00000003" w:usb1="00000000" w:usb2="00000000" w:usb3="00000000" w:csb0="00000001" w:csb1="00000000"/>
  </w:font>
  <w:font w:name="Lato">
    <w:altName w:val="MS Gothic"/>
    <w:panose1 w:val="00000000000000000000"/>
    <w:charset w:val="80"/>
    <w:family w:val="swiss"/>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81" w:rsidRDefault="00B82C81" w:rsidP="00673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2C81" w:rsidRDefault="00B82C81" w:rsidP="00673D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81" w:rsidRDefault="00B82C81" w:rsidP="00673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281">
      <w:rPr>
        <w:rStyle w:val="PageNumber"/>
        <w:noProof/>
      </w:rPr>
      <w:t>2</w:t>
    </w:r>
    <w:r>
      <w:rPr>
        <w:rStyle w:val="PageNumber"/>
      </w:rPr>
      <w:fldChar w:fldCharType="end"/>
    </w:r>
  </w:p>
  <w:p w:rsidR="00B82C81" w:rsidRDefault="00B82C81" w:rsidP="00673D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2150"/>
      <w:docPartObj>
        <w:docPartGallery w:val="Page Numbers (Bottom of Page)"/>
        <w:docPartUnique/>
      </w:docPartObj>
    </w:sdtPr>
    <w:sdtEndPr>
      <w:rPr>
        <w:noProof/>
      </w:rPr>
    </w:sdtEndPr>
    <w:sdtContent>
      <w:p w:rsidR="00B82C81" w:rsidRDefault="00B82C81">
        <w:pPr>
          <w:pStyle w:val="Footer"/>
          <w:jc w:val="right"/>
        </w:pPr>
        <w:r>
          <w:fldChar w:fldCharType="begin"/>
        </w:r>
        <w:r>
          <w:instrText xml:space="preserve"> PAGE   \* MERGEFORMAT </w:instrText>
        </w:r>
        <w:r>
          <w:fldChar w:fldCharType="separate"/>
        </w:r>
        <w:r w:rsidR="00837281">
          <w:rPr>
            <w:noProof/>
          </w:rPr>
          <w:t>28</w:t>
        </w:r>
        <w:r>
          <w:rPr>
            <w:noProof/>
          </w:rPr>
          <w:fldChar w:fldCharType="end"/>
        </w:r>
      </w:p>
    </w:sdtContent>
  </w:sdt>
  <w:p w:rsidR="00B82C81" w:rsidRDefault="00B82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48" w:rsidRDefault="00FD3A48">
      <w:pPr>
        <w:spacing w:line="240" w:lineRule="auto"/>
      </w:pPr>
      <w:r>
        <w:separator/>
      </w:r>
    </w:p>
  </w:footnote>
  <w:footnote w:type="continuationSeparator" w:id="0">
    <w:p w:rsidR="00FD3A48" w:rsidRDefault="00FD3A48">
      <w:pPr>
        <w:spacing w:line="240" w:lineRule="auto"/>
      </w:pPr>
      <w:r>
        <w:continuationSeparator/>
      </w:r>
    </w:p>
  </w:footnote>
  <w:footnote w:id="1">
    <w:p w:rsidR="00B82C81" w:rsidRPr="00BD5B46" w:rsidRDefault="00B82C81" w:rsidP="00905EEF">
      <w:pPr>
        <w:pStyle w:val="FootnoteText"/>
        <w:rPr>
          <w:lang w:val="mi-NZ"/>
        </w:rPr>
      </w:pPr>
      <w:r>
        <w:rPr>
          <w:rStyle w:val="FootnoteReference"/>
        </w:rPr>
        <w:footnoteRef/>
      </w:r>
      <w:r>
        <w:t xml:space="preserve"> </w:t>
      </w:r>
      <w:r>
        <w:rPr>
          <w:lang w:val="mi-NZ"/>
        </w:rPr>
        <w:t>It is not clear where data for an additional 3 participants came from.</w:t>
      </w:r>
    </w:p>
  </w:footnote>
  <w:footnote w:id="2">
    <w:p w:rsidR="00B82C81" w:rsidRPr="00141934" w:rsidRDefault="00B82C81">
      <w:pPr>
        <w:pStyle w:val="FootnoteText"/>
        <w:rPr>
          <w:lang w:val="mi-NZ"/>
        </w:rPr>
      </w:pPr>
      <w:r>
        <w:rPr>
          <w:rStyle w:val="FootnoteReference"/>
        </w:rPr>
        <w:footnoteRef/>
      </w:r>
      <w:r>
        <w:t xml:space="preserve"> </w:t>
      </w:r>
      <w:r w:rsidRPr="00141934">
        <w:rPr>
          <w:rFonts w:ascii="Georgia" w:hAnsi="Georgia"/>
        </w:rPr>
        <w:t xml:space="preserve">The Patient Assessment of Care for Chronic Conditions (PACIC) measures different categories </w:t>
      </w:r>
      <w:r>
        <w:rPr>
          <w:rFonts w:ascii="Georgia" w:hAnsi="Georgia"/>
        </w:rPr>
        <w:t xml:space="preserve">of </w:t>
      </w:r>
      <w:r w:rsidRPr="00141934">
        <w:rPr>
          <w:rFonts w:ascii="Georgia" w:hAnsi="Georgia"/>
        </w:rPr>
        <w:t>LTC care: patient activation, decision support, goal setting, contextual counselling, and coordination. Patients’ are scored on a five-point scale for each of the categories.</w:t>
      </w:r>
    </w:p>
  </w:footnote>
  <w:footnote w:id="3">
    <w:p w:rsidR="00B82C81" w:rsidRPr="00B65469" w:rsidRDefault="00B82C81" w:rsidP="00905EEF">
      <w:pPr>
        <w:rPr>
          <w:rFonts w:ascii="Georgia" w:hAnsi="Georgia"/>
        </w:rPr>
      </w:pPr>
      <w:r w:rsidRPr="00B65469">
        <w:rPr>
          <w:rStyle w:val="FootnoteReference"/>
          <w:rFonts w:ascii="Georgia" w:hAnsi="Georgia"/>
        </w:rPr>
        <w:footnoteRef/>
      </w:r>
      <w:r w:rsidRPr="00B65469">
        <w:rPr>
          <w:rFonts w:ascii="Georgia" w:hAnsi="Georgia"/>
        </w:rPr>
        <w:t xml:space="preserve"> The CollaboRATE assessment tool is a 3-item measure of the Shared Decision Making process in partnership with patients.</w:t>
      </w:r>
    </w:p>
    <w:p w:rsidR="00B82C81" w:rsidRPr="00C56B2B" w:rsidRDefault="00B82C81" w:rsidP="00905EEF">
      <w:pPr>
        <w:pStyle w:val="FootnoteText"/>
        <w:rPr>
          <w:lang w:val="mi-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81" w:rsidRDefault="00B82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81" w:rsidRDefault="00B82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81" w:rsidRDefault="00B8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2352D"/>
    <w:multiLevelType w:val="hybridMultilevel"/>
    <w:tmpl w:val="66C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47FD7"/>
    <w:multiLevelType w:val="hybridMultilevel"/>
    <w:tmpl w:val="9F8EB64C"/>
    <w:lvl w:ilvl="0" w:tplc="04090001">
      <w:start w:val="1"/>
      <w:numFmt w:val="bullet"/>
      <w:lvlText w:val=""/>
      <w:lvlJc w:val="left"/>
      <w:pPr>
        <w:ind w:left="720" w:hanging="360"/>
      </w:pPr>
      <w:rPr>
        <w:rFonts w:ascii="Symbol" w:hAnsi="Symbol" w:hint="default"/>
      </w:rPr>
    </w:lvl>
    <w:lvl w:ilvl="1" w:tplc="110C77A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F4764"/>
    <w:multiLevelType w:val="hybridMultilevel"/>
    <w:tmpl w:val="503A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1285"/>
    <w:multiLevelType w:val="hybridMultilevel"/>
    <w:tmpl w:val="514A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9E07AB"/>
    <w:multiLevelType w:val="hybridMultilevel"/>
    <w:tmpl w:val="915849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56F60"/>
    <w:multiLevelType w:val="hybridMultilevel"/>
    <w:tmpl w:val="1F3A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146006"/>
    <w:multiLevelType w:val="hybridMultilevel"/>
    <w:tmpl w:val="A8FEBF26"/>
    <w:lvl w:ilvl="0" w:tplc="B1185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9461E1"/>
    <w:multiLevelType w:val="hybridMultilevel"/>
    <w:tmpl w:val="701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A1831"/>
    <w:multiLevelType w:val="hybridMultilevel"/>
    <w:tmpl w:val="9408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930530"/>
    <w:multiLevelType w:val="hybridMultilevel"/>
    <w:tmpl w:val="79100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DED1A0E"/>
    <w:multiLevelType w:val="hybridMultilevel"/>
    <w:tmpl w:val="CD7C9E92"/>
    <w:lvl w:ilvl="0" w:tplc="CB60C5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0811E5"/>
    <w:multiLevelType w:val="hybridMultilevel"/>
    <w:tmpl w:val="1D884D9A"/>
    <w:lvl w:ilvl="0" w:tplc="5A6E95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E0751"/>
    <w:multiLevelType w:val="hybridMultilevel"/>
    <w:tmpl w:val="A1EA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990B5B"/>
    <w:multiLevelType w:val="hybridMultilevel"/>
    <w:tmpl w:val="6EF63F48"/>
    <w:lvl w:ilvl="0" w:tplc="011CEE5A">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EB4C7C"/>
    <w:multiLevelType w:val="hybridMultilevel"/>
    <w:tmpl w:val="F35A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E1C2D"/>
    <w:multiLevelType w:val="hybridMultilevel"/>
    <w:tmpl w:val="57D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F1908"/>
    <w:multiLevelType w:val="hybridMultilevel"/>
    <w:tmpl w:val="1BF4DA7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85F4A"/>
    <w:multiLevelType w:val="hybridMultilevel"/>
    <w:tmpl w:val="67D86186"/>
    <w:lvl w:ilvl="0" w:tplc="337A48B8">
      <w:start w:val="1"/>
      <w:numFmt w:val="bullet"/>
      <w:lvlText w:val=""/>
      <w:lvlJc w:val="left"/>
      <w:pPr>
        <w:ind w:left="720" w:hanging="360"/>
      </w:pPr>
      <w:rPr>
        <w:rFonts w:ascii="Symbol" w:hAnsi="Symbol" w:hint="default"/>
        <w:b w:val="0"/>
      </w:rPr>
    </w:lvl>
    <w:lvl w:ilvl="1" w:tplc="110C77A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B5385"/>
    <w:multiLevelType w:val="hybridMultilevel"/>
    <w:tmpl w:val="A0FA0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8112C9"/>
    <w:multiLevelType w:val="hybridMultilevel"/>
    <w:tmpl w:val="99D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175B4"/>
    <w:multiLevelType w:val="hybridMultilevel"/>
    <w:tmpl w:val="1206E6CC"/>
    <w:lvl w:ilvl="0" w:tplc="D9D8CA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C6AA5"/>
    <w:multiLevelType w:val="hybridMultilevel"/>
    <w:tmpl w:val="33B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718C9"/>
    <w:multiLevelType w:val="hybridMultilevel"/>
    <w:tmpl w:val="0C9E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A613D"/>
    <w:multiLevelType w:val="hybridMultilevel"/>
    <w:tmpl w:val="734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205E5"/>
    <w:multiLevelType w:val="hybridMultilevel"/>
    <w:tmpl w:val="A76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612A6"/>
    <w:multiLevelType w:val="hybridMultilevel"/>
    <w:tmpl w:val="2A9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EC6611"/>
    <w:multiLevelType w:val="hybridMultilevel"/>
    <w:tmpl w:val="CDC8FB5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B4E09"/>
    <w:multiLevelType w:val="hybridMultilevel"/>
    <w:tmpl w:val="682CF5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1E0DF6"/>
    <w:multiLevelType w:val="hybridMultilevel"/>
    <w:tmpl w:val="6B22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D76FB1"/>
    <w:multiLevelType w:val="hybridMultilevel"/>
    <w:tmpl w:val="6B22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D4549"/>
    <w:multiLevelType w:val="hybridMultilevel"/>
    <w:tmpl w:val="4CA02DBC"/>
    <w:lvl w:ilvl="0" w:tplc="52308976">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30"/>
  </w:num>
  <w:num w:numId="14">
    <w:abstractNumId w:val="12"/>
  </w:num>
  <w:num w:numId="15">
    <w:abstractNumId w:val="21"/>
  </w:num>
  <w:num w:numId="16">
    <w:abstractNumId w:val="17"/>
  </w:num>
  <w:num w:numId="17">
    <w:abstractNumId w:val="24"/>
  </w:num>
  <w:num w:numId="18">
    <w:abstractNumId w:val="18"/>
  </w:num>
  <w:num w:numId="19">
    <w:abstractNumId w:val="15"/>
  </w:num>
  <w:num w:numId="20">
    <w:abstractNumId w:val="13"/>
  </w:num>
  <w:num w:numId="21">
    <w:abstractNumId w:val="20"/>
  </w:num>
  <w:num w:numId="22">
    <w:abstractNumId w:val="35"/>
  </w:num>
  <w:num w:numId="23">
    <w:abstractNumId w:val="33"/>
  </w:num>
  <w:num w:numId="24">
    <w:abstractNumId w:val="19"/>
  </w:num>
  <w:num w:numId="25">
    <w:abstractNumId w:val="39"/>
  </w:num>
  <w:num w:numId="26">
    <w:abstractNumId w:val="22"/>
  </w:num>
  <w:num w:numId="27">
    <w:abstractNumId w:val="38"/>
  </w:num>
  <w:num w:numId="28">
    <w:abstractNumId w:val="34"/>
  </w:num>
  <w:num w:numId="29">
    <w:abstractNumId w:val="11"/>
  </w:num>
  <w:num w:numId="30">
    <w:abstractNumId w:val="31"/>
  </w:num>
  <w:num w:numId="31">
    <w:abstractNumId w:val="10"/>
  </w:num>
  <w:num w:numId="32">
    <w:abstractNumId w:val="29"/>
  </w:num>
  <w:num w:numId="33">
    <w:abstractNumId w:val="20"/>
    <w:lvlOverride w:ilvl="0">
      <w:startOverride w:val="1"/>
    </w:lvlOverride>
  </w:num>
  <w:num w:numId="34">
    <w:abstractNumId w:val="37"/>
  </w:num>
  <w:num w:numId="35">
    <w:abstractNumId w:val="36"/>
  </w:num>
  <w:num w:numId="36">
    <w:abstractNumId w:val="23"/>
  </w:num>
  <w:num w:numId="37">
    <w:abstractNumId w:val="26"/>
  </w:num>
  <w:num w:numId="38">
    <w:abstractNumId w:val="14"/>
  </w:num>
  <w:num w:numId="39">
    <w:abstractNumId w:val="27"/>
  </w:num>
  <w:num w:numId="40">
    <w:abstractNumId w:val="32"/>
  </w:num>
  <w:num w:numId="41">
    <w:abstractNumId w:val="28"/>
  </w:num>
  <w:num w:numId="4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905EEF"/>
    <w:rsid w:val="0000170C"/>
    <w:rsid w:val="00005598"/>
    <w:rsid w:val="0000665D"/>
    <w:rsid w:val="000106B0"/>
    <w:rsid w:val="000150A1"/>
    <w:rsid w:val="00034C96"/>
    <w:rsid w:val="00053D3C"/>
    <w:rsid w:val="0006539D"/>
    <w:rsid w:val="000729B6"/>
    <w:rsid w:val="00072A0C"/>
    <w:rsid w:val="00074847"/>
    <w:rsid w:val="000B278B"/>
    <w:rsid w:val="000C243A"/>
    <w:rsid w:val="000C4038"/>
    <w:rsid w:val="000C5F2C"/>
    <w:rsid w:val="000E19EC"/>
    <w:rsid w:val="00102A29"/>
    <w:rsid w:val="00105C18"/>
    <w:rsid w:val="001061D9"/>
    <w:rsid w:val="00115117"/>
    <w:rsid w:val="00124A8D"/>
    <w:rsid w:val="001251C2"/>
    <w:rsid w:val="00132408"/>
    <w:rsid w:val="00141080"/>
    <w:rsid w:val="00141934"/>
    <w:rsid w:val="001451ED"/>
    <w:rsid w:val="00155F16"/>
    <w:rsid w:val="0015616C"/>
    <w:rsid w:val="00163C73"/>
    <w:rsid w:val="001643AF"/>
    <w:rsid w:val="00186356"/>
    <w:rsid w:val="001A56CC"/>
    <w:rsid w:val="001A6F39"/>
    <w:rsid w:val="001C0167"/>
    <w:rsid w:val="001E39E1"/>
    <w:rsid w:val="001F763A"/>
    <w:rsid w:val="00206024"/>
    <w:rsid w:val="002116F9"/>
    <w:rsid w:val="00217FA0"/>
    <w:rsid w:val="002201F9"/>
    <w:rsid w:val="002356BE"/>
    <w:rsid w:val="00242435"/>
    <w:rsid w:val="00246611"/>
    <w:rsid w:val="002516B4"/>
    <w:rsid w:val="00255435"/>
    <w:rsid w:val="00266F8B"/>
    <w:rsid w:val="002679E1"/>
    <w:rsid w:val="002704EC"/>
    <w:rsid w:val="00284841"/>
    <w:rsid w:val="002B1917"/>
    <w:rsid w:val="002C14F5"/>
    <w:rsid w:val="002C4ED7"/>
    <w:rsid w:val="002C58B8"/>
    <w:rsid w:val="002D0E6E"/>
    <w:rsid w:val="002D2045"/>
    <w:rsid w:val="002D5E0F"/>
    <w:rsid w:val="002E0257"/>
    <w:rsid w:val="002E6248"/>
    <w:rsid w:val="002F0299"/>
    <w:rsid w:val="00301D11"/>
    <w:rsid w:val="00303218"/>
    <w:rsid w:val="003051EC"/>
    <w:rsid w:val="003124AF"/>
    <w:rsid w:val="00322F78"/>
    <w:rsid w:val="00333C36"/>
    <w:rsid w:val="0034188F"/>
    <w:rsid w:val="0034194A"/>
    <w:rsid w:val="00362622"/>
    <w:rsid w:val="003637BD"/>
    <w:rsid w:val="00370DA5"/>
    <w:rsid w:val="003840E2"/>
    <w:rsid w:val="00390CE4"/>
    <w:rsid w:val="00392292"/>
    <w:rsid w:val="003D0534"/>
    <w:rsid w:val="003D6354"/>
    <w:rsid w:val="003D7D5E"/>
    <w:rsid w:val="003F6580"/>
    <w:rsid w:val="003F7DC5"/>
    <w:rsid w:val="004254AA"/>
    <w:rsid w:val="00436363"/>
    <w:rsid w:val="00446E45"/>
    <w:rsid w:val="00456101"/>
    <w:rsid w:val="00460C72"/>
    <w:rsid w:val="00463E13"/>
    <w:rsid w:val="00466124"/>
    <w:rsid w:val="0046640B"/>
    <w:rsid w:val="00466B0A"/>
    <w:rsid w:val="0048208A"/>
    <w:rsid w:val="004859E4"/>
    <w:rsid w:val="00496F87"/>
    <w:rsid w:val="004C59D9"/>
    <w:rsid w:val="004C7565"/>
    <w:rsid w:val="004D5B8D"/>
    <w:rsid w:val="004E762D"/>
    <w:rsid w:val="00506D4C"/>
    <w:rsid w:val="0052588F"/>
    <w:rsid w:val="005322FB"/>
    <w:rsid w:val="0053256E"/>
    <w:rsid w:val="00565ADB"/>
    <w:rsid w:val="00566FBF"/>
    <w:rsid w:val="00584856"/>
    <w:rsid w:val="005B5486"/>
    <w:rsid w:val="005D281D"/>
    <w:rsid w:val="005E29FA"/>
    <w:rsid w:val="005E67DB"/>
    <w:rsid w:val="005F69F3"/>
    <w:rsid w:val="005F72D7"/>
    <w:rsid w:val="006012C3"/>
    <w:rsid w:val="00622420"/>
    <w:rsid w:val="00627220"/>
    <w:rsid w:val="00627EA8"/>
    <w:rsid w:val="00630885"/>
    <w:rsid w:val="00635227"/>
    <w:rsid w:val="006625E8"/>
    <w:rsid w:val="00673D90"/>
    <w:rsid w:val="00697BCE"/>
    <w:rsid w:val="006C2B1F"/>
    <w:rsid w:val="006E25C1"/>
    <w:rsid w:val="006E4AAC"/>
    <w:rsid w:val="006F1EB0"/>
    <w:rsid w:val="006F527A"/>
    <w:rsid w:val="00744B2F"/>
    <w:rsid w:val="00747204"/>
    <w:rsid w:val="00754D6C"/>
    <w:rsid w:val="007573A5"/>
    <w:rsid w:val="00770B63"/>
    <w:rsid w:val="00773C85"/>
    <w:rsid w:val="00774D0D"/>
    <w:rsid w:val="00776E07"/>
    <w:rsid w:val="00791D44"/>
    <w:rsid w:val="007973F4"/>
    <w:rsid w:val="007A0E21"/>
    <w:rsid w:val="007B30FD"/>
    <w:rsid w:val="007D34FE"/>
    <w:rsid w:val="007F4BAD"/>
    <w:rsid w:val="007F61DF"/>
    <w:rsid w:val="007F7AA8"/>
    <w:rsid w:val="008056BE"/>
    <w:rsid w:val="0082193A"/>
    <w:rsid w:val="00826217"/>
    <w:rsid w:val="00826C0F"/>
    <w:rsid w:val="008349C5"/>
    <w:rsid w:val="00834C18"/>
    <w:rsid w:val="00837281"/>
    <w:rsid w:val="00845BE2"/>
    <w:rsid w:val="00856A1F"/>
    <w:rsid w:val="00883C5C"/>
    <w:rsid w:val="008967E7"/>
    <w:rsid w:val="008C2E25"/>
    <w:rsid w:val="008C3BAF"/>
    <w:rsid w:val="008C5131"/>
    <w:rsid w:val="008C67B2"/>
    <w:rsid w:val="008C75A8"/>
    <w:rsid w:val="008C7B56"/>
    <w:rsid w:val="008D1694"/>
    <w:rsid w:val="008E64D9"/>
    <w:rsid w:val="00905EEF"/>
    <w:rsid w:val="00911F15"/>
    <w:rsid w:val="00973820"/>
    <w:rsid w:val="00974961"/>
    <w:rsid w:val="0097751D"/>
    <w:rsid w:val="00991193"/>
    <w:rsid w:val="00992037"/>
    <w:rsid w:val="009949B9"/>
    <w:rsid w:val="009A1AB6"/>
    <w:rsid w:val="009A6E13"/>
    <w:rsid w:val="009B1F7C"/>
    <w:rsid w:val="009D07E3"/>
    <w:rsid w:val="009D3DBC"/>
    <w:rsid w:val="00A1138C"/>
    <w:rsid w:val="00A14CFA"/>
    <w:rsid w:val="00A16744"/>
    <w:rsid w:val="00A16854"/>
    <w:rsid w:val="00A338E7"/>
    <w:rsid w:val="00A37C5F"/>
    <w:rsid w:val="00A43C9A"/>
    <w:rsid w:val="00A57003"/>
    <w:rsid w:val="00A629AA"/>
    <w:rsid w:val="00A77069"/>
    <w:rsid w:val="00A77D71"/>
    <w:rsid w:val="00A8674F"/>
    <w:rsid w:val="00A90C61"/>
    <w:rsid w:val="00A97778"/>
    <w:rsid w:val="00AA5594"/>
    <w:rsid w:val="00AA72B5"/>
    <w:rsid w:val="00AB05EE"/>
    <w:rsid w:val="00AD5241"/>
    <w:rsid w:val="00AE0550"/>
    <w:rsid w:val="00AE2699"/>
    <w:rsid w:val="00AE3053"/>
    <w:rsid w:val="00B10CDF"/>
    <w:rsid w:val="00B1165E"/>
    <w:rsid w:val="00B22D27"/>
    <w:rsid w:val="00B248B5"/>
    <w:rsid w:val="00B45EB4"/>
    <w:rsid w:val="00B50FC5"/>
    <w:rsid w:val="00B6268D"/>
    <w:rsid w:val="00B65469"/>
    <w:rsid w:val="00B70060"/>
    <w:rsid w:val="00B76C6A"/>
    <w:rsid w:val="00B82C81"/>
    <w:rsid w:val="00BA0711"/>
    <w:rsid w:val="00BA240F"/>
    <w:rsid w:val="00BA24E8"/>
    <w:rsid w:val="00BA503C"/>
    <w:rsid w:val="00BA552C"/>
    <w:rsid w:val="00BB40CD"/>
    <w:rsid w:val="00BC0675"/>
    <w:rsid w:val="00BD2703"/>
    <w:rsid w:val="00BD46DB"/>
    <w:rsid w:val="00BE07EA"/>
    <w:rsid w:val="00BE2682"/>
    <w:rsid w:val="00BF0533"/>
    <w:rsid w:val="00C00D35"/>
    <w:rsid w:val="00C07064"/>
    <w:rsid w:val="00C22293"/>
    <w:rsid w:val="00C408F2"/>
    <w:rsid w:val="00C44BE2"/>
    <w:rsid w:val="00C53DC1"/>
    <w:rsid w:val="00C7098C"/>
    <w:rsid w:val="00C71966"/>
    <w:rsid w:val="00C82987"/>
    <w:rsid w:val="00CA140F"/>
    <w:rsid w:val="00CB34A7"/>
    <w:rsid w:val="00CB3618"/>
    <w:rsid w:val="00CC163C"/>
    <w:rsid w:val="00CE324B"/>
    <w:rsid w:val="00CF7EBB"/>
    <w:rsid w:val="00D14AE5"/>
    <w:rsid w:val="00D23087"/>
    <w:rsid w:val="00D34D5C"/>
    <w:rsid w:val="00D445E9"/>
    <w:rsid w:val="00D455D7"/>
    <w:rsid w:val="00D516D3"/>
    <w:rsid w:val="00D52C7D"/>
    <w:rsid w:val="00D53129"/>
    <w:rsid w:val="00D6552B"/>
    <w:rsid w:val="00D66DE2"/>
    <w:rsid w:val="00D72CDA"/>
    <w:rsid w:val="00D73FE9"/>
    <w:rsid w:val="00D82CB3"/>
    <w:rsid w:val="00D976BE"/>
    <w:rsid w:val="00DA02CD"/>
    <w:rsid w:val="00DA3187"/>
    <w:rsid w:val="00DA502C"/>
    <w:rsid w:val="00DB1A21"/>
    <w:rsid w:val="00DB41B7"/>
    <w:rsid w:val="00DB6DF0"/>
    <w:rsid w:val="00DB75DA"/>
    <w:rsid w:val="00DC1876"/>
    <w:rsid w:val="00DD19A9"/>
    <w:rsid w:val="00DE60B1"/>
    <w:rsid w:val="00DF3421"/>
    <w:rsid w:val="00DF57F7"/>
    <w:rsid w:val="00E06CDC"/>
    <w:rsid w:val="00E22F0D"/>
    <w:rsid w:val="00E240C1"/>
    <w:rsid w:val="00E26D1C"/>
    <w:rsid w:val="00E31CB2"/>
    <w:rsid w:val="00E34603"/>
    <w:rsid w:val="00E44837"/>
    <w:rsid w:val="00E46F7E"/>
    <w:rsid w:val="00E72867"/>
    <w:rsid w:val="00E75B85"/>
    <w:rsid w:val="00EA5510"/>
    <w:rsid w:val="00EA673D"/>
    <w:rsid w:val="00EB16EC"/>
    <w:rsid w:val="00EB68FD"/>
    <w:rsid w:val="00ED5145"/>
    <w:rsid w:val="00EF50EA"/>
    <w:rsid w:val="00EF63F7"/>
    <w:rsid w:val="00F30896"/>
    <w:rsid w:val="00F44D4E"/>
    <w:rsid w:val="00F45722"/>
    <w:rsid w:val="00F464BE"/>
    <w:rsid w:val="00F55F91"/>
    <w:rsid w:val="00F6244B"/>
    <w:rsid w:val="00F70888"/>
    <w:rsid w:val="00F756EC"/>
    <w:rsid w:val="00F8395C"/>
    <w:rsid w:val="00FB0429"/>
    <w:rsid w:val="00FB414A"/>
    <w:rsid w:val="00FB503B"/>
    <w:rsid w:val="00FC06EC"/>
    <w:rsid w:val="00FC69D1"/>
    <w:rsid w:val="00FD351B"/>
    <w:rsid w:val="00FD3577"/>
    <w:rsid w:val="00FD3A48"/>
    <w:rsid w:val="00FD7A64"/>
    <w:rsid w:val="00FE0775"/>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CD38CA-F0FB-490B-AE8D-18C2BF0C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1F7C"/>
    <w:pPr>
      <w:spacing w:line="300" w:lineRule="auto"/>
    </w:pPr>
    <w:rPr>
      <w:color w:val="404040" w:themeColor="text1" w:themeTint="BF"/>
      <w:sz w:val="20"/>
    </w:rPr>
  </w:style>
  <w:style w:type="paragraph" w:styleId="Heading1">
    <w:name w:val="heading 1"/>
    <w:basedOn w:val="Normal"/>
    <w:next w:val="Normal"/>
    <w:link w:val="Heading1Char"/>
    <w:uiPriority w:val="9"/>
    <w:qFormat/>
    <w:rsid w:val="00034C96"/>
    <w:pPr>
      <w:keepNext/>
      <w:keepLines/>
      <w:spacing w:before="100" w:beforeAutospacing="1" w:after="360" w:line="264" w:lineRule="auto"/>
      <w:outlineLvl w:val="0"/>
    </w:pPr>
    <w:rPr>
      <w:rFonts w:ascii="Georgia" w:eastAsiaTheme="majorEastAsia" w:hAnsi="Georgia" w:cstheme="majorBidi"/>
      <w:b/>
      <w:bCs/>
      <w:color w:val="auto"/>
      <w:sz w:val="60"/>
      <w:szCs w:val="60"/>
      <w:lang w:val="en-GB"/>
    </w:rPr>
  </w:style>
  <w:style w:type="paragraph" w:styleId="Heading2">
    <w:name w:val="heading 2"/>
    <w:basedOn w:val="Normal"/>
    <w:next w:val="Normal"/>
    <w:link w:val="Heading2Char"/>
    <w:uiPriority w:val="9"/>
    <w:unhideWhenUsed/>
    <w:qFormat/>
    <w:rsid w:val="00034C96"/>
    <w:pPr>
      <w:spacing w:before="120" w:after="120" w:line="264" w:lineRule="auto"/>
      <w:outlineLvl w:val="1"/>
    </w:pPr>
    <w:rPr>
      <w:rFonts w:ascii="Georgia" w:hAnsi="Georgia"/>
      <w:b/>
      <w:color w:val="auto"/>
      <w:sz w:val="40"/>
      <w:szCs w:val="40"/>
      <w:lang w:val="en-GB"/>
    </w:rPr>
  </w:style>
  <w:style w:type="paragraph" w:styleId="Heading3">
    <w:name w:val="heading 3"/>
    <w:basedOn w:val="Normal"/>
    <w:next w:val="Normal"/>
    <w:link w:val="Heading3Char"/>
    <w:uiPriority w:val="9"/>
    <w:unhideWhenUsed/>
    <w:qFormat/>
    <w:rsid w:val="00034C96"/>
    <w:pPr>
      <w:keepNext/>
      <w:keepLines/>
      <w:spacing w:before="120" w:after="120" w:line="264" w:lineRule="auto"/>
      <w:outlineLvl w:val="2"/>
    </w:pPr>
    <w:rPr>
      <w:rFonts w:ascii="Georgia" w:eastAsiaTheme="majorEastAsia" w:hAnsi="Georgia" w:cstheme="majorBidi"/>
      <w:b/>
      <w:bCs/>
      <w:color w:val="auto"/>
      <w:sz w:val="28"/>
      <w:lang w:val="en-GB"/>
    </w:rPr>
  </w:style>
  <w:style w:type="paragraph" w:styleId="Heading4">
    <w:name w:val="heading 4"/>
    <w:basedOn w:val="Normal"/>
    <w:next w:val="Normal"/>
    <w:link w:val="Heading4Char"/>
    <w:uiPriority w:val="9"/>
    <w:unhideWhenUsed/>
    <w:qFormat/>
    <w:rsid w:val="00774D0D"/>
    <w:pPr>
      <w:keepNext/>
      <w:keepLines/>
      <w:spacing w:before="200"/>
      <w:outlineLvl w:val="3"/>
    </w:pPr>
    <w:rPr>
      <w:rFonts w:ascii="Georgia" w:eastAsiaTheme="majorEastAsia" w:hAnsi="Georgia" w:cstheme="majorBidi"/>
      <w:b/>
      <w:bCs/>
      <w:i/>
      <w:iCs/>
      <w:color w:val="4F81BD" w:themeColor="accent1"/>
      <w:sz w:val="22"/>
    </w:rPr>
  </w:style>
  <w:style w:type="paragraph" w:styleId="Heading5">
    <w:name w:val="heading 5"/>
    <w:basedOn w:val="Normal"/>
    <w:next w:val="Normal"/>
    <w:link w:val="Heading5Char"/>
    <w:semiHidden/>
    <w:unhideWhenUsed/>
    <w:qFormat/>
    <w:rsid w:val="009B1F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B1F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B1F7C"/>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9B1F7C"/>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9B1F7C"/>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96"/>
    <w:rPr>
      <w:rFonts w:ascii="Georgia" w:eastAsiaTheme="majorEastAsia" w:hAnsi="Georgia" w:cstheme="majorBidi"/>
      <w:b/>
      <w:bCs/>
      <w:sz w:val="60"/>
      <w:szCs w:val="60"/>
      <w:lang w:val="en-GB"/>
    </w:rPr>
  </w:style>
  <w:style w:type="paragraph" w:styleId="Subtitle">
    <w:name w:val="Subtitle"/>
    <w:basedOn w:val="NoSpacing"/>
    <w:next w:val="Normal"/>
    <w:link w:val="SubtitleChar"/>
    <w:uiPriority w:val="11"/>
    <w:qFormat/>
    <w:rsid w:val="00837281"/>
    <w:pPr>
      <w:jc w:val="center"/>
    </w:pPr>
    <w:rPr>
      <w:b/>
      <w:color w:val="auto"/>
      <w:sz w:val="60"/>
      <w:szCs w:val="60"/>
      <w:lang w:val="en-GB"/>
    </w:rPr>
  </w:style>
  <w:style w:type="character" w:customStyle="1" w:styleId="SubtitleChar">
    <w:name w:val="Subtitle Char"/>
    <w:basedOn w:val="DefaultParagraphFont"/>
    <w:link w:val="Subtitle"/>
    <w:uiPriority w:val="11"/>
    <w:rsid w:val="00837281"/>
    <w:rPr>
      <w:rFonts w:ascii="Georgia" w:hAnsi="Georgia"/>
      <w:b/>
      <w:sz w:val="60"/>
      <w:szCs w:val="60"/>
      <w:lang w:val="en-GB"/>
    </w:rPr>
  </w:style>
  <w:style w:type="paragraph" w:styleId="Header">
    <w:name w:val="header"/>
    <w:basedOn w:val="Normal"/>
    <w:link w:val="HeaderChar"/>
    <w:uiPriority w:val="99"/>
    <w:rsid w:val="009B1F7C"/>
    <w:pPr>
      <w:spacing w:after="240"/>
      <w:jc w:val="right"/>
    </w:pPr>
    <w:rPr>
      <w:color w:val="8DB3E2" w:themeColor="text2" w:themeTint="66"/>
    </w:rPr>
  </w:style>
  <w:style w:type="character" w:customStyle="1" w:styleId="HeaderChar">
    <w:name w:val="Header Char"/>
    <w:basedOn w:val="DefaultParagraphFont"/>
    <w:link w:val="Header"/>
    <w:uiPriority w:val="99"/>
    <w:rsid w:val="009B1F7C"/>
    <w:rPr>
      <w:color w:val="8DB3E2" w:themeColor="text2" w:themeTint="66"/>
      <w:sz w:val="20"/>
    </w:rPr>
  </w:style>
  <w:style w:type="paragraph" w:styleId="Title">
    <w:name w:val="Title"/>
    <w:basedOn w:val="NoSpacing"/>
    <w:next w:val="Normal"/>
    <w:link w:val="TitleChar"/>
    <w:uiPriority w:val="10"/>
    <w:qFormat/>
    <w:rsid w:val="00837281"/>
    <w:pPr>
      <w:jc w:val="center"/>
    </w:pPr>
    <w:rPr>
      <w:b/>
      <w:color w:val="auto"/>
      <w:sz w:val="60"/>
      <w:szCs w:val="60"/>
      <w:lang w:val="en-GB"/>
    </w:rPr>
  </w:style>
  <w:style w:type="character" w:customStyle="1" w:styleId="TitleChar">
    <w:name w:val="Title Char"/>
    <w:basedOn w:val="DefaultParagraphFont"/>
    <w:link w:val="Title"/>
    <w:uiPriority w:val="10"/>
    <w:rsid w:val="00837281"/>
    <w:rPr>
      <w:rFonts w:ascii="Georgia" w:hAnsi="Georgia"/>
      <w:b/>
      <w:sz w:val="60"/>
      <w:szCs w:val="60"/>
      <w:lang w:val="en-GB"/>
    </w:rPr>
  </w:style>
  <w:style w:type="paragraph" w:styleId="BodyText">
    <w:name w:val="Body Text"/>
    <w:basedOn w:val="Normal"/>
    <w:link w:val="BodyTextChar"/>
    <w:rsid w:val="009B1F7C"/>
    <w:pPr>
      <w:spacing w:after="200"/>
    </w:pPr>
  </w:style>
  <w:style w:type="table" w:customStyle="1" w:styleId="FinancialTable">
    <w:name w:val="Financial Table"/>
    <w:basedOn w:val="TableNormal"/>
    <w:rsid w:val="009B1F7C"/>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9B1F7C"/>
    <w:pPr>
      <w:spacing w:before="40" w:after="40"/>
    </w:pPr>
    <w:rPr>
      <w:color w:val="548DD4" w:themeColor="text2" w:themeTint="99"/>
      <w:sz w:val="18"/>
      <w:szCs w:val="18"/>
    </w:rPr>
  </w:style>
  <w:style w:type="paragraph" w:customStyle="1" w:styleId="TableText-Decimal">
    <w:name w:val="Table Text - Decimal"/>
    <w:basedOn w:val="Normal"/>
    <w:rsid w:val="009B1F7C"/>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9B1F7C"/>
    <w:pPr>
      <w:spacing w:before="40" w:after="40"/>
      <w:jc w:val="right"/>
    </w:pPr>
    <w:rPr>
      <w:color w:val="548DD4" w:themeColor="text2" w:themeTint="99"/>
      <w:sz w:val="18"/>
      <w:szCs w:val="18"/>
    </w:rPr>
  </w:style>
  <w:style w:type="paragraph" w:customStyle="1" w:styleId="TableHeading-Left">
    <w:name w:val="Table Heading - Left"/>
    <w:basedOn w:val="Normal"/>
    <w:rsid w:val="009B1F7C"/>
    <w:pPr>
      <w:spacing w:before="40" w:after="40"/>
    </w:pPr>
    <w:rPr>
      <w:color w:val="FFFFFF" w:themeColor="background1"/>
      <w:sz w:val="18"/>
      <w:szCs w:val="18"/>
    </w:rPr>
  </w:style>
  <w:style w:type="paragraph" w:customStyle="1" w:styleId="TableHeading-Center">
    <w:name w:val="Table Heading - Center"/>
    <w:basedOn w:val="Normal"/>
    <w:rsid w:val="009B1F7C"/>
    <w:pPr>
      <w:spacing w:before="40" w:after="40"/>
      <w:jc w:val="center"/>
    </w:pPr>
    <w:rPr>
      <w:color w:val="FFFFFF" w:themeColor="background1"/>
      <w:sz w:val="18"/>
      <w:szCs w:val="18"/>
    </w:rPr>
  </w:style>
  <w:style w:type="character" w:customStyle="1" w:styleId="BodyTextChar">
    <w:name w:val="Body Text Char"/>
    <w:basedOn w:val="DefaultParagraphFont"/>
    <w:link w:val="BodyText"/>
    <w:rsid w:val="009B1F7C"/>
    <w:rPr>
      <w:color w:val="404040" w:themeColor="text1" w:themeTint="BF"/>
      <w:sz w:val="20"/>
    </w:rPr>
  </w:style>
  <w:style w:type="paragraph" w:styleId="BalloonText">
    <w:name w:val="Balloon Text"/>
    <w:basedOn w:val="Normal"/>
    <w:link w:val="BalloonTextChar"/>
    <w:uiPriority w:val="99"/>
    <w:semiHidden/>
    <w:unhideWhenUsed/>
    <w:rsid w:val="009B1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7C"/>
    <w:rPr>
      <w:rFonts w:ascii="Tahoma" w:hAnsi="Tahoma" w:cs="Tahoma"/>
      <w:color w:val="404040" w:themeColor="text1" w:themeTint="BF"/>
      <w:sz w:val="16"/>
      <w:szCs w:val="16"/>
    </w:rPr>
  </w:style>
  <w:style w:type="paragraph" w:styleId="Bibliography">
    <w:name w:val="Bibliography"/>
    <w:basedOn w:val="Normal"/>
    <w:next w:val="Normal"/>
    <w:uiPriority w:val="37"/>
    <w:unhideWhenUsed/>
    <w:rsid w:val="009B1F7C"/>
    <w:pPr>
      <w:tabs>
        <w:tab w:val="left" w:pos="260"/>
      </w:tabs>
      <w:spacing w:line="480" w:lineRule="auto"/>
      <w:ind w:left="264" w:hanging="264"/>
    </w:pPr>
  </w:style>
  <w:style w:type="paragraph" w:styleId="BlockText">
    <w:name w:val="Block Text"/>
    <w:basedOn w:val="Normal"/>
    <w:semiHidden/>
    <w:unhideWhenUsed/>
    <w:rsid w:val="009B1F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9B1F7C"/>
    <w:pPr>
      <w:spacing w:after="120"/>
      <w:ind w:left="360"/>
    </w:pPr>
  </w:style>
  <w:style w:type="paragraph" w:styleId="BodyText3">
    <w:name w:val="Body Text 3"/>
    <w:basedOn w:val="Normal"/>
    <w:link w:val="BodyText3Char"/>
    <w:semiHidden/>
    <w:unhideWhenUsed/>
    <w:rsid w:val="009B1F7C"/>
    <w:pPr>
      <w:spacing w:after="120"/>
    </w:pPr>
    <w:rPr>
      <w:sz w:val="16"/>
      <w:szCs w:val="16"/>
    </w:rPr>
  </w:style>
  <w:style w:type="character" w:customStyle="1" w:styleId="BodyText3Char">
    <w:name w:val="Body Text 3 Char"/>
    <w:basedOn w:val="DefaultParagraphFont"/>
    <w:link w:val="BodyText3"/>
    <w:semiHidden/>
    <w:rsid w:val="009B1F7C"/>
    <w:rPr>
      <w:color w:val="404040" w:themeColor="text1" w:themeTint="BF"/>
      <w:sz w:val="16"/>
      <w:szCs w:val="16"/>
    </w:rPr>
  </w:style>
  <w:style w:type="paragraph" w:styleId="BodyTextFirstIndent">
    <w:name w:val="Body Text First Indent"/>
    <w:basedOn w:val="BodyText"/>
    <w:link w:val="BodyTextFirstIndentChar"/>
    <w:semiHidden/>
    <w:unhideWhenUsed/>
    <w:rsid w:val="009B1F7C"/>
    <w:pPr>
      <w:spacing w:after="0"/>
      <w:ind w:firstLine="360"/>
    </w:pPr>
  </w:style>
  <w:style w:type="character" w:customStyle="1" w:styleId="BodyTextFirstIndentChar">
    <w:name w:val="Body Text First Indent Char"/>
    <w:basedOn w:val="BodyTextChar"/>
    <w:link w:val="BodyTextFirstIndent"/>
    <w:semiHidden/>
    <w:rsid w:val="009B1F7C"/>
    <w:rPr>
      <w:color w:val="404040" w:themeColor="text1" w:themeTint="BF"/>
      <w:sz w:val="20"/>
    </w:rPr>
  </w:style>
  <w:style w:type="character" w:customStyle="1" w:styleId="BodyText2Char">
    <w:name w:val="Body Text 2 Char"/>
    <w:basedOn w:val="DefaultParagraphFont"/>
    <w:link w:val="BodyText2"/>
    <w:semiHidden/>
    <w:rsid w:val="009B1F7C"/>
    <w:rPr>
      <w:color w:val="404040" w:themeColor="text1" w:themeTint="BF"/>
      <w:sz w:val="20"/>
    </w:rPr>
  </w:style>
  <w:style w:type="paragraph" w:styleId="BodyTextFirstIndent2">
    <w:name w:val="Body Text First Indent 2"/>
    <w:basedOn w:val="BodyText2"/>
    <w:link w:val="BodyTextFirstIndent2Char"/>
    <w:semiHidden/>
    <w:unhideWhenUsed/>
    <w:rsid w:val="009B1F7C"/>
    <w:pPr>
      <w:spacing w:after="0"/>
      <w:ind w:firstLine="360"/>
    </w:pPr>
  </w:style>
  <w:style w:type="character" w:customStyle="1" w:styleId="BodyTextFirstIndent2Char">
    <w:name w:val="Body Text First Indent 2 Char"/>
    <w:basedOn w:val="BodyText2Char"/>
    <w:link w:val="BodyTextFirstIndent2"/>
    <w:semiHidden/>
    <w:rsid w:val="009B1F7C"/>
    <w:rPr>
      <w:color w:val="404040" w:themeColor="text1" w:themeTint="BF"/>
      <w:sz w:val="20"/>
    </w:rPr>
  </w:style>
  <w:style w:type="paragraph" w:styleId="BodyTextIndent2">
    <w:name w:val="Body Text Indent 2"/>
    <w:basedOn w:val="Normal"/>
    <w:link w:val="BodyTextIndent2Char"/>
    <w:semiHidden/>
    <w:unhideWhenUsed/>
    <w:rsid w:val="009B1F7C"/>
    <w:pPr>
      <w:spacing w:after="120" w:line="480" w:lineRule="auto"/>
      <w:ind w:left="360"/>
    </w:pPr>
  </w:style>
  <w:style w:type="character" w:customStyle="1" w:styleId="BodyTextIndent2Char">
    <w:name w:val="Body Text Indent 2 Char"/>
    <w:basedOn w:val="DefaultParagraphFont"/>
    <w:link w:val="BodyTextIndent2"/>
    <w:semiHidden/>
    <w:rsid w:val="009B1F7C"/>
    <w:rPr>
      <w:color w:val="404040" w:themeColor="text1" w:themeTint="BF"/>
      <w:sz w:val="20"/>
    </w:rPr>
  </w:style>
  <w:style w:type="paragraph" w:styleId="BodyTextIndent3">
    <w:name w:val="Body Text Indent 3"/>
    <w:basedOn w:val="Normal"/>
    <w:link w:val="BodyTextIndent3Char"/>
    <w:semiHidden/>
    <w:unhideWhenUsed/>
    <w:rsid w:val="009B1F7C"/>
    <w:pPr>
      <w:spacing w:after="120"/>
      <w:ind w:left="360"/>
    </w:pPr>
    <w:rPr>
      <w:sz w:val="16"/>
      <w:szCs w:val="16"/>
    </w:rPr>
  </w:style>
  <w:style w:type="character" w:customStyle="1" w:styleId="BodyTextIndent3Char">
    <w:name w:val="Body Text Indent 3 Char"/>
    <w:basedOn w:val="DefaultParagraphFont"/>
    <w:link w:val="BodyTextIndent3"/>
    <w:semiHidden/>
    <w:rsid w:val="009B1F7C"/>
    <w:rPr>
      <w:color w:val="404040" w:themeColor="text1" w:themeTint="BF"/>
      <w:sz w:val="16"/>
      <w:szCs w:val="16"/>
    </w:rPr>
  </w:style>
  <w:style w:type="paragraph" w:styleId="Caption">
    <w:name w:val="caption"/>
    <w:aliases w:val="Caption heading"/>
    <w:basedOn w:val="Normal"/>
    <w:next w:val="Normal"/>
    <w:uiPriority w:val="35"/>
    <w:unhideWhenUsed/>
    <w:qFormat/>
    <w:rsid w:val="00E75B85"/>
    <w:pPr>
      <w:spacing w:after="200" w:line="240" w:lineRule="auto"/>
    </w:pPr>
    <w:rPr>
      <w:b/>
      <w:bCs/>
      <w:color w:val="4F81BD" w:themeColor="accent1"/>
      <w:sz w:val="22"/>
      <w:szCs w:val="18"/>
    </w:rPr>
  </w:style>
  <w:style w:type="paragraph" w:styleId="Closing">
    <w:name w:val="Closing"/>
    <w:basedOn w:val="Normal"/>
    <w:link w:val="ClosingChar"/>
    <w:semiHidden/>
    <w:unhideWhenUsed/>
    <w:rsid w:val="009B1F7C"/>
    <w:pPr>
      <w:spacing w:line="240" w:lineRule="auto"/>
      <w:ind w:left="4320"/>
    </w:pPr>
  </w:style>
  <w:style w:type="character" w:customStyle="1" w:styleId="ClosingChar">
    <w:name w:val="Closing Char"/>
    <w:basedOn w:val="DefaultParagraphFont"/>
    <w:link w:val="Closing"/>
    <w:semiHidden/>
    <w:rsid w:val="009B1F7C"/>
    <w:rPr>
      <w:color w:val="404040" w:themeColor="text1" w:themeTint="BF"/>
      <w:sz w:val="20"/>
    </w:rPr>
  </w:style>
  <w:style w:type="paragraph" w:styleId="CommentText">
    <w:name w:val="annotation text"/>
    <w:basedOn w:val="Normal"/>
    <w:link w:val="CommentTextChar"/>
    <w:uiPriority w:val="99"/>
    <w:semiHidden/>
    <w:unhideWhenUsed/>
    <w:rsid w:val="009B1F7C"/>
    <w:pPr>
      <w:spacing w:line="240" w:lineRule="auto"/>
    </w:pPr>
    <w:rPr>
      <w:szCs w:val="20"/>
    </w:rPr>
  </w:style>
  <w:style w:type="character" w:customStyle="1" w:styleId="CommentTextChar">
    <w:name w:val="Comment Text Char"/>
    <w:basedOn w:val="DefaultParagraphFont"/>
    <w:link w:val="CommentText"/>
    <w:uiPriority w:val="99"/>
    <w:semiHidden/>
    <w:rsid w:val="009B1F7C"/>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B1F7C"/>
    <w:rPr>
      <w:b/>
      <w:bCs/>
    </w:rPr>
  </w:style>
  <w:style w:type="character" w:customStyle="1" w:styleId="CommentSubjectChar">
    <w:name w:val="Comment Subject Char"/>
    <w:basedOn w:val="CommentTextChar"/>
    <w:link w:val="CommentSubject"/>
    <w:uiPriority w:val="99"/>
    <w:semiHidden/>
    <w:rsid w:val="009B1F7C"/>
    <w:rPr>
      <w:b/>
      <w:bCs/>
      <w:color w:val="404040" w:themeColor="text1" w:themeTint="BF"/>
      <w:sz w:val="20"/>
      <w:szCs w:val="20"/>
    </w:rPr>
  </w:style>
  <w:style w:type="paragraph" w:styleId="Date">
    <w:name w:val="Date"/>
    <w:basedOn w:val="Normal"/>
    <w:next w:val="Normal"/>
    <w:link w:val="DateChar"/>
    <w:semiHidden/>
    <w:unhideWhenUsed/>
    <w:rsid w:val="009B1F7C"/>
  </w:style>
  <w:style w:type="character" w:customStyle="1" w:styleId="DateChar">
    <w:name w:val="Date Char"/>
    <w:basedOn w:val="DefaultParagraphFont"/>
    <w:link w:val="Date"/>
    <w:semiHidden/>
    <w:rsid w:val="009B1F7C"/>
    <w:rPr>
      <w:color w:val="404040" w:themeColor="text1" w:themeTint="BF"/>
      <w:sz w:val="20"/>
    </w:rPr>
  </w:style>
  <w:style w:type="paragraph" w:styleId="DocumentMap">
    <w:name w:val="Document Map"/>
    <w:basedOn w:val="Normal"/>
    <w:link w:val="DocumentMapChar"/>
    <w:semiHidden/>
    <w:unhideWhenUsed/>
    <w:rsid w:val="009B1F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B1F7C"/>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9B1F7C"/>
    <w:pPr>
      <w:spacing w:line="240" w:lineRule="auto"/>
    </w:pPr>
  </w:style>
  <w:style w:type="character" w:customStyle="1" w:styleId="E-mailSignatureChar">
    <w:name w:val="E-mail Signature Char"/>
    <w:basedOn w:val="DefaultParagraphFont"/>
    <w:link w:val="E-mailSignature"/>
    <w:semiHidden/>
    <w:rsid w:val="009B1F7C"/>
    <w:rPr>
      <w:color w:val="404040" w:themeColor="text1" w:themeTint="BF"/>
      <w:sz w:val="20"/>
    </w:rPr>
  </w:style>
  <w:style w:type="paragraph" w:styleId="EndnoteText">
    <w:name w:val="endnote text"/>
    <w:basedOn w:val="Normal"/>
    <w:link w:val="EndnoteTextChar"/>
    <w:semiHidden/>
    <w:unhideWhenUsed/>
    <w:rsid w:val="009B1F7C"/>
    <w:pPr>
      <w:spacing w:line="240" w:lineRule="auto"/>
    </w:pPr>
    <w:rPr>
      <w:szCs w:val="20"/>
    </w:rPr>
  </w:style>
  <w:style w:type="character" w:customStyle="1" w:styleId="EndnoteTextChar">
    <w:name w:val="Endnote Text Char"/>
    <w:basedOn w:val="DefaultParagraphFont"/>
    <w:link w:val="EndnoteText"/>
    <w:semiHidden/>
    <w:rsid w:val="009B1F7C"/>
    <w:rPr>
      <w:color w:val="404040" w:themeColor="text1" w:themeTint="BF"/>
      <w:sz w:val="20"/>
      <w:szCs w:val="20"/>
    </w:rPr>
  </w:style>
  <w:style w:type="paragraph" w:styleId="EnvelopeAddress">
    <w:name w:val="envelope address"/>
    <w:basedOn w:val="Normal"/>
    <w:semiHidden/>
    <w:unhideWhenUsed/>
    <w:rsid w:val="009B1F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1F7C"/>
    <w:pPr>
      <w:spacing w:line="240" w:lineRule="auto"/>
    </w:pPr>
    <w:rPr>
      <w:rFonts w:asciiTheme="majorHAnsi" w:eastAsiaTheme="majorEastAsia" w:hAnsiTheme="majorHAnsi" w:cstheme="majorBidi"/>
      <w:szCs w:val="20"/>
    </w:rPr>
  </w:style>
  <w:style w:type="paragraph" w:styleId="Footer">
    <w:name w:val="footer"/>
    <w:basedOn w:val="Normal"/>
    <w:link w:val="FooterChar"/>
    <w:uiPriority w:val="99"/>
    <w:unhideWhenUsed/>
    <w:rsid w:val="009B1F7C"/>
    <w:pPr>
      <w:tabs>
        <w:tab w:val="center" w:pos="4680"/>
        <w:tab w:val="right" w:pos="9360"/>
      </w:tabs>
      <w:spacing w:line="240" w:lineRule="auto"/>
    </w:pPr>
  </w:style>
  <w:style w:type="character" w:customStyle="1" w:styleId="FooterChar">
    <w:name w:val="Footer Char"/>
    <w:basedOn w:val="DefaultParagraphFont"/>
    <w:link w:val="Footer"/>
    <w:uiPriority w:val="99"/>
    <w:rsid w:val="009B1F7C"/>
    <w:rPr>
      <w:color w:val="404040" w:themeColor="text1" w:themeTint="BF"/>
      <w:sz w:val="20"/>
    </w:rPr>
  </w:style>
  <w:style w:type="paragraph" w:styleId="FootnoteText">
    <w:name w:val="footnote text"/>
    <w:basedOn w:val="Normal"/>
    <w:link w:val="FootnoteTextChar"/>
    <w:uiPriority w:val="99"/>
    <w:unhideWhenUsed/>
    <w:rsid w:val="009B1F7C"/>
    <w:pPr>
      <w:spacing w:line="240" w:lineRule="auto"/>
    </w:pPr>
    <w:rPr>
      <w:szCs w:val="20"/>
    </w:rPr>
  </w:style>
  <w:style w:type="character" w:customStyle="1" w:styleId="FootnoteTextChar">
    <w:name w:val="Footnote Text Char"/>
    <w:basedOn w:val="DefaultParagraphFont"/>
    <w:link w:val="FootnoteText"/>
    <w:uiPriority w:val="99"/>
    <w:rsid w:val="009B1F7C"/>
    <w:rPr>
      <w:color w:val="404040" w:themeColor="text1" w:themeTint="BF"/>
      <w:sz w:val="20"/>
      <w:szCs w:val="20"/>
    </w:rPr>
  </w:style>
  <w:style w:type="character" w:customStyle="1" w:styleId="Heading2Char">
    <w:name w:val="Heading 2 Char"/>
    <w:basedOn w:val="DefaultParagraphFont"/>
    <w:link w:val="Heading2"/>
    <w:uiPriority w:val="9"/>
    <w:rsid w:val="00034C96"/>
    <w:rPr>
      <w:rFonts w:ascii="Georgia" w:hAnsi="Georgia"/>
      <w:b/>
      <w:sz w:val="40"/>
      <w:szCs w:val="40"/>
      <w:lang w:val="en-GB"/>
    </w:rPr>
  </w:style>
  <w:style w:type="character" w:customStyle="1" w:styleId="Heading3Char">
    <w:name w:val="Heading 3 Char"/>
    <w:basedOn w:val="DefaultParagraphFont"/>
    <w:link w:val="Heading3"/>
    <w:uiPriority w:val="9"/>
    <w:rsid w:val="00034C96"/>
    <w:rPr>
      <w:rFonts w:ascii="Georgia" w:eastAsiaTheme="majorEastAsia" w:hAnsi="Georgia" w:cstheme="majorBidi"/>
      <w:b/>
      <w:bCs/>
      <w:sz w:val="28"/>
      <w:lang w:val="en-GB"/>
    </w:rPr>
  </w:style>
  <w:style w:type="character" w:customStyle="1" w:styleId="Heading4Char">
    <w:name w:val="Heading 4 Char"/>
    <w:basedOn w:val="DefaultParagraphFont"/>
    <w:link w:val="Heading4"/>
    <w:uiPriority w:val="9"/>
    <w:rsid w:val="00774D0D"/>
    <w:rPr>
      <w:rFonts w:ascii="Georgia" w:eastAsiaTheme="majorEastAsia" w:hAnsi="Georgia" w:cstheme="majorBidi"/>
      <w:b/>
      <w:bCs/>
      <w:i/>
      <w:iCs/>
      <w:color w:val="4F81BD" w:themeColor="accent1"/>
    </w:rPr>
  </w:style>
  <w:style w:type="character" w:customStyle="1" w:styleId="Heading5Char">
    <w:name w:val="Heading 5 Char"/>
    <w:basedOn w:val="DefaultParagraphFont"/>
    <w:link w:val="Heading5"/>
    <w:semiHidden/>
    <w:rsid w:val="009B1F7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9B1F7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9B1F7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B1F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B1F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B1F7C"/>
    <w:pPr>
      <w:spacing w:line="240" w:lineRule="auto"/>
    </w:pPr>
    <w:rPr>
      <w:i/>
      <w:iCs/>
    </w:rPr>
  </w:style>
  <w:style w:type="character" w:customStyle="1" w:styleId="HTMLAddressChar">
    <w:name w:val="HTML Address Char"/>
    <w:basedOn w:val="DefaultParagraphFont"/>
    <w:link w:val="HTMLAddress"/>
    <w:semiHidden/>
    <w:rsid w:val="009B1F7C"/>
    <w:rPr>
      <w:i/>
      <w:iCs/>
      <w:color w:val="404040" w:themeColor="text1" w:themeTint="BF"/>
      <w:sz w:val="20"/>
    </w:rPr>
  </w:style>
  <w:style w:type="paragraph" w:styleId="HTMLPreformatted">
    <w:name w:val="HTML Preformatted"/>
    <w:basedOn w:val="Normal"/>
    <w:link w:val="HTMLPreformattedChar"/>
    <w:semiHidden/>
    <w:unhideWhenUsed/>
    <w:rsid w:val="009B1F7C"/>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B1F7C"/>
    <w:rPr>
      <w:rFonts w:ascii="Consolas" w:hAnsi="Consolas"/>
      <w:color w:val="404040" w:themeColor="text1" w:themeTint="BF"/>
      <w:sz w:val="20"/>
      <w:szCs w:val="20"/>
    </w:rPr>
  </w:style>
  <w:style w:type="paragraph" w:styleId="Index1">
    <w:name w:val="index 1"/>
    <w:basedOn w:val="Normal"/>
    <w:next w:val="Normal"/>
    <w:autoRedefine/>
    <w:semiHidden/>
    <w:unhideWhenUsed/>
    <w:rsid w:val="009B1F7C"/>
    <w:pPr>
      <w:spacing w:line="240" w:lineRule="auto"/>
      <w:ind w:left="200" w:hanging="200"/>
    </w:pPr>
  </w:style>
  <w:style w:type="paragraph" w:styleId="Index2">
    <w:name w:val="index 2"/>
    <w:basedOn w:val="Normal"/>
    <w:next w:val="Normal"/>
    <w:autoRedefine/>
    <w:semiHidden/>
    <w:unhideWhenUsed/>
    <w:rsid w:val="009B1F7C"/>
    <w:pPr>
      <w:spacing w:line="240" w:lineRule="auto"/>
      <w:ind w:left="400" w:hanging="200"/>
    </w:pPr>
  </w:style>
  <w:style w:type="paragraph" w:styleId="Index3">
    <w:name w:val="index 3"/>
    <w:basedOn w:val="Normal"/>
    <w:next w:val="Normal"/>
    <w:autoRedefine/>
    <w:semiHidden/>
    <w:unhideWhenUsed/>
    <w:rsid w:val="009B1F7C"/>
    <w:pPr>
      <w:spacing w:line="240" w:lineRule="auto"/>
      <w:ind w:left="600" w:hanging="200"/>
    </w:pPr>
  </w:style>
  <w:style w:type="paragraph" w:styleId="Index4">
    <w:name w:val="index 4"/>
    <w:basedOn w:val="Normal"/>
    <w:next w:val="Normal"/>
    <w:autoRedefine/>
    <w:semiHidden/>
    <w:unhideWhenUsed/>
    <w:rsid w:val="009B1F7C"/>
    <w:pPr>
      <w:spacing w:line="240" w:lineRule="auto"/>
      <w:ind w:left="800" w:hanging="200"/>
    </w:pPr>
  </w:style>
  <w:style w:type="paragraph" w:styleId="Index5">
    <w:name w:val="index 5"/>
    <w:basedOn w:val="Normal"/>
    <w:next w:val="Normal"/>
    <w:autoRedefine/>
    <w:semiHidden/>
    <w:unhideWhenUsed/>
    <w:rsid w:val="009B1F7C"/>
    <w:pPr>
      <w:spacing w:line="240" w:lineRule="auto"/>
      <w:ind w:left="1000" w:hanging="200"/>
    </w:pPr>
  </w:style>
  <w:style w:type="paragraph" w:styleId="Index6">
    <w:name w:val="index 6"/>
    <w:basedOn w:val="Normal"/>
    <w:next w:val="Normal"/>
    <w:autoRedefine/>
    <w:semiHidden/>
    <w:unhideWhenUsed/>
    <w:rsid w:val="009B1F7C"/>
    <w:pPr>
      <w:spacing w:line="240" w:lineRule="auto"/>
      <w:ind w:left="1200" w:hanging="200"/>
    </w:pPr>
  </w:style>
  <w:style w:type="paragraph" w:styleId="Index7">
    <w:name w:val="index 7"/>
    <w:basedOn w:val="Normal"/>
    <w:next w:val="Normal"/>
    <w:autoRedefine/>
    <w:semiHidden/>
    <w:unhideWhenUsed/>
    <w:rsid w:val="009B1F7C"/>
    <w:pPr>
      <w:spacing w:line="240" w:lineRule="auto"/>
      <w:ind w:left="1400" w:hanging="200"/>
    </w:pPr>
  </w:style>
  <w:style w:type="paragraph" w:styleId="Index8">
    <w:name w:val="index 8"/>
    <w:basedOn w:val="Normal"/>
    <w:next w:val="Normal"/>
    <w:autoRedefine/>
    <w:semiHidden/>
    <w:unhideWhenUsed/>
    <w:rsid w:val="009B1F7C"/>
    <w:pPr>
      <w:spacing w:line="240" w:lineRule="auto"/>
      <w:ind w:left="1600" w:hanging="200"/>
    </w:pPr>
  </w:style>
  <w:style w:type="paragraph" w:styleId="Index9">
    <w:name w:val="index 9"/>
    <w:basedOn w:val="Normal"/>
    <w:next w:val="Normal"/>
    <w:autoRedefine/>
    <w:semiHidden/>
    <w:unhideWhenUsed/>
    <w:rsid w:val="009B1F7C"/>
    <w:pPr>
      <w:spacing w:line="240" w:lineRule="auto"/>
      <w:ind w:left="1800" w:hanging="200"/>
    </w:pPr>
  </w:style>
  <w:style w:type="paragraph" w:styleId="IndexHeading">
    <w:name w:val="index heading"/>
    <w:basedOn w:val="Normal"/>
    <w:next w:val="Index1"/>
    <w:semiHidden/>
    <w:unhideWhenUsed/>
    <w:rsid w:val="009B1F7C"/>
    <w:rPr>
      <w:rFonts w:asciiTheme="majorHAnsi" w:eastAsiaTheme="majorEastAsia" w:hAnsiTheme="majorHAnsi" w:cstheme="majorBidi"/>
      <w:b/>
      <w:bCs/>
    </w:rPr>
  </w:style>
  <w:style w:type="paragraph" w:styleId="IntenseQuote">
    <w:name w:val="Intense Quote"/>
    <w:basedOn w:val="Normal"/>
    <w:next w:val="Normal"/>
    <w:link w:val="IntenseQuoteChar"/>
    <w:qFormat/>
    <w:rsid w:val="009B1F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9B1F7C"/>
    <w:rPr>
      <w:b/>
      <w:bCs/>
      <w:i/>
      <w:iCs/>
      <w:color w:val="4F81BD" w:themeColor="accent1"/>
      <w:sz w:val="20"/>
    </w:rPr>
  </w:style>
  <w:style w:type="paragraph" w:styleId="List">
    <w:name w:val="List"/>
    <w:basedOn w:val="Normal"/>
    <w:semiHidden/>
    <w:unhideWhenUsed/>
    <w:rsid w:val="009B1F7C"/>
    <w:pPr>
      <w:ind w:left="360" w:hanging="360"/>
      <w:contextualSpacing/>
    </w:pPr>
  </w:style>
  <w:style w:type="paragraph" w:styleId="List2">
    <w:name w:val="List 2"/>
    <w:basedOn w:val="Normal"/>
    <w:semiHidden/>
    <w:unhideWhenUsed/>
    <w:rsid w:val="009B1F7C"/>
    <w:pPr>
      <w:ind w:left="720" w:hanging="360"/>
      <w:contextualSpacing/>
    </w:pPr>
  </w:style>
  <w:style w:type="paragraph" w:styleId="List3">
    <w:name w:val="List 3"/>
    <w:basedOn w:val="Normal"/>
    <w:semiHidden/>
    <w:unhideWhenUsed/>
    <w:rsid w:val="009B1F7C"/>
    <w:pPr>
      <w:ind w:left="1080" w:hanging="360"/>
      <w:contextualSpacing/>
    </w:pPr>
  </w:style>
  <w:style w:type="paragraph" w:styleId="List4">
    <w:name w:val="List 4"/>
    <w:basedOn w:val="Normal"/>
    <w:semiHidden/>
    <w:unhideWhenUsed/>
    <w:rsid w:val="009B1F7C"/>
    <w:pPr>
      <w:ind w:left="1440" w:hanging="360"/>
      <w:contextualSpacing/>
    </w:pPr>
  </w:style>
  <w:style w:type="paragraph" w:styleId="List5">
    <w:name w:val="List 5"/>
    <w:basedOn w:val="Normal"/>
    <w:semiHidden/>
    <w:unhideWhenUsed/>
    <w:rsid w:val="009B1F7C"/>
    <w:pPr>
      <w:ind w:left="1800" w:hanging="360"/>
      <w:contextualSpacing/>
    </w:pPr>
  </w:style>
  <w:style w:type="paragraph" w:styleId="ListBullet">
    <w:name w:val="List Bullet"/>
    <w:basedOn w:val="Normal"/>
    <w:semiHidden/>
    <w:unhideWhenUsed/>
    <w:rsid w:val="009B1F7C"/>
    <w:pPr>
      <w:numPr>
        <w:numId w:val="1"/>
      </w:numPr>
      <w:contextualSpacing/>
    </w:pPr>
  </w:style>
  <w:style w:type="paragraph" w:styleId="ListBullet2">
    <w:name w:val="List Bullet 2"/>
    <w:basedOn w:val="Normal"/>
    <w:semiHidden/>
    <w:unhideWhenUsed/>
    <w:rsid w:val="009B1F7C"/>
    <w:pPr>
      <w:numPr>
        <w:numId w:val="2"/>
      </w:numPr>
      <w:contextualSpacing/>
    </w:pPr>
  </w:style>
  <w:style w:type="paragraph" w:styleId="ListBullet3">
    <w:name w:val="List Bullet 3"/>
    <w:basedOn w:val="Normal"/>
    <w:semiHidden/>
    <w:unhideWhenUsed/>
    <w:rsid w:val="009B1F7C"/>
    <w:pPr>
      <w:numPr>
        <w:numId w:val="3"/>
      </w:numPr>
      <w:contextualSpacing/>
    </w:pPr>
  </w:style>
  <w:style w:type="paragraph" w:styleId="ListBullet4">
    <w:name w:val="List Bullet 4"/>
    <w:basedOn w:val="Normal"/>
    <w:semiHidden/>
    <w:unhideWhenUsed/>
    <w:rsid w:val="009B1F7C"/>
    <w:pPr>
      <w:numPr>
        <w:numId w:val="4"/>
      </w:numPr>
      <w:contextualSpacing/>
    </w:pPr>
  </w:style>
  <w:style w:type="paragraph" w:styleId="ListBullet5">
    <w:name w:val="List Bullet 5"/>
    <w:basedOn w:val="Normal"/>
    <w:semiHidden/>
    <w:unhideWhenUsed/>
    <w:rsid w:val="009B1F7C"/>
    <w:pPr>
      <w:numPr>
        <w:numId w:val="5"/>
      </w:numPr>
      <w:contextualSpacing/>
    </w:pPr>
  </w:style>
  <w:style w:type="paragraph" w:styleId="ListContinue">
    <w:name w:val="List Continue"/>
    <w:basedOn w:val="Normal"/>
    <w:semiHidden/>
    <w:unhideWhenUsed/>
    <w:rsid w:val="009B1F7C"/>
    <w:pPr>
      <w:spacing w:after="120"/>
      <w:ind w:left="360"/>
      <w:contextualSpacing/>
    </w:pPr>
  </w:style>
  <w:style w:type="paragraph" w:styleId="ListContinue2">
    <w:name w:val="List Continue 2"/>
    <w:basedOn w:val="Normal"/>
    <w:semiHidden/>
    <w:unhideWhenUsed/>
    <w:rsid w:val="009B1F7C"/>
    <w:pPr>
      <w:spacing w:after="120"/>
      <w:ind w:left="720"/>
      <w:contextualSpacing/>
    </w:pPr>
  </w:style>
  <w:style w:type="paragraph" w:styleId="ListContinue3">
    <w:name w:val="List Continue 3"/>
    <w:basedOn w:val="Normal"/>
    <w:semiHidden/>
    <w:unhideWhenUsed/>
    <w:rsid w:val="009B1F7C"/>
    <w:pPr>
      <w:spacing w:after="120"/>
      <w:ind w:left="1080"/>
      <w:contextualSpacing/>
    </w:pPr>
  </w:style>
  <w:style w:type="paragraph" w:styleId="ListContinue4">
    <w:name w:val="List Continue 4"/>
    <w:basedOn w:val="Normal"/>
    <w:semiHidden/>
    <w:unhideWhenUsed/>
    <w:rsid w:val="009B1F7C"/>
    <w:pPr>
      <w:spacing w:after="120"/>
      <w:ind w:left="1440"/>
      <w:contextualSpacing/>
    </w:pPr>
  </w:style>
  <w:style w:type="paragraph" w:styleId="ListContinue5">
    <w:name w:val="List Continue 5"/>
    <w:basedOn w:val="Normal"/>
    <w:semiHidden/>
    <w:unhideWhenUsed/>
    <w:rsid w:val="009B1F7C"/>
    <w:pPr>
      <w:spacing w:after="120"/>
      <w:ind w:left="1800"/>
      <w:contextualSpacing/>
    </w:pPr>
  </w:style>
  <w:style w:type="paragraph" w:styleId="ListNumber">
    <w:name w:val="List Number"/>
    <w:basedOn w:val="Normal"/>
    <w:semiHidden/>
    <w:unhideWhenUsed/>
    <w:rsid w:val="009B1F7C"/>
    <w:pPr>
      <w:numPr>
        <w:numId w:val="6"/>
      </w:numPr>
      <w:contextualSpacing/>
    </w:pPr>
  </w:style>
  <w:style w:type="paragraph" w:styleId="ListNumber2">
    <w:name w:val="List Number 2"/>
    <w:basedOn w:val="Normal"/>
    <w:semiHidden/>
    <w:unhideWhenUsed/>
    <w:rsid w:val="009B1F7C"/>
    <w:pPr>
      <w:numPr>
        <w:numId w:val="7"/>
      </w:numPr>
      <w:contextualSpacing/>
    </w:pPr>
  </w:style>
  <w:style w:type="paragraph" w:styleId="ListNumber3">
    <w:name w:val="List Number 3"/>
    <w:basedOn w:val="Normal"/>
    <w:semiHidden/>
    <w:unhideWhenUsed/>
    <w:rsid w:val="009B1F7C"/>
    <w:pPr>
      <w:numPr>
        <w:numId w:val="8"/>
      </w:numPr>
      <w:contextualSpacing/>
    </w:pPr>
  </w:style>
  <w:style w:type="paragraph" w:styleId="ListNumber4">
    <w:name w:val="List Number 4"/>
    <w:basedOn w:val="Normal"/>
    <w:semiHidden/>
    <w:unhideWhenUsed/>
    <w:rsid w:val="009B1F7C"/>
    <w:pPr>
      <w:numPr>
        <w:numId w:val="9"/>
      </w:numPr>
      <w:contextualSpacing/>
    </w:pPr>
  </w:style>
  <w:style w:type="paragraph" w:styleId="ListNumber5">
    <w:name w:val="List Number 5"/>
    <w:basedOn w:val="Normal"/>
    <w:semiHidden/>
    <w:unhideWhenUsed/>
    <w:rsid w:val="009B1F7C"/>
    <w:pPr>
      <w:numPr>
        <w:numId w:val="10"/>
      </w:numPr>
      <w:contextualSpacing/>
    </w:pPr>
  </w:style>
  <w:style w:type="paragraph" w:styleId="ListParagraph">
    <w:name w:val="List Paragraph"/>
    <w:aliases w:val="List Paragraph1,Recommendation"/>
    <w:basedOn w:val="NoSpacing"/>
    <w:link w:val="ListParagraphChar"/>
    <w:autoRedefine/>
    <w:uiPriority w:val="34"/>
    <w:qFormat/>
    <w:rsid w:val="00C408F2"/>
    <w:pPr>
      <w:numPr>
        <w:numId w:val="42"/>
      </w:numPr>
      <w:overflowPunct w:val="0"/>
      <w:autoSpaceDE w:val="0"/>
      <w:autoSpaceDN w:val="0"/>
      <w:adjustRightInd w:val="0"/>
      <w:spacing w:line="240" w:lineRule="auto"/>
      <w:contextualSpacing/>
      <w:textAlignment w:val="baseline"/>
    </w:pPr>
    <w:rPr>
      <w:rFonts w:eastAsiaTheme="majorEastAsia" w:cstheme="majorBidi"/>
      <w:bCs/>
      <w:szCs w:val="20"/>
      <w:lang w:val="en-GB"/>
    </w:rPr>
  </w:style>
  <w:style w:type="paragraph" w:styleId="MacroText">
    <w:name w:val="macro"/>
    <w:link w:val="MacroTextChar"/>
    <w:semiHidden/>
    <w:unhideWhenUsed/>
    <w:rsid w:val="009B1F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9B1F7C"/>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9B1F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1F7C"/>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next w:val="Normal"/>
    <w:uiPriority w:val="1"/>
    <w:qFormat/>
    <w:rsid w:val="009949B9"/>
    <w:pPr>
      <w:spacing w:before="100" w:beforeAutospacing="1" w:after="100" w:afterAutospacing="1" w:line="264" w:lineRule="auto"/>
    </w:pPr>
    <w:rPr>
      <w:rFonts w:ascii="Georgia" w:hAnsi="Georgia"/>
      <w:color w:val="404040" w:themeColor="text1" w:themeTint="BF"/>
    </w:rPr>
  </w:style>
  <w:style w:type="paragraph" w:styleId="NormalWeb">
    <w:name w:val="Normal (Web)"/>
    <w:basedOn w:val="Normal"/>
    <w:semiHidden/>
    <w:unhideWhenUsed/>
    <w:rsid w:val="009B1F7C"/>
    <w:rPr>
      <w:rFonts w:ascii="Times New Roman" w:hAnsi="Times New Roman" w:cs="Times New Roman"/>
      <w:sz w:val="24"/>
      <w:szCs w:val="24"/>
    </w:rPr>
  </w:style>
  <w:style w:type="paragraph" w:styleId="NormalIndent">
    <w:name w:val="Normal Indent"/>
    <w:basedOn w:val="Normal"/>
    <w:semiHidden/>
    <w:unhideWhenUsed/>
    <w:rsid w:val="009B1F7C"/>
    <w:pPr>
      <w:ind w:left="720"/>
    </w:pPr>
  </w:style>
  <w:style w:type="paragraph" w:styleId="NoteHeading">
    <w:name w:val="Note Heading"/>
    <w:basedOn w:val="Normal"/>
    <w:next w:val="Normal"/>
    <w:link w:val="NoteHeadingChar"/>
    <w:semiHidden/>
    <w:unhideWhenUsed/>
    <w:rsid w:val="009B1F7C"/>
    <w:pPr>
      <w:spacing w:line="240" w:lineRule="auto"/>
    </w:pPr>
  </w:style>
  <w:style w:type="character" w:customStyle="1" w:styleId="NoteHeadingChar">
    <w:name w:val="Note Heading Char"/>
    <w:basedOn w:val="DefaultParagraphFont"/>
    <w:link w:val="NoteHeading"/>
    <w:semiHidden/>
    <w:rsid w:val="009B1F7C"/>
    <w:rPr>
      <w:color w:val="404040" w:themeColor="text1" w:themeTint="BF"/>
      <w:sz w:val="20"/>
    </w:rPr>
  </w:style>
  <w:style w:type="paragraph" w:styleId="PlainText">
    <w:name w:val="Plain Text"/>
    <w:basedOn w:val="Normal"/>
    <w:link w:val="PlainTextChar"/>
    <w:semiHidden/>
    <w:unhideWhenUsed/>
    <w:rsid w:val="009B1F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B1F7C"/>
    <w:rPr>
      <w:rFonts w:ascii="Consolas" w:hAnsi="Consolas"/>
      <w:color w:val="404040" w:themeColor="text1" w:themeTint="BF"/>
      <w:sz w:val="21"/>
      <w:szCs w:val="21"/>
    </w:rPr>
  </w:style>
  <w:style w:type="paragraph" w:styleId="Quote">
    <w:name w:val="Quote"/>
    <w:basedOn w:val="Normal"/>
    <w:next w:val="Normal"/>
    <w:link w:val="QuoteChar"/>
    <w:qFormat/>
    <w:rsid w:val="009B1F7C"/>
    <w:rPr>
      <w:i/>
      <w:iCs/>
      <w:color w:val="000000" w:themeColor="text1"/>
    </w:rPr>
  </w:style>
  <w:style w:type="character" w:customStyle="1" w:styleId="QuoteChar">
    <w:name w:val="Quote Char"/>
    <w:basedOn w:val="DefaultParagraphFont"/>
    <w:link w:val="Quote"/>
    <w:rsid w:val="009B1F7C"/>
    <w:rPr>
      <w:i/>
      <w:iCs/>
      <w:color w:val="000000" w:themeColor="text1"/>
      <w:sz w:val="20"/>
    </w:rPr>
  </w:style>
  <w:style w:type="paragraph" w:styleId="Salutation">
    <w:name w:val="Salutation"/>
    <w:basedOn w:val="Normal"/>
    <w:next w:val="Normal"/>
    <w:link w:val="SalutationChar"/>
    <w:semiHidden/>
    <w:unhideWhenUsed/>
    <w:rsid w:val="009B1F7C"/>
  </w:style>
  <w:style w:type="character" w:customStyle="1" w:styleId="SalutationChar">
    <w:name w:val="Salutation Char"/>
    <w:basedOn w:val="DefaultParagraphFont"/>
    <w:link w:val="Salutation"/>
    <w:semiHidden/>
    <w:rsid w:val="009B1F7C"/>
    <w:rPr>
      <w:color w:val="404040" w:themeColor="text1" w:themeTint="BF"/>
      <w:sz w:val="20"/>
    </w:rPr>
  </w:style>
  <w:style w:type="paragraph" w:styleId="Signature">
    <w:name w:val="Signature"/>
    <w:basedOn w:val="Normal"/>
    <w:link w:val="SignatureChar"/>
    <w:semiHidden/>
    <w:unhideWhenUsed/>
    <w:rsid w:val="009B1F7C"/>
    <w:pPr>
      <w:spacing w:line="240" w:lineRule="auto"/>
      <w:ind w:left="4320"/>
    </w:pPr>
  </w:style>
  <w:style w:type="character" w:customStyle="1" w:styleId="SignatureChar">
    <w:name w:val="Signature Char"/>
    <w:basedOn w:val="DefaultParagraphFont"/>
    <w:link w:val="Signature"/>
    <w:semiHidden/>
    <w:rsid w:val="009B1F7C"/>
    <w:rPr>
      <w:color w:val="404040" w:themeColor="text1" w:themeTint="BF"/>
      <w:sz w:val="20"/>
    </w:rPr>
  </w:style>
  <w:style w:type="paragraph" w:styleId="TableofAuthorities">
    <w:name w:val="table of authorities"/>
    <w:basedOn w:val="Normal"/>
    <w:next w:val="Normal"/>
    <w:semiHidden/>
    <w:unhideWhenUsed/>
    <w:rsid w:val="009B1F7C"/>
    <w:pPr>
      <w:ind w:left="200" w:hanging="200"/>
    </w:pPr>
  </w:style>
  <w:style w:type="paragraph" w:styleId="TableofFigures">
    <w:name w:val="table of figures"/>
    <w:basedOn w:val="Normal"/>
    <w:next w:val="Normal"/>
    <w:semiHidden/>
    <w:unhideWhenUsed/>
    <w:rsid w:val="009B1F7C"/>
  </w:style>
  <w:style w:type="paragraph" w:styleId="TOAHeading">
    <w:name w:val="toa heading"/>
    <w:basedOn w:val="Normal"/>
    <w:next w:val="Normal"/>
    <w:semiHidden/>
    <w:unhideWhenUsed/>
    <w:rsid w:val="009B1F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B1F7C"/>
    <w:pPr>
      <w:spacing w:after="100"/>
    </w:pPr>
  </w:style>
  <w:style w:type="paragraph" w:styleId="TOC2">
    <w:name w:val="toc 2"/>
    <w:basedOn w:val="Normal"/>
    <w:next w:val="Normal"/>
    <w:autoRedefine/>
    <w:uiPriority w:val="39"/>
    <w:unhideWhenUsed/>
    <w:rsid w:val="009B1F7C"/>
    <w:pPr>
      <w:spacing w:after="100"/>
      <w:ind w:left="200"/>
    </w:pPr>
  </w:style>
  <w:style w:type="paragraph" w:styleId="TOC3">
    <w:name w:val="toc 3"/>
    <w:basedOn w:val="Normal"/>
    <w:next w:val="Normal"/>
    <w:autoRedefine/>
    <w:uiPriority w:val="39"/>
    <w:unhideWhenUsed/>
    <w:rsid w:val="009B1F7C"/>
    <w:pPr>
      <w:spacing w:after="100"/>
      <w:ind w:left="400"/>
    </w:pPr>
  </w:style>
  <w:style w:type="paragraph" w:styleId="TOC4">
    <w:name w:val="toc 4"/>
    <w:basedOn w:val="Normal"/>
    <w:next w:val="Normal"/>
    <w:autoRedefine/>
    <w:uiPriority w:val="39"/>
    <w:unhideWhenUsed/>
    <w:rsid w:val="009B1F7C"/>
    <w:pPr>
      <w:spacing w:after="100"/>
      <w:ind w:left="600"/>
    </w:pPr>
  </w:style>
  <w:style w:type="paragraph" w:styleId="TOC5">
    <w:name w:val="toc 5"/>
    <w:basedOn w:val="Normal"/>
    <w:next w:val="Normal"/>
    <w:autoRedefine/>
    <w:uiPriority w:val="39"/>
    <w:unhideWhenUsed/>
    <w:rsid w:val="009B1F7C"/>
    <w:pPr>
      <w:spacing w:after="100"/>
      <w:ind w:left="800"/>
    </w:pPr>
  </w:style>
  <w:style w:type="paragraph" w:styleId="TOC6">
    <w:name w:val="toc 6"/>
    <w:basedOn w:val="Normal"/>
    <w:next w:val="Normal"/>
    <w:autoRedefine/>
    <w:uiPriority w:val="39"/>
    <w:unhideWhenUsed/>
    <w:rsid w:val="009B1F7C"/>
    <w:pPr>
      <w:spacing w:after="100"/>
      <w:ind w:left="1000"/>
    </w:pPr>
  </w:style>
  <w:style w:type="paragraph" w:styleId="TOC7">
    <w:name w:val="toc 7"/>
    <w:basedOn w:val="Normal"/>
    <w:next w:val="Normal"/>
    <w:autoRedefine/>
    <w:uiPriority w:val="39"/>
    <w:unhideWhenUsed/>
    <w:rsid w:val="009B1F7C"/>
    <w:pPr>
      <w:spacing w:after="100"/>
      <w:ind w:left="1200"/>
    </w:pPr>
  </w:style>
  <w:style w:type="paragraph" w:styleId="TOC8">
    <w:name w:val="toc 8"/>
    <w:basedOn w:val="Normal"/>
    <w:next w:val="Normal"/>
    <w:autoRedefine/>
    <w:uiPriority w:val="39"/>
    <w:unhideWhenUsed/>
    <w:rsid w:val="009B1F7C"/>
    <w:pPr>
      <w:spacing w:after="100"/>
      <w:ind w:left="1400"/>
    </w:pPr>
  </w:style>
  <w:style w:type="paragraph" w:styleId="TOC9">
    <w:name w:val="toc 9"/>
    <w:basedOn w:val="Normal"/>
    <w:next w:val="Normal"/>
    <w:autoRedefine/>
    <w:uiPriority w:val="39"/>
    <w:unhideWhenUsed/>
    <w:rsid w:val="009B1F7C"/>
    <w:pPr>
      <w:spacing w:after="100"/>
      <w:ind w:left="1600"/>
    </w:pPr>
  </w:style>
  <w:style w:type="paragraph" w:styleId="TOCHeading">
    <w:name w:val="TOC Heading"/>
    <w:basedOn w:val="Heading1"/>
    <w:next w:val="Normal"/>
    <w:semiHidden/>
    <w:unhideWhenUsed/>
    <w:qFormat/>
    <w:rsid w:val="009B1F7C"/>
    <w:pPr>
      <w:spacing w:before="480" w:after="0" w:line="300" w:lineRule="auto"/>
      <w:outlineLvl w:val="9"/>
    </w:pPr>
    <w:rPr>
      <w:color w:val="365F91" w:themeColor="accent1" w:themeShade="BF"/>
      <w:sz w:val="28"/>
      <w:szCs w:val="28"/>
    </w:rPr>
  </w:style>
  <w:style w:type="character" w:customStyle="1" w:styleId="A1">
    <w:name w:val="A1"/>
    <w:rsid w:val="00905EEF"/>
    <w:rPr>
      <w:rFonts w:cs="SPARCSans"/>
      <w:color w:val="000000"/>
      <w:sz w:val="18"/>
      <w:szCs w:val="18"/>
    </w:rPr>
  </w:style>
  <w:style w:type="paragraph" w:customStyle="1" w:styleId="Default">
    <w:name w:val="Default"/>
    <w:rsid w:val="00905EEF"/>
    <w:pPr>
      <w:widowControl w:val="0"/>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905EEF"/>
    <w:pPr>
      <w:spacing w:line="221" w:lineRule="atLeast"/>
    </w:pPr>
    <w:rPr>
      <w:rFonts w:ascii="Lato" w:hAnsi="Lato" w:cs="Times New Roman"/>
      <w:color w:val="auto"/>
    </w:rPr>
  </w:style>
  <w:style w:type="table" w:styleId="TableGrid">
    <w:name w:val="Table Grid"/>
    <w:basedOn w:val="TableNormal"/>
    <w:uiPriority w:val="59"/>
    <w:rsid w:val="00905EE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05EEF"/>
    <w:rPr>
      <w:color w:val="31849B" w:themeColor="accent5" w:themeShade="BF"/>
      <w:sz w:val="24"/>
      <w:szCs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905EEF"/>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List Paragraph1 Char,Recommendation Char"/>
    <w:basedOn w:val="DefaultParagraphFont"/>
    <w:link w:val="ListParagraph"/>
    <w:uiPriority w:val="34"/>
    <w:locked/>
    <w:rsid w:val="00C408F2"/>
    <w:rPr>
      <w:rFonts w:ascii="Georgia" w:eastAsiaTheme="majorEastAsia" w:hAnsi="Georgia" w:cstheme="majorBidi"/>
      <w:bCs/>
      <w:color w:val="404040" w:themeColor="text1" w:themeTint="BF"/>
      <w:szCs w:val="20"/>
      <w:lang w:val="en-GB"/>
    </w:rPr>
  </w:style>
  <w:style w:type="character" w:styleId="FootnoteReference">
    <w:name w:val="footnote reference"/>
    <w:basedOn w:val="DefaultParagraphFont"/>
    <w:uiPriority w:val="99"/>
    <w:unhideWhenUsed/>
    <w:rsid w:val="00905EEF"/>
    <w:rPr>
      <w:vertAlign w:val="superscript"/>
    </w:rPr>
  </w:style>
  <w:style w:type="character" w:styleId="PageNumber">
    <w:name w:val="page number"/>
    <w:basedOn w:val="DefaultParagraphFont"/>
    <w:uiPriority w:val="99"/>
    <w:semiHidden/>
    <w:unhideWhenUsed/>
    <w:rsid w:val="00905EEF"/>
  </w:style>
  <w:style w:type="table" w:styleId="LightShading-Accent3">
    <w:name w:val="Light Shading Accent 3"/>
    <w:basedOn w:val="TableNormal"/>
    <w:uiPriority w:val="60"/>
    <w:rsid w:val="00905EEF"/>
    <w:rPr>
      <w:rFonts w:eastAsiaTheme="minorHAnsi"/>
      <w:color w:val="76923C" w:themeColor="accent3" w:themeShade="BF"/>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905EEF"/>
    <w:rPr>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905EEF"/>
    <w:rPr>
      <w:sz w:val="16"/>
      <w:szCs w:val="16"/>
    </w:rPr>
  </w:style>
  <w:style w:type="table" w:styleId="LightShading-Accent4">
    <w:name w:val="Light Shading Accent 4"/>
    <w:basedOn w:val="TableNormal"/>
    <w:uiPriority w:val="60"/>
    <w:rsid w:val="00905EEF"/>
    <w:rPr>
      <w:color w:val="5F497A" w:themeColor="accent4" w:themeShade="BF"/>
      <w:sz w:val="24"/>
      <w:szCs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905EEF"/>
    <w:rPr>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05EEF"/>
    <w:rPr>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05EEF"/>
    <w:rPr>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905EEF"/>
    <w:rPr>
      <w:color w:val="E36C0A" w:themeColor="accent6" w:themeShade="BF"/>
      <w:sz w:val="24"/>
      <w:szCs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905EEF"/>
    <w:rPr>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905EEF"/>
    <w:pPr>
      <w:spacing w:line="240" w:lineRule="auto"/>
      <w:ind w:left="425" w:hanging="425"/>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905E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05EEF"/>
    <w:rPr>
      <w:color w:val="0000FF" w:themeColor="hyperlink"/>
      <w:u w:val="single"/>
    </w:rPr>
  </w:style>
  <w:style w:type="character" w:customStyle="1" w:styleId="apple-converted-space">
    <w:name w:val="apple-converted-space"/>
    <w:basedOn w:val="DefaultParagraphFont"/>
    <w:rsid w:val="00905EEF"/>
  </w:style>
  <w:style w:type="character" w:styleId="FollowedHyperlink">
    <w:name w:val="FollowedHyperlink"/>
    <w:basedOn w:val="DefaultParagraphFont"/>
    <w:uiPriority w:val="99"/>
    <w:semiHidden/>
    <w:unhideWhenUsed/>
    <w:rsid w:val="00905EEF"/>
    <w:rPr>
      <w:color w:val="800080" w:themeColor="followedHyperlink"/>
      <w:u w:val="single"/>
    </w:rPr>
  </w:style>
  <w:style w:type="table" w:styleId="MediumShading1-Accent5">
    <w:name w:val="Medium Shading 1 Accent 5"/>
    <w:basedOn w:val="TableNormal"/>
    <w:uiPriority w:val="63"/>
    <w:rsid w:val="00E75B8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E75B8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C2229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ighlight">
    <w:name w:val="highlight"/>
    <w:basedOn w:val="DefaultParagraphFont"/>
    <w:rsid w:val="00DB41B7"/>
  </w:style>
  <w:style w:type="paragraph" w:styleId="Revision">
    <w:name w:val="Revision"/>
    <w:hidden/>
    <w:uiPriority w:val="99"/>
    <w:semiHidden/>
    <w:rsid w:val="002E6248"/>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935">
      <w:bodyDiv w:val="1"/>
      <w:marLeft w:val="0"/>
      <w:marRight w:val="0"/>
      <w:marTop w:val="0"/>
      <w:marBottom w:val="0"/>
      <w:divBdr>
        <w:top w:val="none" w:sz="0" w:space="0" w:color="auto"/>
        <w:left w:val="none" w:sz="0" w:space="0" w:color="auto"/>
        <w:bottom w:val="none" w:sz="0" w:space="0" w:color="auto"/>
        <w:right w:val="none" w:sz="0" w:space="0" w:color="auto"/>
      </w:divBdr>
    </w:div>
    <w:div w:id="17070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6C30EE742224ABAC8369AD57DFF76"/>
        <w:category>
          <w:name w:val="General"/>
          <w:gallery w:val="placeholder"/>
        </w:category>
        <w:types>
          <w:type w:val="bbPlcHdr"/>
        </w:types>
        <w:behaviors>
          <w:behavior w:val="content"/>
        </w:behaviors>
        <w:guid w:val="{70A8612E-231A-8D4E-8E57-75921C8C9450}"/>
      </w:docPartPr>
      <w:docPartBody>
        <w:p w:rsidR="00A2397B" w:rsidRDefault="00A2397B">
          <w:pPr>
            <w:pStyle w:val="E036C30EE742224ABAC8369AD57DFF76"/>
          </w:pPr>
          <w: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PARCSans">
    <w:altName w:val="SPARCSans"/>
    <w:panose1 w:val="00000000000000000000"/>
    <w:charset w:val="00"/>
    <w:family w:val="swiss"/>
    <w:notTrueType/>
    <w:pitch w:val="default"/>
    <w:sig w:usb0="00000003" w:usb1="00000000" w:usb2="00000000" w:usb3="00000000" w:csb0="00000001" w:csb1="00000000"/>
  </w:font>
  <w:font w:name="Lato">
    <w:altName w:val="MS Gothic"/>
    <w:panose1 w:val="00000000000000000000"/>
    <w:charset w:val="80"/>
    <w:family w:val="swiss"/>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2397B"/>
    <w:rsid w:val="000672DF"/>
    <w:rsid w:val="003423C8"/>
    <w:rsid w:val="005E1CAE"/>
    <w:rsid w:val="00746E58"/>
    <w:rsid w:val="009A079B"/>
    <w:rsid w:val="00A2397B"/>
    <w:rsid w:val="00AF3E0A"/>
    <w:rsid w:val="00C32A82"/>
    <w:rsid w:val="00CA4272"/>
    <w:rsid w:val="00CB2BAD"/>
    <w:rsid w:val="00FB05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6C30EE742224ABAC8369AD57DFF76">
    <w:name w:val="E036C30EE742224ABAC8369AD57DFF76"/>
    <w:rsid w:val="005E1CAE"/>
  </w:style>
  <w:style w:type="paragraph" w:customStyle="1" w:styleId="429DE93FB47B1D4FAD953FDF326733A1">
    <w:name w:val="429DE93FB47B1D4FAD953FDF326733A1"/>
    <w:rsid w:val="005E1CAE"/>
  </w:style>
  <w:style w:type="paragraph" w:styleId="BodyText">
    <w:name w:val="Body Text"/>
    <w:basedOn w:val="Normal"/>
    <w:link w:val="BodyTextChar"/>
    <w:rsid w:val="005E1CAE"/>
    <w:pPr>
      <w:spacing w:after="200" w:line="300" w:lineRule="auto"/>
    </w:pPr>
    <w:rPr>
      <w:rFonts w:eastAsiaTheme="minorHAnsi"/>
      <w:color w:val="404040" w:themeColor="text1" w:themeTint="BF"/>
      <w:sz w:val="20"/>
      <w:szCs w:val="22"/>
      <w:lang w:val="en-US" w:eastAsia="en-US"/>
    </w:rPr>
  </w:style>
  <w:style w:type="character" w:customStyle="1" w:styleId="BodyTextChar">
    <w:name w:val="Body Text Char"/>
    <w:basedOn w:val="DefaultParagraphFont"/>
    <w:link w:val="BodyText"/>
    <w:rsid w:val="005E1CAE"/>
    <w:rPr>
      <w:rFonts w:eastAsiaTheme="minorHAnsi"/>
      <w:color w:val="404040" w:themeColor="text1" w:themeTint="BF"/>
      <w:sz w:val="20"/>
      <w:szCs w:val="22"/>
      <w:lang w:val="en-US" w:eastAsia="en-US"/>
    </w:rPr>
  </w:style>
  <w:style w:type="paragraph" w:customStyle="1" w:styleId="0FD736970E627649977FB5868DD70CF6">
    <w:name w:val="0FD736970E627649977FB5868DD70CF6"/>
    <w:rsid w:val="005E1CAE"/>
  </w:style>
  <w:style w:type="paragraph" w:customStyle="1" w:styleId="21F968BAD1AF9942B84DDA16C2121C17">
    <w:name w:val="21F968BAD1AF9942B84DDA16C2121C17"/>
    <w:rsid w:val="005E1CAE"/>
  </w:style>
  <w:style w:type="paragraph" w:customStyle="1" w:styleId="A3B59445D81CC344B1F99EC2E6FCB191">
    <w:name w:val="A3B59445D81CC344B1F99EC2E6FCB191"/>
    <w:rsid w:val="005E1CAE"/>
  </w:style>
  <w:style w:type="paragraph" w:customStyle="1" w:styleId="FE910A70383A2B4CAC1EF43279AA373F">
    <w:name w:val="FE910A70383A2B4CAC1EF43279AA373F"/>
    <w:rsid w:val="005E1CAE"/>
  </w:style>
  <w:style w:type="paragraph" w:customStyle="1" w:styleId="822F7C1AEB216E4C86DAAFD1F1A77FA8">
    <w:name w:val="822F7C1AEB216E4C86DAAFD1F1A77FA8"/>
    <w:rsid w:val="005E1CAE"/>
  </w:style>
  <w:style w:type="paragraph" w:customStyle="1" w:styleId="F4985BAF3ED6184D8574B156933065DE">
    <w:name w:val="F4985BAF3ED6184D8574B156933065DE"/>
    <w:rsid w:val="005E1CAE"/>
  </w:style>
  <w:style w:type="paragraph" w:customStyle="1" w:styleId="F97EF321AA043A4DA568E8BBAF38E5BB">
    <w:name w:val="F97EF321AA043A4DA568E8BBAF38E5BB"/>
    <w:rsid w:val="005E1CAE"/>
  </w:style>
  <w:style w:type="paragraph" w:customStyle="1" w:styleId="C749FEF9907D5441964D2582977D2EB8">
    <w:name w:val="C749FEF9907D5441964D2582977D2EB8"/>
    <w:rsid w:val="005E1CAE"/>
  </w:style>
  <w:style w:type="paragraph" w:customStyle="1" w:styleId="99B78DBD01B0C549885CB84C79961645">
    <w:name w:val="99B78DBD01B0C549885CB84C79961645"/>
    <w:rsid w:val="005E1CAE"/>
  </w:style>
  <w:style w:type="paragraph" w:customStyle="1" w:styleId="F33FC053E9212C45ACCC5F0D38750696">
    <w:name w:val="F33FC053E9212C45ACCC5F0D38750696"/>
    <w:rsid w:val="005E1CAE"/>
  </w:style>
  <w:style w:type="paragraph" w:customStyle="1" w:styleId="7E4F90E0466DF54A971F094BD4AC3A6F">
    <w:name w:val="7E4F90E0466DF54A971F094BD4AC3A6F"/>
    <w:rsid w:val="005E1CAE"/>
  </w:style>
  <w:style w:type="paragraph" w:customStyle="1" w:styleId="BD9334C4CBE18245BC48017BC350E2E7">
    <w:name w:val="BD9334C4CBE18245BC48017BC350E2E7"/>
    <w:rsid w:val="005E1CAE"/>
  </w:style>
  <w:style w:type="paragraph" w:customStyle="1" w:styleId="5F88D234FF2D934E8514A5D7CC5D59A0">
    <w:name w:val="5F88D234FF2D934E8514A5D7CC5D59A0"/>
    <w:rsid w:val="005E1CAE"/>
  </w:style>
  <w:style w:type="paragraph" w:customStyle="1" w:styleId="EDEC254E8EA1CF43A93B537DCAB6F65A">
    <w:name w:val="EDEC254E8EA1CF43A93B537DCAB6F65A"/>
    <w:rsid w:val="005E1CAE"/>
  </w:style>
  <w:style w:type="paragraph" w:customStyle="1" w:styleId="4024053F772D8849ACF1A54CC88F0273">
    <w:name w:val="4024053F772D8849ACF1A54CC88F0273"/>
    <w:rsid w:val="005E1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48F1-6DF3-4282-B744-3B1F1DF7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99347895</Template>
  <TotalTime>0</TotalTime>
  <Pages>1</Pages>
  <Words>23291</Words>
  <Characters>132765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Implementing Self-Management and Shared Care Projects: </vt:lpstr>
    </vt:vector>
  </TitlesOfParts>
  <Company/>
  <LinksUpToDate>false</LinksUpToDate>
  <CharactersWithSpaces>155745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Self-Management and Shared Care Projects: Summary of findings and implementation advice</dc:title>
  <dc:creator>Hayden McRobbie</dc:creator>
  <cp:lastModifiedBy>Ministry of Health</cp:lastModifiedBy>
  <cp:revision>1</cp:revision>
  <dcterms:created xsi:type="dcterms:W3CDTF">2016-11-30T20:30:00Z</dcterms:created>
  <dcterms:modified xsi:type="dcterms:W3CDTF">2016-11-30T20:30:00Z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id="ZirwdGLY"/&gt;&lt;style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