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FA755" w14:textId="3182C93A" w:rsidR="00F53DAD" w:rsidRPr="009722AB" w:rsidRDefault="00F53DAD" w:rsidP="009722AB">
      <w:pPr>
        <w:pStyle w:val="Heading1"/>
        <w:rPr>
          <w:sz w:val="36"/>
          <w:szCs w:val="36"/>
        </w:rPr>
      </w:pPr>
      <w:bookmarkStart w:id="0" w:name="_Hlk77759106"/>
      <w:r w:rsidRPr="009722AB">
        <w:rPr>
          <w:sz w:val="36"/>
          <w:szCs w:val="36"/>
        </w:rPr>
        <w:t xml:space="preserve">Guidelines for </w:t>
      </w:r>
      <w:r w:rsidR="00171230" w:rsidRPr="009722AB">
        <w:rPr>
          <w:sz w:val="36"/>
          <w:szCs w:val="36"/>
        </w:rPr>
        <w:t>a</w:t>
      </w:r>
      <w:r w:rsidR="002A33DC" w:rsidRPr="009722AB">
        <w:rPr>
          <w:sz w:val="36"/>
          <w:szCs w:val="36"/>
        </w:rPr>
        <w:t xml:space="preserve">pplying for a </w:t>
      </w:r>
      <w:r w:rsidR="00171230" w:rsidRPr="009722AB">
        <w:rPr>
          <w:sz w:val="36"/>
          <w:szCs w:val="36"/>
        </w:rPr>
        <w:t>b</w:t>
      </w:r>
      <w:r w:rsidR="002A33DC" w:rsidRPr="009722AB">
        <w:rPr>
          <w:sz w:val="36"/>
          <w:szCs w:val="36"/>
        </w:rPr>
        <w:t xml:space="preserve">urial in a </w:t>
      </w:r>
      <w:r w:rsidR="00171230" w:rsidRPr="009722AB">
        <w:rPr>
          <w:sz w:val="36"/>
          <w:szCs w:val="36"/>
        </w:rPr>
        <w:t>s</w:t>
      </w:r>
      <w:r w:rsidR="002A33DC" w:rsidRPr="009722AB">
        <w:rPr>
          <w:sz w:val="36"/>
          <w:szCs w:val="36"/>
        </w:rPr>
        <w:t xml:space="preserve">pecial </w:t>
      </w:r>
      <w:r w:rsidR="00171230" w:rsidRPr="009722AB">
        <w:rPr>
          <w:sz w:val="36"/>
          <w:szCs w:val="36"/>
        </w:rPr>
        <w:t>p</w:t>
      </w:r>
      <w:r w:rsidR="002A33DC" w:rsidRPr="009722AB">
        <w:rPr>
          <w:sz w:val="36"/>
          <w:szCs w:val="36"/>
        </w:rPr>
        <w:t>lace</w:t>
      </w:r>
    </w:p>
    <w:p w14:paraId="4CCB22E4" w14:textId="77777777" w:rsidR="00324C6A" w:rsidRPr="00793BBD" w:rsidRDefault="00324C6A" w:rsidP="009722AB">
      <w:pPr>
        <w:pStyle w:val="Heading1"/>
      </w:pPr>
      <w:r w:rsidRPr="00793BBD">
        <w:t>Introduction</w:t>
      </w:r>
    </w:p>
    <w:p w14:paraId="013E4DAE" w14:textId="77777777" w:rsidR="00D0039D" w:rsidRPr="00F43773" w:rsidRDefault="00D0039D" w:rsidP="00D0039D">
      <w:pPr>
        <w:pStyle w:val="NoSpacing"/>
        <w:rPr>
          <w:rFonts w:ascii="Arial" w:hAnsi="Arial" w:cs="Arial"/>
          <w:sz w:val="24"/>
          <w:szCs w:val="24"/>
        </w:rPr>
      </w:pPr>
      <w:r w:rsidRPr="00F43773">
        <w:rPr>
          <w:rFonts w:ascii="Arial" w:hAnsi="Arial" w:cs="Arial"/>
          <w:sz w:val="24"/>
          <w:szCs w:val="24"/>
        </w:rPr>
        <w:t>Section 48 of the Burial and Cremation Act 1964 (the Act) states that:</w:t>
      </w:r>
    </w:p>
    <w:p w14:paraId="795E972C" w14:textId="35901AF8" w:rsidR="00380612" w:rsidRPr="00F43773" w:rsidRDefault="00E058FF" w:rsidP="00380612">
      <w:pPr>
        <w:pStyle w:val="NoSpacing"/>
        <w:ind w:left="720" w:right="850"/>
        <w:rPr>
          <w:rFonts w:ascii="Arial" w:hAnsi="Arial" w:cs="Arial"/>
          <w:i/>
          <w:sz w:val="24"/>
          <w:szCs w:val="24"/>
          <w:lang w:val="en-NZ"/>
        </w:rPr>
      </w:pPr>
      <w:r w:rsidRPr="00F43773">
        <w:rPr>
          <w:rFonts w:ascii="Arial" w:hAnsi="Arial" w:cs="Arial"/>
          <w:i/>
          <w:sz w:val="24"/>
          <w:szCs w:val="24"/>
          <w:lang w:val="en-NZ"/>
        </w:rPr>
        <w:t>“</w:t>
      </w:r>
      <w:r w:rsidR="00380612" w:rsidRPr="00F43773">
        <w:rPr>
          <w:rFonts w:ascii="Arial" w:hAnsi="Arial" w:cs="Arial"/>
          <w:i/>
          <w:sz w:val="24"/>
          <w:szCs w:val="24"/>
          <w:lang w:val="en-NZ"/>
        </w:rPr>
        <w:t>Notwithstanding anything in this Act, a body may be buried in any place, even though that place was not used for burials before the date of the commencement of this Act, if the Minister first certifies in writing that he is satisfied that there are exceptional circumstances which make the burial of that body in that place particularly appropriate and if, where the proposed place of burial is within a city or part of the district of a territorial authority which was formerly a city or borough or part of a city or borough, the sanction of the mayor, or 2 members of the governing body of the territorial authority is obtained.</w:t>
      </w:r>
      <w:r w:rsidRPr="00F43773">
        <w:rPr>
          <w:rFonts w:ascii="Arial" w:hAnsi="Arial" w:cs="Arial"/>
          <w:i/>
          <w:sz w:val="24"/>
          <w:szCs w:val="24"/>
          <w:lang w:val="en-NZ"/>
        </w:rPr>
        <w:t>”</w:t>
      </w:r>
    </w:p>
    <w:p w14:paraId="22C9B29E" w14:textId="148F2201" w:rsidR="00D0039D" w:rsidRPr="00F43773" w:rsidRDefault="00521D0F" w:rsidP="00D0039D">
      <w:pPr>
        <w:pStyle w:val="NoSpacing"/>
        <w:rPr>
          <w:rFonts w:ascii="Arial" w:hAnsi="Arial" w:cs="Arial"/>
          <w:sz w:val="24"/>
          <w:szCs w:val="24"/>
        </w:rPr>
      </w:pPr>
      <w:r w:rsidRPr="00F43773">
        <w:rPr>
          <w:rFonts w:ascii="Arial" w:hAnsi="Arial" w:cs="Arial"/>
          <w:sz w:val="24"/>
          <w:szCs w:val="24"/>
        </w:rPr>
        <w:t>In summary, t</w:t>
      </w:r>
      <w:r w:rsidR="00464C93" w:rsidRPr="00F43773">
        <w:rPr>
          <w:rFonts w:ascii="Arial" w:hAnsi="Arial" w:cs="Arial"/>
          <w:sz w:val="24"/>
          <w:szCs w:val="24"/>
        </w:rPr>
        <w:t>he Act specifically excludes the establishment of private burial grounds</w:t>
      </w:r>
      <w:r w:rsidRPr="00F43773">
        <w:rPr>
          <w:rFonts w:ascii="Arial" w:hAnsi="Arial" w:cs="Arial"/>
          <w:sz w:val="24"/>
          <w:szCs w:val="24"/>
        </w:rPr>
        <w:t>; ho</w:t>
      </w:r>
      <w:r w:rsidR="0006358E" w:rsidRPr="00F43773">
        <w:rPr>
          <w:rFonts w:ascii="Arial" w:hAnsi="Arial" w:cs="Arial"/>
          <w:sz w:val="24"/>
          <w:szCs w:val="24"/>
        </w:rPr>
        <w:t xml:space="preserve">wever, </w:t>
      </w:r>
      <w:r w:rsidR="00011D4D" w:rsidRPr="00F43773">
        <w:rPr>
          <w:rFonts w:ascii="Arial" w:hAnsi="Arial" w:cs="Arial"/>
          <w:sz w:val="24"/>
          <w:szCs w:val="24"/>
        </w:rPr>
        <w:t xml:space="preserve">it </w:t>
      </w:r>
      <w:r w:rsidRPr="00F43773">
        <w:rPr>
          <w:rFonts w:ascii="Arial" w:hAnsi="Arial" w:cs="Arial"/>
          <w:sz w:val="24"/>
          <w:szCs w:val="24"/>
        </w:rPr>
        <w:t xml:space="preserve">does </w:t>
      </w:r>
      <w:r w:rsidR="00E91F11" w:rsidRPr="00F43773">
        <w:rPr>
          <w:rFonts w:ascii="Arial" w:hAnsi="Arial" w:cs="Arial"/>
          <w:sz w:val="24"/>
          <w:szCs w:val="24"/>
        </w:rPr>
        <w:t xml:space="preserve">allow for </w:t>
      </w:r>
      <w:r w:rsidR="0006358E" w:rsidRPr="00F43773">
        <w:rPr>
          <w:rFonts w:ascii="Arial" w:hAnsi="Arial" w:cs="Arial"/>
          <w:sz w:val="24"/>
          <w:szCs w:val="24"/>
        </w:rPr>
        <w:t>a</w:t>
      </w:r>
      <w:r w:rsidR="00D0039D" w:rsidRPr="00F43773">
        <w:rPr>
          <w:rFonts w:ascii="Arial" w:hAnsi="Arial" w:cs="Arial"/>
          <w:sz w:val="24"/>
          <w:szCs w:val="24"/>
        </w:rPr>
        <w:t xml:space="preserve"> body </w:t>
      </w:r>
      <w:r w:rsidR="00E91F11" w:rsidRPr="00F43773">
        <w:rPr>
          <w:rFonts w:ascii="Arial" w:hAnsi="Arial" w:cs="Arial"/>
          <w:sz w:val="24"/>
          <w:szCs w:val="24"/>
        </w:rPr>
        <w:t xml:space="preserve">to </w:t>
      </w:r>
      <w:r w:rsidR="00D0039D" w:rsidRPr="00F43773">
        <w:rPr>
          <w:rFonts w:ascii="Arial" w:hAnsi="Arial" w:cs="Arial"/>
          <w:sz w:val="24"/>
          <w:szCs w:val="24"/>
        </w:rPr>
        <w:t xml:space="preserve">be buried in a special place </w:t>
      </w:r>
      <w:r w:rsidR="00E13FA4" w:rsidRPr="00F43773">
        <w:rPr>
          <w:rFonts w:ascii="Arial" w:hAnsi="Arial" w:cs="Arial"/>
          <w:sz w:val="24"/>
          <w:szCs w:val="24"/>
        </w:rPr>
        <w:t>in exceptional circumstances (section 48). In practice</w:t>
      </w:r>
      <w:r w:rsidR="00DA278D" w:rsidRPr="00F43773">
        <w:rPr>
          <w:rFonts w:ascii="Arial" w:hAnsi="Arial" w:cs="Arial"/>
          <w:sz w:val="24"/>
          <w:szCs w:val="24"/>
        </w:rPr>
        <w:t>,</w:t>
      </w:r>
      <w:r w:rsidR="00E13FA4" w:rsidRPr="00F43773">
        <w:rPr>
          <w:rFonts w:ascii="Arial" w:hAnsi="Arial" w:cs="Arial"/>
          <w:sz w:val="24"/>
          <w:szCs w:val="24"/>
        </w:rPr>
        <w:t xml:space="preserve"> </w:t>
      </w:r>
      <w:r w:rsidR="009D7648" w:rsidRPr="00F43773">
        <w:rPr>
          <w:rFonts w:ascii="Arial" w:hAnsi="Arial" w:cs="Arial"/>
          <w:sz w:val="24"/>
          <w:szCs w:val="24"/>
        </w:rPr>
        <w:t xml:space="preserve">this is </w:t>
      </w:r>
      <w:r w:rsidR="00D0039D" w:rsidRPr="00F43773">
        <w:rPr>
          <w:rFonts w:ascii="Arial" w:hAnsi="Arial" w:cs="Arial"/>
          <w:sz w:val="24"/>
          <w:szCs w:val="24"/>
        </w:rPr>
        <w:t>whe</w:t>
      </w:r>
      <w:r w:rsidR="009D7648" w:rsidRPr="00F43773">
        <w:rPr>
          <w:rFonts w:ascii="Arial" w:hAnsi="Arial" w:cs="Arial"/>
          <w:sz w:val="24"/>
          <w:szCs w:val="24"/>
        </w:rPr>
        <w:t>n</w:t>
      </w:r>
      <w:r w:rsidR="00D0039D" w:rsidRPr="00F43773">
        <w:rPr>
          <w:rFonts w:ascii="Arial" w:hAnsi="Arial" w:cs="Arial"/>
          <w:sz w:val="24"/>
          <w:szCs w:val="24"/>
        </w:rPr>
        <w:t xml:space="preserve"> the Director of Public Health, acting under delegation from the Minister of Health, is satisfied that </w:t>
      </w:r>
      <w:r w:rsidR="00D0039D" w:rsidRPr="00F43773">
        <w:rPr>
          <w:rFonts w:ascii="Arial" w:hAnsi="Arial" w:cs="Arial"/>
          <w:i/>
          <w:sz w:val="24"/>
          <w:szCs w:val="24"/>
        </w:rPr>
        <w:t>exceptional circumstances</w:t>
      </w:r>
      <w:r w:rsidR="00D0039D" w:rsidRPr="00F43773">
        <w:rPr>
          <w:rFonts w:ascii="Arial" w:hAnsi="Arial" w:cs="Arial"/>
          <w:sz w:val="24"/>
          <w:szCs w:val="24"/>
        </w:rPr>
        <w:t xml:space="preserve"> make the burial in </w:t>
      </w:r>
      <w:r w:rsidR="00D0039D" w:rsidRPr="00F43773">
        <w:rPr>
          <w:rFonts w:ascii="Arial" w:hAnsi="Arial" w:cs="Arial"/>
          <w:i/>
          <w:sz w:val="24"/>
          <w:szCs w:val="24"/>
        </w:rPr>
        <w:t>that</w:t>
      </w:r>
      <w:r w:rsidR="00D0039D" w:rsidRPr="00F43773">
        <w:rPr>
          <w:rFonts w:ascii="Arial" w:hAnsi="Arial" w:cs="Arial"/>
          <w:sz w:val="24"/>
          <w:szCs w:val="24"/>
        </w:rPr>
        <w:t xml:space="preserve"> place </w:t>
      </w:r>
      <w:r w:rsidR="00D0039D" w:rsidRPr="00F43773">
        <w:rPr>
          <w:rFonts w:ascii="Arial" w:hAnsi="Arial" w:cs="Arial"/>
          <w:i/>
          <w:sz w:val="24"/>
          <w:szCs w:val="24"/>
        </w:rPr>
        <w:t xml:space="preserve">particularly </w:t>
      </w:r>
      <w:r w:rsidR="00D0039D" w:rsidRPr="00F43773">
        <w:rPr>
          <w:rFonts w:ascii="Arial" w:hAnsi="Arial" w:cs="Arial"/>
          <w:sz w:val="24"/>
          <w:szCs w:val="24"/>
        </w:rPr>
        <w:t>appropriate.  The Act gives no direction as to what circumstances may be considered ‘exceptional’.</w:t>
      </w:r>
      <w:r w:rsidR="009F719E" w:rsidRPr="00F43773">
        <w:rPr>
          <w:rFonts w:ascii="Arial" w:hAnsi="Arial" w:cs="Arial"/>
          <w:sz w:val="24"/>
          <w:szCs w:val="24"/>
        </w:rPr>
        <w:t xml:space="preserve"> </w:t>
      </w:r>
      <w:r w:rsidR="00D0039D" w:rsidRPr="00F43773">
        <w:rPr>
          <w:rFonts w:ascii="Arial" w:hAnsi="Arial" w:cs="Arial"/>
          <w:sz w:val="24"/>
          <w:szCs w:val="24"/>
        </w:rPr>
        <w:t>To assist with the determination of such applications and to provide transparency and consistency, these guidelines</w:t>
      </w:r>
      <w:r w:rsidR="004141BA" w:rsidRPr="00F43773">
        <w:rPr>
          <w:rFonts w:ascii="Arial" w:hAnsi="Arial" w:cs="Arial"/>
          <w:sz w:val="24"/>
          <w:szCs w:val="24"/>
        </w:rPr>
        <w:t xml:space="preserve"> have been developed</w:t>
      </w:r>
      <w:r w:rsidR="00D0039D" w:rsidRPr="00F43773">
        <w:rPr>
          <w:rFonts w:ascii="Arial" w:hAnsi="Arial" w:cs="Arial"/>
          <w:sz w:val="24"/>
          <w:szCs w:val="24"/>
        </w:rPr>
        <w:t>.</w:t>
      </w:r>
    </w:p>
    <w:p w14:paraId="6E45F097" w14:textId="6CAC85D0" w:rsidR="00324C6A" w:rsidRDefault="00917271" w:rsidP="009722AB">
      <w:pPr>
        <w:pStyle w:val="Heading1"/>
      </w:pPr>
      <w:r w:rsidRPr="00793BBD">
        <w:t xml:space="preserve">Other </w:t>
      </w:r>
      <w:r w:rsidR="00793BBD">
        <w:t>o</w:t>
      </w:r>
      <w:r w:rsidRPr="00793BBD">
        <w:t>ptions</w:t>
      </w:r>
    </w:p>
    <w:p w14:paraId="54151522" w14:textId="29128599" w:rsidR="00D533B3" w:rsidRPr="00F43773" w:rsidRDefault="00D533B3" w:rsidP="009E0D6D">
      <w:pPr>
        <w:pStyle w:val="NoSpacing"/>
        <w:rPr>
          <w:rFonts w:ascii="Arial" w:hAnsi="Arial" w:cs="Arial"/>
          <w:sz w:val="24"/>
          <w:szCs w:val="24"/>
        </w:rPr>
      </w:pPr>
      <w:r w:rsidRPr="00F43773">
        <w:rPr>
          <w:rFonts w:ascii="Arial" w:hAnsi="Arial" w:cs="Arial"/>
          <w:sz w:val="24"/>
          <w:szCs w:val="24"/>
        </w:rPr>
        <w:t xml:space="preserve">In addition to </w:t>
      </w:r>
      <w:r w:rsidR="004435EE" w:rsidRPr="00F43773">
        <w:rPr>
          <w:rFonts w:ascii="Arial" w:hAnsi="Arial" w:cs="Arial"/>
          <w:sz w:val="24"/>
          <w:szCs w:val="24"/>
        </w:rPr>
        <w:t xml:space="preserve">burials in special places, there are some other options </w:t>
      </w:r>
      <w:r w:rsidR="001D06D6" w:rsidRPr="00F43773">
        <w:rPr>
          <w:rFonts w:ascii="Arial" w:hAnsi="Arial" w:cs="Arial"/>
          <w:sz w:val="24"/>
          <w:szCs w:val="24"/>
        </w:rPr>
        <w:t>available.</w:t>
      </w:r>
      <w:r w:rsidR="004435EE" w:rsidRPr="00F43773">
        <w:rPr>
          <w:rFonts w:ascii="Arial" w:hAnsi="Arial" w:cs="Arial"/>
          <w:sz w:val="24"/>
          <w:szCs w:val="24"/>
        </w:rPr>
        <w:t xml:space="preserve"> </w:t>
      </w:r>
      <w:r w:rsidRPr="00F43773">
        <w:rPr>
          <w:rFonts w:ascii="Arial" w:hAnsi="Arial" w:cs="Arial"/>
          <w:sz w:val="24"/>
          <w:szCs w:val="24"/>
        </w:rPr>
        <w:t xml:space="preserve">  </w:t>
      </w:r>
    </w:p>
    <w:p w14:paraId="13C46141" w14:textId="3F3AD600" w:rsidR="00917271" w:rsidRPr="00F43773" w:rsidRDefault="00917271" w:rsidP="00917271">
      <w:pPr>
        <w:pStyle w:val="NoSpacing"/>
        <w:numPr>
          <w:ilvl w:val="0"/>
          <w:numId w:val="10"/>
        </w:numPr>
        <w:ind w:left="360"/>
        <w:rPr>
          <w:rFonts w:ascii="Arial" w:hAnsi="Arial" w:cs="Arial"/>
          <w:sz w:val="24"/>
          <w:szCs w:val="24"/>
        </w:rPr>
      </w:pPr>
      <w:r w:rsidRPr="00F43773">
        <w:rPr>
          <w:rFonts w:ascii="Arial" w:hAnsi="Arial" w:cs="Arial"/>
          <w:sz w:val="24"/>
          <w:szCs w:val="24"/>
        </w:rPr>
        <w:t>Section 46 of the Act allows for the burial of any person more than 32 kilometres (in a direct line of sight) away from the nearest cemetery.  The person burying the body must give the nearest District Court Judge notice of the burial, specifying the name of the deceased, the supposed cause of death, and the place of burial.</w:t>
      </w:r>
    </w:p>
    <w:p w14:paraId="2612824E" w14:textId="1441DC70" w:rsidR="00917271" w:rsidRPr="00F43773" w:rsidRDefault="00917271" w:rsidP="00917271">
      <w:pPr>
        <w:pStyle w:val="NoSpacing"/>
        <w:numPr>
          <w:ilvl w:val="0"/>
          <w:numId w:val="10"/>
        </w:numPr>
        <w:ind w:left="360"/>
        <w:rPr>
          <w:rFonts w:ascii="Arial" w:hAnsi="Arial" w:cs="Arial"/>
          <w:sz w:val="24"/>
          <w:szCs w:val="24"/>
        </w:rPr>
      </w:pPr>
      <w:r w:rsidRPr="00F43773">
        <w:rPr>
          <w:rFonts w:ascii="Arial" w:hAnsi="Arial" w:cs="Arial"/>
          <w:sz w:val="24"/>
          <w:szCs w:val="24"/>
        </w:rPr>
        <w:t xml:space="preserve">A denominational burial ground can be set up under section 31 of the Act.  This requires </w:t>
      </w:r>
      <w:r w:rsidR="009E2730" w:rsidRPr="00F43773">
        <w:rPr>
          <w:rFonts w:ascii="Arial" w:hAnsi="Arial" w:cs="Arial"/>
          <w:sz w:val="24"/>
          <w:szCs w:val="24"/>
        </w:rPr>
        <w:t xml:space="preserve">at least </w:t>
      </w:r>
      <w:r w:rsidRPr="00F43773">
        <w:rPr>
          <w:rFonts w:ascii="Arial" w:hAnsi="Arial" w:cs="Arial"/>
          <w:sz w:val="24"/>
          <w:szCs w:val="24"/>
        </w:rPr>
        <w:t>25 adult members (aged 20 years or over) of the same religious faith to desire land to be set-aside for this purpose.</w:t>
      </w:r>
    </w:p>
    <w:p w14:paraId="23384CD1" w14:textId="6D1965A3" w:rsidR="00917271" w:rsidRPr="00F43773" w:rsidRDefault="00917271" w:rsidP="00917271">
      <w:pPr>
        <w:pStyle w:val="NoSpacing"/>
        <w:numPr>
          <w:ilvl w:val="0"/>
          <w:numId w:val="10"/>
        </w:numPr>
        <w:ind w:left="360"/>
        <w:rPr>
          <w:rFonts w:ascii="Arial" w:hAnsi="Arial" w:cs="Arial"/>
          <w:sz w:val="24"/>
          <w:szCs w:val="24"/>
        </w:rPr>
      </w:pPr>
      <w:r w:rsidRPr="00F43773">
        <w:rPr>
          <w:rFonts w:ascii="Arial" w:hAnsi="Arial" w:cs="Arial"/>
          <w:sz w:val="24"/>
          <w:szCs w:val="24"/>
        </w:rPr>
        <w:t xml:space="preserve">There is provision under the Te Ture Whenua Māori Act 1993 for the establishment of an urupā.  Te Puni Kōkiri, is the </w:t>
      </w:r>
      <w:r w:rsidR="009E0D6D" w:rsidRPr="00F43773">
        <w:rPr>
          <w:rFonts w:ascii="Arial" w:hAnsi="Arial" w:cs="Arial"/>
          <w:sz w:val="24"/>
          <w:szCs w:val="24"/>
        </w:rPr>
        <w:t xml:space="preserve">government </w:t>
      </w:r>
      <w:r w:rsidRPr="00F43773">
        <w:rPr>
          <w:rFonts w:ascii="Arial" w:hAnsi="Arial" w:cs="Arial"/>
          <w:sz w:val="24"/>
          <w:szCs w:val="24"/>
        </w:rPr>
        <w:t>agency to contact for such an application.</w:t>
      </w:r>
    </w:p>
    <w:p w14:paraId="6FD6EAB0" w14:textId="6742E056" w:rsidR="00917271" w:rsidRPr="00F43773" w:rsidRDefault="00917271" w:rsidP="00917271">
      <w:pPr>
        <w:pStyle w:val="NoSpacing"/>
        <w:numPr>
          <w:ilvl w:val="0"/>
          <w:numId w:val="10"/>
        </w:numPr>
        <w:ind w:left="360"/>
        <w:rPr>
          <w:rFonts w:ascii="Arial" w:hAnsi="Arial" w:cs="Arial"/>
          <w:sz w:val="24"/>
          <w:szCs w:val="24"/>
        </w:rPr>
      </w:pPr>
      <w:r w:rsidRPr="00F43773">
        <w:rPr>
          <w:rFonts w:ascii="Arial" w:hAnsi="Arial" w:cs="Arial"/>
          <w:sz w:val="24"/>
          <w:szCs w:val="24"/>
        </w:rPr>
        <w:t>Cremation: there are no legislati</w:t>
      </w:r>
      <w:r w:rsidR="009101CB" w:rsidRPr="00F43773">
        <w:rPr>
          <w:rFonts w:ascii="Arial" w:hAnsi="Arial" w:cs="Arial"/>
          <w:sz w:val="24"/>
          <w:szCs w:val="24"/>
        </w:rPr>
        <w:t>ve</w:t>
      </w:r>
      <w:r w:rsidRPr="00F43773">
        <w:rPr>
          <w:rFonts w:ascii="Arial" w:hAnsi="Arial" w:cs="Arial"/>
          <w:sz w:val="24"/>
          <w:szCs w:val="24"/>
        </w:rPr>
        <w:t xml:space="preserve"> requirements administered by the Ministry of Health relating to the disposal of cremated human ashes so these may be interred or scattered at the site.  </w:t>
      </w:r>
      <w:r w:rsidR="008837EA" w:rsidRPr="00F43773">
        <w:rPr>
          <w:rFonts w:ascii="Arial" w:hAnsi="Arial" w:cs="Arial"/>
          <w:sz w:val="24"/>
          <w:szCs w:val="24"/>
        </w:rPr>
        <w:t>However, p</w:t>
      </w:r>
      <w:r w:rsidR="00E136FD" w:rsidRPr="00F43773">
        <w:rPr>
          <w:rFonts w:ascii="Arial" w:hAnsi="Arial" w:cs="Arial"/>
          <w:sz w:val="24"/>
          <w:szCs w:val="24"/>
        </w:rPr>
        <w:t xml:space="preserve">ermission should </w:t>
      </w:r>
      <w:r w:rsidR="00076A4F" w:rsidRPr="00F43773">
        <w:rPr>
          <w:rFonts w:ascii="Arial" w:hAnsi="Arial" w:cs="Arial"/>
          <w:sz w:val="24"/>
          <w:szCs w:val="24"/>
        </w:rPr>
        <w:t xml:space="preserve">always </w:t>
      </w:r>
      <w:r w:rsidR="00E136FD" w:rsidRPr="00F43773">
        <w:rPr>
          <w:rFonts w:ascii="Arial" w:hAnsi="Arial" w:cs="Arial"/>
          <w:sz w:val="24"/>
          <w:szCs w:val="24"/>
        </w:rPr>
        <w:t xml:space="preserve">be sought from the landowners </w:t>
      </w:r>
      <w:r w:rsidR="008837EA" w:rsidRPr="00F43773">
        <w:rPr>
          <w:rFonts w:ascii="Arial" w:hAnsi="Arial" w:cs="Arial"/>
          <w:sz w:val="24"/>
          <w:szCs w:val="24"/>
        </w:rPr>
        <w:t>before disposing of ashes</w:t>
      </w:r>
      <w:r w:rsidR="004A6096" w:rsidRPr="00F43773">
        <w:rPr>
          <w:rFonts w:ascii="Arial" w:hAnsi="Arial" w:cs="Arial"/>
          <w:sz w:val="24"/>
          <w:szCs w:val="24"/>
        </w:rPr>
        <w:t xml:space="preserve">. </w:t>
      </w:r>
      <w:r w:rsidRPr="00F43773">
        <w:rPr>
          <w:rFonts w:ascii="Arial" w:hAnsi="Arial" w:cs="Arial"/>
          <w:sz w:val="24"/>
          <w:szCs w:val="24"/>
        </w:rPr>
        <w:t xml:space="preserve">Consultation with </w:t>
      </w:r>
      <w:r w:rsidR="00B56C68" w:rsidRPr="00F43773">
        <w:rPr>
          <w:rFonts w:ascii="Arial" w:hAnsi="Arial" w:cs="Arial"/>
          <w:sz w:val="24"/>
          <w:szCs w:val="24"/>
        </w:rPr>
        <w:t>the a</w:t>
      </w:r>
      <w:r w:rsidRPr="00F43773">
        <w:rPr>
          <w:rFonts w:ascii="Arial" w:hAnsi="Arial" w:cs="Arial"/>
          <w:sz w:val="24"/>
          <w:szCs w:val="24"/>
        </w:rPr>
        <w:t xml:space="preserve">ppropriate local iwi and/or hāpu representatives </w:t>
      </w:r>
      <w:r w:rsidR="00802BC5" w:rsidRPr="00F43773">
        <w:rPr>
          <w:rFonts w:ascii="Arial" w:hAnsi="Arial" w:cs="Arial"/>
          <w:sz w:val="24"/>
          <w:szCs w:val="24"/>
        </w:rPr>
        <w:t>should be undertaken before any disposal into waterways</w:t>
      </w:r>
      <w:r w:rsidRPr="00F43773">
        <w:rPr>
          <w:rFonts w:ascii="Arial" w:hAnsi="Arial" w:cs="Arial"/>
          <w:sz w:val="24"/>
          <w:szCs w:val="24"/>
        </w:rPr>
        <w:t>.</w:t>
      </w:r>
      <w:r w:rsidR="00802BC5" w:rsidRPr="00F43773">
        <w:rPr>
          <w:rFonts w:ascii="Arial" w:hAnsi="Arial" w:cs="Arial"/>
          <w:sz w:val="24"/>
          <w:szCs w:val="24"/>
        </w:rPr>
        <w:t xml:space="preserve"> The </w:t>
      </w:r>
      <w:r w:rsidR="00FB2591" w:rsidRPr="00F43773">
        <w:rPr>
          <w:rFonts w:ascii="Arial" w:hAnsi="Arial" w:cs="Arial"/>
          <w:sz w:val="24"/>
          <w:szCs w:val="24"/>
        </w:rPr>
        <w:t>local council may also have bylaws.</w:t>
      </w:r>
    </w:p>
    <w:p w14:paraId="51861C30" w14:textId="26572E83" w:rsidR="00324C6A" w:rsidRDefault="00B93E51" w:rsidP="009722AB">
      <w:pPr>
        <w:pStyle w:val="Heading1"/>
      </w:pPr>
      <w:r>
        <w:t xml:space="preserve">Requirements for an </w:t>
      </w:r>
      <w:r w:rsidR="00551363">
        <w:t>a</w:t>
      </w:r>
      <w:r>
        <w:t>pplication</w:t>
      </w:r>
    </w:p>
    <w:p w14:paraId="020AD9FB" w14:textId="79C980FF" w:rsidR="003B5B36" w:rsidRPr="00F43773" w:rsidRDefault="00634E8D" w:rsidP="00551363">
      <w:pPr>
        <w:pStyle w:val="NoSpacing"/>
        <w:rPr>
          <w:rFonts w:ascii="Arial" w:hAnsi="Arial" w:cs="Arial"/>
          <w:sz w:val="24"/>
          <w:szCs w:val="24"/>
        </w:rPr>
      </w:pPr>
      <w:r w:rsidRPr="00F43773">
        <w:rPr>
          <w:rFonts w:ascii="Arial" w:hAnsi="Arial" w:cs="Arial"/>
          <w:sz w:val="24"/>
          <w:szCs w:val="24"/>
        </w:rPr>
        <w:t>Applicants should submit their applications</w:t>
      </w:r>
      <w:r w:rsidR="00D24FEB" w:rsidRPr="00F43773">
        <w:rPr>
          <w:rFonts w:ascii="Arial" w:hAnsi="Arial" w:cs="Arial"/>
          <w:sz w:val="24"/>
          <w:szCs w:val="24"/>
        </w:rPr>
        <w:t xml:space="preserve"> </w:t>
      </w:r>
      <w:r w:rsidR="00E13537" w:rsidRPr="00F43773">
        <w:rPr>
          <w:rFonts w:ascii="Arial" w:hAnsi="Arial" w:cs="Arial"/>
          <w:sz w:val="24"/>
          <w:szCs w:val="24"/>
        </w:rPr>
        <w:t xml:space="preserve">to </w:t>
      </w:r>
      <w:r w:rsidR="00487A0C" w:rsidRPr="00F43773">
        <w:rPr>
          <w:rFonts w:ascii="Arial" w:hAnsi="Arial" w:cs="Arial"/>
          <w:sz w:val="24"/>
          <w:szCs w:val="24"/>
        </w:rPr>
        <w:t xml:space="preserve">their </w:t>
      </w:r>
      <w:r w:rsidR="00D24FEB" w:rsidRPr="00F43773">
        <w:rPr>
          <w:rFonts w:ascii="Arial" w:hAnsi="Arial" w:cs="Arial"/>
          <w:sz w:val="24"/>
          <w:szCs w:val="24"/>
        </w:rPr>
        <w:t xml:space="preserve">local office of </w:t>
      </w:r>
      <w:r w:rsidR="008978EC" w:rsidRPr="00F43773">
        <w:rPr>
          <w:rFonts w:ascii="Arial" w:hAnsi="Arial" w:cs="Arial"/>
          <w:sz w:val="24"/>
          <w:szCs w:val="24"/>
        </w:rPr>
        <w:t xml:space="preserve">National Public Health Service. </w:t>
      </w:r>
      <w:r w:rsidRPr="00F43773">
        <w:rPr>
          <w:rFonts w:ascii="Arial" w:hAnsi="Arial" w:cs="Arial"/>
          <w:sz w:val="24"/>
          <w:szCs w:val="24"/>
        </w:rPr>
        <w:t xml:space="preserve"> </w:t>
      </w:r>
      <w:r w:rsidR="00117977" w:rsidRPr="00F43773">
        <w:rPr>
          <w:rFonts w:ascii="Arial" w:hAnsi="Arial" w:cs="Arial"/>
          <w:sz w:val="24"/>
          <w:szCs w:val="24"/>
        </w:rPr>
        <w:t xml:space="preserve">Each </w:t>
      </w:r>
      <w:r w:rsidR="00551363" w:rsidRPr="00F43773">
        <w:rPr>
          <w:rFonts w:ascii="Arial" w:hAnsi="Arial" w:cs="Arial"/>
          <w:sz w:val="24"/>
          <w:szCs w:val="24"/>
        </w:rPr>
        <w:t xml:space="preserve">application for burial in a special place is considered on its own merits based on the </w:t>
      </w:r>
      <w:r w:rsidR="00E05C80" w:rsidRPr="00F43773">
        <w:rPr>
          <w:rFonts w:ascii="Arial" w:hAnsi="Arial" w:cs="Arial"/>
          <w:sz w:val="24"/>
          <w:szCs w:val="24"/>
        </w:rPr>
        <w:t xml:space="preserve">information provided </w:t>
      </w:r>
      <w:r w:rsidR="00551363" w:rsidRPr="00F43773">
        <w:rPr>
          <w:rFonts w:ascii="Arial" w:hAnsi="Arial" w:cs="Arial"/>
          <w:sz w:val="24"/>
          <w:szCs w:val="24"/>
        </w:rPr>
        <w:t xml:space="preserve">in the application, and the accompanying report provided by a local health protection officer.  </w:t>
      </w:r>
    </w:p>
    <w:p w14:paraId="3228743A" w14:textId="3D40CFB3" w:rsidR="00551363" w:rsidRPr="00F43773" w:rsidRDefault="00573E6D" w:rsidP="00551363">
      <w:pPr>
        <w:pStyle w:val="NoSpacing"/>
        <w:rPr>
          <w:rFonts w:ascii="Arial" w:hAnsi="Arial" w:cs="Arial"/>
          <w:sz w:val="24"/>
          <w:szCs w:val="24"/>
        </w:rPr>
      </w:pPr>
      <w:r w:rsidRPr="00F43773">
        <w:rPr>
          <w:rFonts w:ascii="Arial" w:hAnsi="Arial" w:cs="Arial"/>
          <w:sz w:val="24"/>
          <w:szCs w:val="24"/>
        </w:rPr>
        <w:lastRenderedPageBreak/>
        <w:t xml:space="preserve">When providing the </w:t>
      </w:r>
      <w:r w:rsidR="00551363" w:rsidRPr="00F43773">
        <w:rPr>
          <w:rFonts w:ascii="Arial" w:hAnsi="Arial" w:cs="Arial"/>
          <w:sz w:val="24"/>
          <w:szCs w:val="24"/>
        </w:rPr>
        <w:t>application for burial in a special place, the health protection officer should ensure the following information is provided either in the application or in the</w:t>
      </w:r>
      <w:r w:rsidR="00F80FA0" w:rsidRPr="00F43773">
        <w:rPr>
          <w:rFonts w:ascii="Arial" w:hAnsi="Arial" w:cs="Arial"/>
          <w:sz w:val="24"/>
          <w:szCs w:val="24"/>
        </w:rPr>
        <w:t xml:space="preserve">ir accompanying </w:t>
      </w:r>
      <w:r w:rsidR="00551363" w:rsidRPr="00F43773">
        <w:rPr>
          <w:rFonts w:ascii="Arial" w:hAnsi="Arial" w:cs="Arial"/>
          <w:sz w:val="24"/>
          <w:szCs w:val="24"/>
        </w:rPr>
        <w:t>report.</w:t>
      </w:r>
      <w:r w:rsidR="008133D7" w:rsidRPr="00F43773">
        <w:rPr>
          <w:rFonts w:ascii="Arial" w:hAnsi="Arial" w:cs="Arial"/>
          <w:sz w:val="24"/>
          <w:szCs w:val="24"/>
        </w:rPr>
        <w:t xml:space="preserve"> </w:t>
      </w:r>
      <w:r w:rsidR="00551363" w:rsidRPr="00F43773">
        <w:rPr>
          <w:rFonts w:ascii="Arial" w:hAnsi="Arial" w:cs="Arial"/>
          <w:sz w:val="24"/>
          <w:szCs w:val="24"/>
        </w:rPr>
        <w:t>A clear recommendation on the application should also be included by the health protection officer.</w:t>
      </w:r>
    </w:p>
    <w:tbl>
      <w:tblPr>
        <w:tblW w:w="9356" w:type="dxa"/>
        <w:tblLayout w:type="fixed"/>
        <w:tblCellMar>
          <w:left w:w="107" w:type="dxa"/>
          <w:right w:w="107" w:type="dxa"/>
        </w:tblCellMar>
        <w:tblLook w:val="0000" w:firstRow="0" w:lastRow="0" w:firstColumn="0" w:lastColumn="0" w:noHBand="0" w:noVBand="0"/>
      </w:tblPr>
      <w:tblGrid>
        <w:gridCol w:w="1985"/>
        <w:gridCol w:w="7371"/>
      </w:tblGrid>
      <w:tr w:rsidR="00EB79F3" w:rsidRPr="00F43773" w14:paraId="0F1634F6" w14:textId="77777777" w:rsidTr="00F43773">
        <w:trPr>
          <w:cantSplit/>
        </w:trPr>
        <w:tc>
          <w:tcPr>
            <w:tcW w:w="1985" w:type="dxa"/>
          </w:tcPr>
          <w:p w14:paraId="32514081" w14:textId="77777777" w:rsidR="00A02820" w:rsidRPr="00F43773" w:rsidRDefault="00A02820" w:rsidP="00A02820">
            <w:pPr>
              <w:pStyle w:val="half"/>
              <w:overflowPunct/>
              <w:autoSpaceDE/>
              <w:autoSpaceDN/>
              <w:adjustRightInd/>
              <w:spacing w:line="240" w:lineRule="auto"/>
              <w:textAlignment w:val="auto"/>
              <w:rPr>
                <w:rFonts w:ascii="Arial" w:hAnsi="Arial" w:cs="Arial"/>
                <w:szCs w:val="24"/>
                <w:lang w:val="en-NZ"/>
              </w:rPr>
            </w:pPr>
          </w:p>
          <w:p w14:paraId="5FE8A126" w14:textId="6300D752" w:rsidR="00EB79F3" w:rsidRPr="00F43773" w:rsidRDefault="00EB79F3" w:rsidP="00EC1EA2">
            <w:pPr>
              <w:rPr>
                <w:rFonts w:ascii="Arial" w:hAnsi="Arial" w:cs="Arial"/>
                <w:sz w:val="24"/>
                <w:szCs w:val="24"/>
              </w:rPr>
            </w:pPr>
            <w:r w:rsidRPr="00F43773">
              <w:rPr>
                <w:rFonts w:ascii="Arial" w:hAnsi="Arial" w:cs="Arial"/>
                <w:b/>
                <w:i/>
                <w:sz w:val="24"/>
                <w:szCs w:val="24"/>
              </w:rPr>
              <w:t>Evidence of exceptional circumstances</w:t>
            </w:r>
          </w:p>
        </w:tc>
        <w:tc>
          <w:tcPr>
            <w:tcW w:w="7371" w:type="dxa"/>
          </w:tcPr>
          <w:p w14:paraId="48D5C9C9" w14:textId="77777777" w:rsidR="00A02820" w:rsidRPr="00F43773" w:rsidRDefault="00A02820" w:rsidP="009D7648">
            <w:pPr>
              <w:pStyle w:val="half"/>
              <w:overflowPunct/>
              <w:autoSpaceDE/>
              <w:autoSpaceDN/>
              <w:adjustRightInd/>
              <w:spacing w:line="240" w:lineRule="auto"/>
              <w:textAlignment w:val="auto"/>
              <w:rPr>
                <w:rFonts w:ascii="Arial" w:hAnsi="Arial" w:cs="Arial"/>
                <w:szCs w:val="24"/>
                <w:lang w:val="en-NZ"/>
              </w:rPr>
            </w:pPr>
          </w:p>
          <w:p w14:paraId="7A7B28EF" w14:textId="35A9A96F" w:rsidR="00EB79F3" w:rsidRPr="00F43773" w:rsidRDefault="00EB79F3" w:rsidP="009D7648">
            <w:pPr>
              <w:pStyle w:val="half"/>
              <w:overflowPunct/>
              <w:autoSpaceDE/>
              <w:autoSpaceDN/>
              <w:adjustRightInd/>
              <w:spacing w:line="240" w:lineRule="auto"/>
              <w:textAlignment w:val="auto"/>
              <w:rPr>
                <w:rFonts w:ascii="Arial" w:hAnsi="Arial" w:cs="Arial"/>
                <w:szCs w:val="24"/>
                <w:lang w:val="en-NZ"/>
              </w:rPr>
            </w:pPr>
            <w:r w:rsidRPr="00F43773">
              <w:rPr>
                <w:rFonts w:ascii="Arial" w:hAnsi="Arial" w:cs="Arial"/>
                <w:szCs w:val="24"/>
                <w:lang w:val="en-NZ"/>
              </w:rPr>
              <w:t>The application must clearly state the applicant’s association with the land and demonstrate the exceptional circumstances which make the burial particularly appropriate at that site.</w:t>
            </w:r>
          </w:p>
          <w:p w14:paraId="3C94726B" w14:textId="77777777" w:rsidR="009D7648" w:rsidRPr="00F43773" w:rsidRDefault="009D7648" w:rsidP="009D7648">
            <w:pPr>
              <w:pStyle w:val="half"/>
              <w:overflowPunct/>
              <w:autoSpaceDE/>
              <w:autoSpaceDN/>
              <w:adjustRightInd/>
              <w:spacing w:line="240" w:lineRule="auto"/>
              <w:textAlignment w:val="auto"/>
              <w:rPr>
                <w:rFonts w:ascii="Arial" w:hAnsi="Arial" w:cs="Arial"/>
                <w:szCs w:val="24"/>
                <w:lang w:val="en-NZ"/>
              </w:rPr>
            </w:pPr>
          </w:p>
          <w:p w14:paraId="2A776E61" w14:textId="77777777" w:rsidR="00EB79F3" w:rsidRPr="00F43773" w:rsidRDefault="00EB79F3" w:rsidP="00EC1EA2">
            <w:pPr>
              <w:jc w:val="both"/>
              <w:rPr>
                <w:rFonts w:ascii="Arial" w:hAnsi="Arial" w:cs="Arial"/>
                <w:i/>
                <w:iCs/>
                <w:kern w:val="0"/>
                <w:sz w:val="24"/>
                <w:szCs w:val="24"/>
              </w:rPr>
            </w:pPr>
            <w:r w:rsidRPr="00F43773">
              <w:rPr>
                <w:rFonts w:ascii="Arial" w:hAnsi="Arial" w:cs="Arial"/>
                <w:sz w:val="24"/>
                <w:szCs w:val="24"/>
              </w:rPr>
              <w:t>‘</w:t>
            </w:r>
            <w:r w:rsidRPr="00F43773">
              <w:rPr>
                <w:rFonts w:ascii="Arial" w:hAnsi="Arial" w:cs="Arial"/>
                <w:kern w:val="0"/>
                <w:sz w:val="24"/>
                <w:szCs w:val="24"/>
              </w:rPr>
              <w:t xml:space="preserve">Exceptional’ is defined as unusual, not typical, unusually good, outstanding </w:t>
            </w:r>
            <w:r w:rsidRPr="00F43773">
              <w:rPr>
                <w:rFonts w:ascii="Arial" w:hAnsi="Arial" w:cs="Arial"/>
                <w:i/>
                <w:iCs/>
                <w:kern w:val="0"/>
                <w:sz w:val="24"/>
                <w:szCs w:val="24"/>
              </w:rPr>
              <w:t>(Concise Oxford Dictionary 1990).</w:t>
            </w:r>
          </w:p>
          <w:p w14:paraId="1571C256" w14:textId="099AD8DE" w:rsidR="00EB79F3" w:rsidRPr="00F43773" w:rsidRDefault="00BE5824" w:rsidP="009D7648">
            <w:pPr>
              <w:pStyle w:val="half"/>
              <w:overflowPunct/>
              <w:autoSpaceDE/>
              <w:autoSpaceDN/>
              <w:adjustRightInd/>
              <w:spacing w:line="240" w:lineRule="auto"/>
              <w:textAlignment w:val="auto"/>
              <w:rPr>
                <w:rFonts w:ascii="Arial" w:hAnsi="Arial" w:cs="Arial"/>
                <w:szCs w:val="24"/>
                <w:lang w:val="en-NZ"/>
              </w:rPr>
            </w:pPr>
            <w:r w:rsidRPr="00F43773">
              <w:rPr>
                <w:rFonts w:ascii="Arial" w:hAnsi="Arial" w:cs="Arial"/>
                <w:szCs w:val="24"/>
                <w:lang w:val="en-NZ"/>
              </w:rPr>
              <w:t>S</w:t>
            </w:r>
            <w:r w:rsidR="00EB79F3" w:rsidRPr="00F43773">
              <w:rPr>
                <w:rFonts w:ascii="Arial" w:hAnsi="Arial" w:cs="Arial"/>
                <w:szCs w:val="24"/>
                <w:lang w:val="en-NZ"/>
              </w:rPr>
              <w:t xml:space="preserve">ection 48 of the Act </w:t>
            </w:r>
            <w:r w:rsidRPr="00F43773">
              <w:rPr>
                <w:rFonts w:ascii="Arial" w:hAnsi="Arial" w:cs="Arial"/>
                <w:szCs w:val="24"/>
                <w:lang w:val="en-NZ"/>
              </w:rPr>
              <w:t xml:space="preserve">is </w:t>
            </w:r>
            <w:r w:rsidR="00EB79F3" w:rsidRPr="00F43773">
              <w:rPr>
                <w:rFonts w:ascii="Arial" w:hAnsi="Arial" w:cs="Arial"/>
                <w:szCs w:val="24"/>
                <w:lang w:val="en-NZ"/>
              </w:rPr>
              <w:t>intend</w:t>
            </w:r>
            <w:r w:rsidRPr="00F43773">
              <w:rPr>
                <w:rFonts w:ascii="Arial" w:hAnsi="Arial" w:cs="Arial"/>
                <w:szCs w:val="24"/>
                <w:lang w:val="en-NZ"/>
              </w:rPr>
              <w:t>ed</w:t>
            </w:r>
            <w:r w:rsidR="00E12B9D" w:rsidRPr="00F43773">
              <w:rPr>
                <w:rFonts w:ascii="Arial" w:hAnsi="Arial" w:cs="Arial"/>
                <w:szCs w:val="24"/>
                <w:lang w:val="en-NZ"/>
              </w:rPr>
              <w:t xml:space="preserve"> </w:t>
            </w:r>
            <w:r w:rsidR="00EB79F3" w:rsidRPr="00F43773">
              <w:rPr>
                <w:rFonts w:ascii="Arial" w:hAnsi="Arial" w:cs="Arial"/>
                <w:szCs w:val="24"/>
                <w:lang w:val="en-NZ"/>
              </w:rPr>
              <w:t xml:space="preserve">to provide for the burial of public notables whose deeds </w:t>
            </w:r>
            <w:r w:rsidRPr="00F43773">
              <w:rPr>
                <w:rFonts w:ascii="Arial" w:hAnsi="Arial" w:cs="Arial"/>
                <w:szCs w:val="24"/>
                <w:lang w:val="en-NZ"/>
              </w:rPr>
              <w:t xml:space="preserve">are </w:t>
            </w:r>
            <w:r w:rsidR="00EB79F3" w:rsidRPr="00F43773">
              <w:rPr>
                <w:rFonts w:ascii="Arial" w:hAnsi="Arial" w:cs="Arial"/>
                <w:szCs w:val="24"/>
                <w:lang w:val="en-NZ"/>
              </w:rPr>
              <w:t>of national significance. Therefore, an association with the land and/or activities which are of national significance will demonstrate exceptional circumstances.</w:t>
            </w:r>
          </w:p>
          <w:p w14:paraId="7A5F7B29" w14:textId="77777777" w:rsidR="009D7648" w:rsidRPr="00F43773" w:rsidRDefault="009D7648" w:rsidP="009D7648">
            <w:pPr>
              <w:pStyle w:val="half"/>
              <w:overflowPunct/>
              <w:autoSpaceDE/>
              <w:autoSpaceDN/>
              <w:adjustRightInd/>
              <w:spacing w:line="240" w:lineRule="auto"/>
              <w:textAlignment w:val="auto"/>
              <w:rPr>
                <w:rFonts w:ascii="Arial" w:hAnsi="Arial" w:cs="Arial"/>
                <w:szCs w:val="24"/>
                <w:lang w:val="en-NZ"/>
              </w:rPr>
            </w:pPr>
          </w:p>
          <w:p w14:paraId="51264A4C" w14:textId="147E620A" w:rsidR="00EB79F3" w:rsidRPr="00F43773" w:rsidRDefault="00EB79F3" w:rsidP="009D7648">
            <w:pPr>
              <w:pStyle w:val="half"/>
              <w:overflowPunct/>
              <w:autoSpaceDE/>
              <w:autoSpaceDN/>
              <w:adjustRightInd/>
              <w:spacing w:line="240" w:lineRule="auto"/>
              <w:textAlignment w:val="auto"/>
              <w:rPr>
                <w:rFonts w:ascii="Arial" w:hAnsi="Arial" w:cs="Arial"/>
                <w:szCs w:val="24"/>
                <w:lang w:val="en-NZ"/>
              </w:rPr>
            </w:pPr>
            <w:r w:rsidRPr="00F43773">
              <w:rPr>
                <w:rFonts w:ascii="Arial" w:hAnsi="Arial" w:cs="Arial"/>
                <w:szCs w:val="24"/>
                <w:lang w:val="en-NZ"/>
              </w:rPr>
              <w:t>Where applications relate to an association with the land</w:t>
            </w:r>
            <w:r w:rsidR="003F7C36" w:rsidRPr="00F43773">
              <w:rPr>
                <w:rFonts w:ascii="Arial" w:hAnsi="Arial" w:cs="Arial"/>
                <w:szCs w:val="24"/>
                <w:lang w:val="en-NZ"/>
              </w:rPr>
              <w:t>,</w:t>
            </w:r>
            <w:r w:rsidRPr="00F43773">
              <w:rPr>
                <w:rFonts w:ascii="Arial" w:hAnsi="Arial" w:cs="Arial"/>
                <w:szCs w:val="24"/>
                <w:lang w:val="en-NZ"/>
              </w:rPr>
              <w:t xml:space="preserve"> the deceased should have had a lengthy, specific</w:t>
            </w:r>
            <w:r w:rsidR="00DD28B7" w:rsidRPr="00F43773">
              <w:rPr>
                <w:rFonts w:ascii="Arial" w:hAnsi="Arial" w:cs="Arial"/>
                <w:szCs w:val="24"/>
                <w:lang w:val="en-NZ"/>
              </w:rPr>
              <w:t>,</w:t>
            </w:r>
            <w:r w:rsidRPr="00F43773">
              <w:rPr>
                <w:rFonts w:ascii="Arial" w:hAnsi="Arial" w:cs="Arial"/>
                <w:szCs w:val="24"/>
                <w:lang w:val="en-NZ"/>
              </w:rPr>
              <w:t xml:space="preserve"> and personal association with the proposed burial site.  The association and related matters must be so special that they equate to exceptional circumstances.</w:t>
            </w:r>
          </w:p>
          <w:p w14:paraId="68CBF550" w14:textId="77777777" w:rsidR="009D7648" w:rsidRPr="00F43773" w:rsidRDefault="009D7648" w:rsidP="009D7648">
            <w:pPr>
              <w:pStyle w:val="half"/>
              <w:overflowPunct/>
              <w:autoSpaceDE/>
              <w:autoSpaceDN/>
              <w:adjustRightInd/>
              <w:spacing w:line="240" w:lineRule="auto"/>
              <w:textAlignment w:val="auto"/>
              <w:rPr>
                <w:rFonts w:ascii="Arial" w:hAnsi="Arial" w:cs="Arial"/>
                <w:szCs w:val="24"/>
                <w:lang w:val="en-NZ"/>
              </w:rPr>
            </w:pPr>
          </w:p>
          <w:p w14:paraId="16B17B20" w14:textId="00A37179" w:rsidR="00EB79F3" w:rsidRPr="00F43773" w:rsidRDefault="00EB79F3" w:rsidP="00C21995">
            <w:pPr>
              <w:pStyle w:val="half"/>
              <w:overflowPunct/>
              <w:autoSpaceDE/>
              <w:autoSpaceDN/>
              <w:adjustRightInd/>
              <w:spacing w:line="240" w:lineRule="auto"/>
              <w:textAlignment w:val="auto"/>
              <w:rPr>
                <w:rFonts w:ascii="Arial" w:hAnsi="Arial" w:cs="Arial"/>
                <w:szCs w:val="24"/>
              </w:rPr>
            </w:pPr>
            <w:r w:rsidRPr="00F43773">
              <w:rPr>
                <w:rFonts w:ascii="Arial" w:hAnsi="Arial" w:cs="Arial"/>
                <w:szCs w:val="24"/>
                <w:lang w:val="en-NZ"/>
              </w:rPr>
              <w:t>Precedents have included persons that have lived and worked virtually their entire life on the land.  However, a long association with the land by itself is not enough</w:t>
            </w:r>
            <w:r w:rsidR="006A7640" w:rsidRPr="00F43773">
              <w:rPr>
                <w:rFonts w:ascii="Arial" w:hAnsi="Arial" w:cs="Arial"/>
                <w:szCs w:val="24"/>
                <w:lang w:val="en-NZ"/>
              </w:rPr>
              <w:t xml:space="preserve"> in its own right</w:t>
            </w:r>
            <w:r w:rsidRPr="00F43773">
              <w:rPr>
                <w:rFonts w:ascii="Arial" w:hAnsi="Arial" w:cs="Arial"/>
                <w:szCs w:val="24"/>
                <w:lang w:val="en-NZ"/>
              </w:rPr>
              <w:t>, and must be accompanied by other circumstances that make the association with the land being exceptional.</w:t>
            </w:r>
          </w:p>
          <w:p w14:paraId="4B477311" w14:textId="77777777" w:rsidR="00C21995" w:rsidRPr="00F43773" w:rsidRDefault="00C21995" w:rsidP="00C21995">
            <w:pPr>
              <w:pStyle w:val="half"/>
              <w:overflowPunct/>
              <w:autoSpaceDE/>
              <w:autoSpaceDN/>
              <w:adjustRightInd/>
              <w:spacing w:line="240" w:lineRule="auto"/>
              <w:textAlignment w:val="auto"/>
              <w:rPr>
                <w:rFonts w:ascii="Arial" w:hAnsi="Arial" w:cs="Arial"/>
                <w:szCs w:val="24"/>
              </w:rPr>
            </w:pPr>
          </w:p>
        </w:tc>
      </w:tr>
      <w:tr w:rsidR="00EB79F3" w:rsidRPr="00F43773" w14:paraId="1EA4D814" w14:textId="77777777" w:rsidTr="00F43773">
        <w:trPr>
          <w:cantSplit/>
        </w:trPr>
        <w:tc>
          <w:tcPr>
            <w:tcW w:w="1985" w:type="dxa"/>
          </w:tcPr>
          <w:p w14:paraId="46E7FC6D" w14:textId="77777777" w:rsidR="00F43773" w:rsidRDefault="00F43773" w:rsidP="00EC1EA2">
            <w:pPr>
              <w:pStyle w:val="MoHHeading3"/>
              <w:rPr>
                <w:rFonts w:ascii="Arial" w:hAnsi="Arial" w:cs="Arial"/>
              </w:rPr>
            </w:pPr>
          </w:p>
          <w:p w14:paraId="61FA766A" w14:textId="3B9B1100" w:rsidR="00EB79F3" w:rsidRPr="00F43773" w:rsidRDefault="00EB79F3" w:rsidP="00EC1EA2">
            <w:pPr>
              <w:pStyle w:val="MoHHeading3"/>
              <w:rPr>
                <w:rFonts w:ascii="Arial" w:hAnsi="Arial" w:cs="Arial"/>
              </w:rPr>
            </w:pPr>
            <w:r w:rsidRPr="00F43773">
              <w:rPr>
                <w:rFonts w:ascii="Arial" w:hAnsi="Arial" w:cs="Arial"/>
              </w:rPr>
              <w:t>Resource Management Act</w:t>
            </w:r>
          </w:p>
        </w:tc>
        <w:tc>
          <w:tcPr>
            <w:tcW w:w="7371" w:type="dxa"/>
          </w:tcPr>
          <w:p w14:paraId="18462C2D" w14:textId="77777777" w:rsidR="00EB79F3" w:rsidRPr="00F43773" w:rsidRDefault="00EB79F3" w:rsidP="002B3A2A">
            <w:pPr>
              <w:pStyle w:val="half"/>
              <w:overflowPunct/>
              <w:autoSpaceDE/>
              <w:autoSpaceDN/>
              <w:adjustRightInd/>
              <w:spacing w:line="240" w:lineRule="auto"/>
              <w:textAlignment w:val="auto"/>
              <w:rPr>
                <w:rFonts w:ascii="Arial" w:hAnsi="Arial" w:cs="Arial"/>
                <w:szCs w:val="24"/>
                <w:lang w:val="en-NZ"/>
              </w:rPr>
            </w:pPr>
            <w:r w:rsidRPr="00F43773">
              <w:rPr>
                <w:rFonts w:ascii="Arial" w:hAnsi="Arial" w:cs="Arial"/>
                <w:szCs w:val="24"/>
                <w:lang w:val="en-NZ"/>
              </w:rPr>
              <w:t>The applicant must show that there has been consultation with the territorial authority as to whether a resource consent is required for the burial in terms of the district plan, and assurance that any bylaws and Council policies have been complied with.  If a resource consent is required</w:t>
            </w:r>
            <w:r w:rsidR="002B3A2A" w:rsidRPr="00F43773">
              <w:rPr>
                <w:rFonts w:ascii="Arial" w:hAnsi="Arial" w:cs="Arial"/>
                <w:szCs w:val="24"/>
                <w:lang w:val="en-NZ"/>
              </w:rPr>
              <w:t>, it must be obtained before the application can be considered.</w:t>
            </w:r>
          </w:p>
          <w:p w14:paraId="1CAC722D" w14:textId="260E93BB" w:rsidR="002B3A2A" w:rsidRPr="00F43773" w:rsidRDefault="002B3A2A" w:rsidP="002B3A2A">
            <w:pPr>
              <w:pStyle w:val="half"/>
              <w:overflowPunct/>
              <w:autoSpaceDE/>
              <w:autoSpaceDN/>
              <w:adjustRightInd/>
              <w:spacing w:line="240" w:lineRule="auto"/>
              <w:textAlignment w:val="auto"/>
              <w:rPr>
                <w:rFonts w:ascii="Arial" w:hAnsi="Arial" w:cs="Arial"/>
                <w:szCs w:val="24"/>
                <w:lang w:val="en-NZ"/>
              </w:rPr>
            </w:pPr>
          </w:p>
        </w:tc>
      </w:tr>
      <w:tr w:rsidR="00EB79F3" w:rsidRPr="00F43773" w14:paraId="25DB5A06" w14:textId="77777777" w:rsidTr="00F43773">
        <w:trPr>
          <w:cantSplit/>
        </w:trPr>
        <w:tc>
          <w:tcPr>
            <w:tcW w:w="1985" w:type="dxa"/>
          </w:tcPr>
          <w:p w14:paraId="6D34F345" w14:textId="77777777" w:rsidR="00EB79F3" w:rsidRPr="00F43773" w:rsidRDefault="00EB79F3" w:rsidP="00EC1EA2">
            <w:pPr>
              <w:pStyle w:val="MoHHeading3"/>
              <w:rPr>
                <w:rFonts w:ascii="Arial" w:hAnsi="Arial" w:cs="Arial"/>
              </w:rPr>
            </w:pPr>
            <w:r w:rsidRPr="00F43773">
              <w:rPr>
                <w:rFonts w:ascii="Arial" w:hAnsi="Arial" w:cs="Arial"/>
              </w:rPr>
              <w:t>Certificate of Title and the Land Information Memorandum</w:t>
            </w:r>
          </w:p>
          <w:p w14:paraId="350245CB" w14:textId="77777777" w:rsidR="001F6194" w:rsidRPr="00F43773" w:rsidRDefault="001F6194" w:rsidP="00EC1EA2">
            <w:pPr>
              <w:pStyle w:val="MoHHeading3"/>
              <w:rPr>
                <w:rFonts w:ascii="Arial" w:hAnsi="Arial" w:cs="Arial"/>
              </w:rPr>
            </w:pPr>
          </w:p>
        </w:tc>
        <w:tc>
          <w:tcPr>
            <w:tcW w:w="7371" w:type="dxa"/>
          </w:tcPr>
          <w:p w14:paraId="333C3E02" w14:textId="35958A17" w:rsidR="00EB79F3" w:rsidRPr="00F43773" w:rsidRDefault="00EB79F3" w:rsidP="00EC1EA2">
            <w:pPr>
              <w:pStyle w:val="half"/>
              <w:overflowPunct/>
              <w:autoSpaceDE/>
              <w:autoSpaceDN/>
              <w:adjustRightInd/>
              <w:spacing w:line="240" w:lineRule="auto"/>
              <w:textAlignment w:val="auto"/>
              <w:rPr>
                <w:rFonts w:ascii="Arial" w:hAnsi="Arial" w:cs="Arial"/>
                <w:szCs w:val="24"/>
                <w:lang w:val="en-NZ"/>
              </w:rPr>
            </w:pPr>
            <w:r w:rsidRPr="00F43773">
              <w:rPr>
                <w:rFonts w:ascii="Arial" w:hAnsi="Arial" w:cs="Arial"/>
                <w:szCs w:val="24"/>
                <w:lang w:val="en-NZ"/>
              </w:rPr>
              <w:t xml:space="preserve">The applicant must show evidence that the proposed burial site will be included in the Certificate of Title by </w:t>
            </w:r>
            <w:r w:rsidR="00FB2591" w:rsidRPr="00F43773">
              <w:rPr>
                <w:rFonts w:ascii="Arial" w:hAnsi="Arial" w:cs="Arial"/>
                <w:szCs w:val="24"/>
                <w:lang w:val="en-NZ"/>
              </w:rPr>
              <w:t xml:space="preserve">way </w:t>
            </w:r>
            <w:r w:rsidRPr="00F43773">
              <w:rPr>
                <w:rFonts w:ascii="Arial" w:hAnsi="Arial" w:cs="Arial"/>
                <w:szCs w:val="24"/>
                <w:lang w:val="en-NZ"/>
              </w:rPr>
              <w:t>of caveat as well as the territorial authority’s Land Information Memorandum.</w:t>
            </w:r>
          </w:p>
          <w:p w14:paraId="52E3185A" w14:textId="77777777" w:rsidR="00EB79F3" w:rsidRPr="00F43773" w:rsidRDefault="00EB79F3" w:rsidP="00EC1EA2">
            <w:pPr>
              <w:pStyle w:val="half"/>
              <w:overflowPunct/>
              <w:autoSpaceDE/>
              <w:autoSpaceDN/>
              <w:adjustRightInd/>
              <w:spacing w:line="240" w:lineRule="auto"/>
              <w:textAlignment w:val="auto"/>
              <w:rPr>
                <w:rFonts w:ascii="Arial" w:hAnsi="Arial" w:cs="Arial"/>
                <w:szCs w:val="24"/>
                <w:lang w:val="en-NZ"/>
              </w:rPr>
            </w:pPr>
          </w:p>
          <w:p w14:paraId="59D39A82" w14:textId="4136157C" w:rsidR="002B3A2A" w:rsidRPr="00F43773" w:rsidRDefault="002B3A2A" w:rsidP="00EC1EA2">
            <w:pPr>
              <w:pStyle w:val="half"/>
              <w:overflowPunct/>
              <w:autoSpaceDE/>
              <w:autoSpaceDN/>
              <w:adjustRightInd/>
              <w:spacing w:line="240" w:lineRule="auto"/>
              <w:textAlignment w:val="auto"/>
              <w:rPr>
                <w:rFonts w:ascii="Arial" w:hAnsi="Arial" w:cs="Arial"/>
                <w:szCs w:val="24"/>
                <w:lang w:val="en-NZ"/>
              </w:rPr>
            </w:pPr>
          </w:p>
        </w:tc>
      </w:tr>
      <w:tr w:rsidR="00EB79F3" w:rsidRPr="00F43773" w14:paraId="518BC2AC" w14:textId="77777777" w:rsidTr="00F43773">
        <w:trPr>
          <w:cantSplit/>
        </w:trPr>
        <w:tc>
          <w:tcPr>
            <w:tcW w:w="1985" w:type="dxa"/>
          </w:tcPr>
          <w:p w14:paraId="6B196820" w14:textId="77777777" w:rsidR="00EB79F3" w:rsidRPr="00F43773" w:rsidRDefault="00EB79F3" w:rsidP="00EC1EA2">
            <w:pPr>
              <w:rPr>
                <w:rFonts w:ascii="Arial" w:hAnsi="Arial" w:cs="Arial"/>
                <w:sz w:val="24"/>
                <w:szCs w:val="24"/>
              </w:rPr>
            </w:pPr>
            <w:r w:rsidRPr="00F43773">
              <w:rPr>
                <w:rFonts w:ascii="Arial" w:hAnsi="Arial" w:cs="Arial"/>
                <w:b/>
                <w:i/>
                <w:sz w:val="24"/>
                <w:szCs w:val="24"/>
              </w:rPr>
              <w:t>Ownership</w:t>
            </w:r>
          </w:p>
        </w:tc>
        <w:tc>
          <w:tcPr>
            <w:tcW w:w="7371" w:type="dxa"/>
          </w:tcPr>
          <w:p w14:paraId="04692A63" w14:textId="136EB683" w:rsidR="00EB79F3" w:rsidRPr="00F43773" w:rsidRDefault="00EB79F3" w:rsidP="001F6194">
            <w:pPr>
              <w:jc w:val="both"/>
              <w:rPr>
                <w:rFonts w:ascii="Arial" w:hAnsi="Arial" w:cs="Arial"/>
                <w:b/>
                <w:sz w:val="24"/>
                <w:szCs w:val="24"/>
              </w:rPr>
            </w:pPr>
            <w:r w:rsidRPr="00F43773">
              <w:rPr>
                <w:rFonts w:ascii="Arial" w:hAnsi="Arial" w:cs="Arial"/>
                <w:sz w:val="24"/>
                <w:szCs w:val="24"/>
              </w:rPr>
              <w:t>A history of ownership and written assurances that the family will retain the property is required</w:t>
            </w:r>
            <w:r w:rsidR="00927BF9" w:rsidRPr="00F43773">
              <w:rPr>
                <w:rFonts w:ascii="Arial" w:hAnsi="Arial" w:cs="Arial"/>
                <w:sz w:val="24"/>
                <w:szCs w:val="24"/>
              </w:rPr>
              <w:t>. F</w:t>
            </w:r>
            <w:r w:rsidR="001C6546" w:rsidRPr="00F43773">
              <w:rPr>
                <w:rFonts w:ascii="Arial" w:hAnsi="Arial" w:cs="Arial"/>
                <w:sz w:val="24"/>
                <w:szCs w:val="24"/>
              </w:rPr>
              <w:t>or example</w:t>
            </w:r>
            <w:r w:rsidR="00927BF9" w:rsidRPr="00F43773">
              <w:rPr>
                <w:rFonts w:ascii="Arial" w:hAnsi="Arial" w:cs="Arial"/>
                <w:sz w:val="24"/>
                <w:szCs w:val="24"/>
              </w:rPr>
              <w:t>,</w:t>
            </w:r>
            <w:r w:rsidR="001C6546" w:rsidRPr="00F43773">
              <w:rPr>
                <w:rFonts w:ascii="Arial" w:hAnsi="Arial" w:cs="Arial"/>
                <w:sz w:val="24"/>
                <w:szCs w:val="24"/>
              </w:rPr>
              <w:t xml:space="preserve"> </w:t>
            </w:r>
            <w:r w:rsidRPr="00F43773">
              <w:rPr>
                <w:rFonts w:ascii="Arial" w:hAnsi="Arial" w:cs="Arial"/>
                <w:sz w:val="24"/>
                <w:szCs w:val="24"/>
              </w:rPr>
              <w:t xml:space="preserve">arrangements </w:t>
            </w:r>
            <w:r w:rsidR="001C6546" w:rsidRPr="00F43773">
              <w:rPr>
                <w:rFonts w:ascii="Arial" w:hAnsi="Arial" w:cs="Arial"/>
                <w:sz w:val="24"/>
                <w:szCs w:val="24"/>
              </w:rPr>
              <w:t>such as</w:t>
            </w:r>
            <w:r w:rsidRPr="00F43773">
              <w:rPr>
                <w:rFonts w:ascii="Arial" w:hAnsi="Arial" w:cs="Arial"/>
                <w:sz w:val="24"/>
                <w:szCs w:val="24"/>
              </w:rPr>
              <w:t xml:space="preserve"> gifting the land to a trust.</w:t>
            </w:r>
          </w:p>
        </w:tc>
      </w:tr>
      <w:tr w:rsidR="00EB79F3" w:rsidRPr="00F43773" w14:paraId="296D6EC8" w14:textId="77777777" w:rsidTr="00F43773">
        <w:trPr>
          <w:cantSplit/>
        </w:trPr>
        <w:tc>
          <w:tcPr>
            <w:tcW w:w="1985" w:type="dxa"/>
          </w:tcPr>
          <w:p w14:paraId="79B82EDA" w14:textId="77777777" w:rsidR="00EB79F3" w:rsidRPr="00F43773" w:rsidRDefault="00EB79F3" w:rsidP="00EC1EA2">
            <w:pPr>
              <w:rPr>
                <w:rFonts w:ascii="Arial" w:hAnsi="Arial" w:cs="Arial"/>
                <w:b/>
                <w:i/>
                <w:sz w:val="24"/>
                <w:szCs w:val="24"/>
              </w:rPr>
            </w:pPr>
            <w:r w:rsidRPr="00F43773">
              <w:rPr>
                <w:rFonts w:ascii="Arial" w:hAnsi="Arial" w:cs="Arial"/>
                <w:b/>
                <w:i/>
                <w:sz w:val="24"/>
                <w:szCs w:val="24"/>
              </w:rPr>
              <w:t>Council approvals</w:t>
            </w:r>
          </w:p>
        </w:tc>
        <w:tc>
          <w:tcPr>
            <w:tcW w:w="7371" w:type="dxa"/>
          </w:tcPr>
          <w:p w14:paraId="1D1AD516" w14:textId="680A8DB2" w:rsidR="00EB79F3" w:rsidRPr="00F43773" w:rsidRDefault="00EB79F3" w:rsidP="001F6194">
            <w:pPr>
              <w:jc w:val="both"/>
              <w:rPr>
                <w:rFonts w:ascii="Arial" w:hAnsi="Arial" w:cs="Arial"/>
                <w:sz w:val="24"/>
                <w:szCs w:val="24"/>
              </w:rPr>
            </w:pPr>
            <w:r w:rsidRPr="00F43773">
              <w:rPr>
                <w:rFonts w:ascii="Arial" w:hAnsi="Arial" w:cs="Arial"/>
                <w:sz w:val="24"/>
                <w:szCs w:val="24"/>
              </w:rPr>
              <w:t>If the proposed place of burial is within a city</w:t>
            </w:r>
            <w:r w:rsidR="001C6546" w:rsidRPr="00F43773">
              <w:rPr>
                <w:rFonts w:ascii="Arial" w:hAnsi="Arial" w:cs="Arial"/>
                <w:sz w:val="24"/>
                <w:szCs w:val="24"/>
              </w:rPr>
              <w:t>,</w:t>
            </w:r>
            <w:r w:rsidRPr="00F43773">
              <w:rPr>
                <w:rFonts w:ascii="Arial" w:hAnsi="Arial" w:cs="Arial"/>
                <w:sz w:val="24"/>
                <w:szCs w:val="24"/>
              </w:rPr>
              <w:t xml:space="preserve"> </w:t>
            </w:r>
            <w:r w:rsidR="001C6546" w:rsidRPr="00F43773">
              <w:rPr>
                <w:rFonts w:ascii="Arial" w:hAnsi="Arial" w:cs="Arial"/>
                <w:sz w:val="24"/>
                <w:szCs w:val="24"/>
              </w:rPr>
              <w:t>o</w:t>
            </w:r>
            <w:r w:rsidRPr="00F43773">
              <w:rPr>
                <w:rFonts w:ascii="Arial" w:hAnsi="Arial" w:cs="Arial"/>
                <w:sz w:val="24"/>
                <w:szCs w:val="24"/>
              </w:rPr>
              <w:t xml:space="preserve">r part of the district </w:t>
            </w:r>
            <w:r w:rsidR="001C6546" w:rsidRPr="00F43773">
              <w:rPr>
                <w:rFonts w:ascii="Arial" w:hAnsi="Arial" w:cs="Arial"/>
                <w:sz w:val="24"/>
                <w:szCs w:val="24"/>
              </w:rPr>
              <w:t>o</w:t>
            </w:r>
            <w:r w:rsidRPr="00F43773">
              <w:rPr>
                <w:rFonts w:ascii="Arial" w:hAnsi="Arial" w:cs="Arial"/>
                <w:sz w:val="24"/>
                <w:szCs w:val="24"/>
              </w:rPr>
              <w:t>f a territorial authority which was formerly a city or borough or part of a city or borough, the sanction of the Mayor or two members of the governing body of the territorial authority (i</w:t>
            </w:r>
            <w:r w:rsidR="00DF5E87" w:rsidRPr="00F43773">
              <w:rPr>
                <w:rFonts w:ascii="Arial" w:hAnsi="Arial" w:cs="Arial"/>
                <w:sz w:val="24"/>
                <w:szCs w:val="24"/>
              </w:rPr>
              <w:t>.</w:t>
            </w:r>
            <w:r w:rsidRPr="00F43773">
              <w:rPr>
                <w:rFonts w:ascii="Arial" w:hAnsi="Arial" w:cs="Arial"/>
                <w:sz w:val="24"/>
                <w:szCs w:val="24"/>
              </w:rPr>
              <w:t>e</w:t>
            </w:r>
            <w:r w:rsidR="00DF5E87" w:rsidRPr="00F43773">
              <w:rPr>
                <w:rFonts w:ascii="Arial" w:hAnsi="Arial" w:cs="Arial"/>
                <w:sz w:val="24"/>
                <w:szCs w:val="24"/>
              </w:rPr>
              <w:t>.,</w:t>
            </w:r>
            <w:r w:rsidRPr="00F43773">
              <w:rPr>
                <w:rFonts w:ascii="Arial" w:hAnsi="Arial" w:cs="Arial"/>
                <w:sz w:val="24"/>
                <w:szCs w:val="24"/>
              </w:rPr>
              <w:t xml:space="preserve"> the Council) must be obtained.</w:t>
            </w:r>
          </w:p>
        </w:tc>
      </w:tr>
      <w:tr w:rsidR="00EB79F3" w:rsidRPr="00F43773" w14:paraId="71710824" w14:textId="77777777" w:rsidTr="00F43773">
        <w:trPr>
          <w:cantSplit/>
        </w:trPr>
        <w:tc>
          <w:tcPr>
            <w:tcW w:w="1985" w:type="dxa"/>
          </w:tcPr>
          <w:p w14:paraId="663FB490" w14:textId="77777777" w:rsidR="00EB79F3" w:rsidRPr="00F43773" w:rsidRDefault="00EB79F3" w:rsidP="00EC1EA2">
            <w:pPr>
              <w:rPr>
                <w:rFonts w:ascii="Arial" w:hAnsi="Arial" w:cs="Arial"/>
                <w:b/>
                <w:i/>
                <w:sz w:val="24"/>
                <w:szCs w:val="24"/>
              </w:rPr>
            </w:pPr>
            <w:r w:rsidRPr="00F43773">
              <w:rPr>
                <w:rFonts w:ascii="Arial" w:hAnsi="Arial" w:cs="Arial"/>
                <w:b/>
                <w:i/>
                <w:sz w:val="24"/>
                <w:szCs w:val="24"/>
              </w:rPr>
              <w:lastRenderedPageBreak/>
              <w:t>Referees</w:t>
            </w:r>
          </w:p>
        </w:tc>
        <w:tc>
          <w:tcPr>
            <w:tcW w:w="7371" w:type="dxa"/>
          </w:tcPr>
          <w:p w14:paraId="3185B4AC" w14:textId="7C4CF7A6" w:rsidR="00EB79F3" w:rsidRPr="00F43773" w:rsidRDefault="00EB79F3" w:rsidP="001F6194">
            <w:pPr>
              <w:jc w:val="both"/>
              <w:rPr>
                <w:rFonts w:ascii="Arial" w:hAnsi="Arial" w:cs="Arial"/>
                <w:sz w:val="24"/>
                <w:szCs w:val="24"/>
              </w:rPr>
            </w:pPr>
            <w:r w:rsidRPr="00F43773">
              <w:rPr>
                <w:rFonts w:ascii="Arial" w:hAnsi="Arial" w:cs="Arial"/>
                <w:sz w:val="24"/>
                <w:szCs w:val="24"/>
              </w:rPr>
              <w:t>An explanation of the deceased’s or applicant’s exceptional circumstances and special association with the proposed burial site, should be verified by written submissions from family, friends</w:t>
            </w:r>
            <w:r w:rsidR="002B5BBF" w:rsidRPr="00F43773">
              <w:rPr>
                <w:rFonts w:ascii="Arial" w:hAnsi="Arial" w:cs="Arial"/>
                <w:sz w:val="24"/>
                <w:szCs w:val="24"/>
              </w:rPr>
              <w:t>,</w:t>
            </w:r>
            <w:r w:rsidRPr="00F43773">
              <w:rPr>
                <w:rFonts w:ascii="Arial" w:hAnsi="Arial" w:cs="Arial"/>
                <w:sz w:val="24"/>
                <w:szCs w:val="24"/>
              </w:rPr>
              <w:t xml:space="preserve"> and persons of standing in the community who knew the applicant well.</w:t>
            </w:r>
          </w:p>
        </w:tc>
      </w:tr>
      <w:tr w:rsidR="00EB79F3" w:rsidRPr="00F43773" w14:paraId="72878D2B" w14:textId="77777777" w:rsidTr="00F43773">
        <w:trPr>
          <w:cantSplit/>
        </w:trPr>
        <w:tc>
          <w:tcPr>
            <w:tcW w:w="1985" w:type="dxa"/>
          </w:tcPr>
          <w:p w14:paraId="18524F3B" w14:textId="77777777" w:rsidR="00EB79F3" w:rsidRPr="00F43773" w:rsidRDefault="00EB79F3" w:rsidP="00EC1EA2">
            <w:pPr>
              <w:rPr>
                <w:rFonts w:ascii="Arial" w:hAnsi="Arial" w:cs="Arial"/>
                <w:b/>
                <w:i/>
                <w:sz w:val="24"/>
                <w:szCs w:val="24"/>
              </w:rPr>
            </w:pPr>
            <w:r w:rsidRPr="00F43773">
              <w:rPr>
                <w:rFonts w:ascii="Arial" w:hAnsi="Arial" w:cs="Arial"/>
                <w:b/>
                <w:i/>
                <w:sz w:val="24"/>
                <w:szCs w:val="24"/>
              </w:rPr>
              <w:t>Neighbours</w:t>
            </w:r>
          </w:p>
        </w:tc>
        <w:tc>
          <w:tcPr>
            <w:tcW w:w="7371" w:type="dxa"/>
          </w:tcPr>
          <w:p w14:paraId="28B6518B" w14:textId="77777777" w:rsidR="00EB79F3" w:rsidRPr="00F43773" w:rsidRDefault="00EB79F3" w:rsidP="00EC1EA2">
            <w:pPr>
              <w:pStyle w:val="half"/>
              <w:overflowPunct/>
              <w:autoSpaceDE/>
              <w:autoSpaceDN/>
              <w:adjustRightInd/>
              <w:spacing w:line="240" w:lineRule="auto"/>
              <w:textAlignment w:val="auto"/>
              <w:rPr>
                <w:rFonts w:ascii="Arial" w:hAnsi="Arial" w:cs="Arial"/>
                <w:szCs w:val="24"/>
                <w:lang w:val="en-NZ"/>
              </w:rPr>
            </w:pPr>
            <w:r w:rsidRPr="00F43773">
              <w:rPr>
                <w:rFonts w:ascii="Arial" w:hAnsi="Arial" w:cs="Arial"/>
                <w:szCs w:val="24"/>
                <w:lang w:val="en-NZ"/>
              </w:rPr>
              <w:t>The applicant should demonstrate that there has been consultation with the neighbours whose outlook might be affected by the proposed burial place.</w:t>
            </w:r>
          </w:p>
          <w:p w14:paraId="7563036E" w14:textId="77777777" w:rsidR="00EB79F3" w:rsidRPr="00F43773" w:rsidRDefault="00EB79F3" w:rsidP="00EC1EA2">
            <w:pPr>
              <w:pStyle w:val="half"/>
              <w:overflowPunct/>
              <w:autoSpaceDE/>
              <w:autoSpaceDN/>
              <w:adjustRightInd/>
              <w:spacing w:line="240" w:lineRule="auto"/>
              <w:textAlignment w:val="auto"/>
              <w:rPr>
                <w:rFonts w:ascii="Arial" w:hAnsi="Arial" w:cs="Arial"/>
                <w:szCs w:val="24"/>
                <w:lang w:val="en-NZ"/>
              </w:rPr>
            </w:pPr>
          </w:p>
        </w:tc>
      </w:tr>
      <w:tr w:rsidR="00EB79F3" w:rsidRPr="00F43773" w14:paraId="4AEB636E" w14:textId="77777777" w:rsidTr="00F43773">
        <w:tc>
          <w:tcPr>
            <w:tcW w:w="1985" w:type="dxa"/>
          </w:tcPr>
          <w:p w14:paraId="553F8E5A" w14:textId="2450D82B" w:rsidR="00EB79F3" w:rsidRPr="00F43773" w:rsidRDefault="00EB79F3" w:rsidP="00EB79F3">
            <w:pPr>
              <w:rPr>
                <w:rFonts w:ascii="Arial" w:hAnsi="Arial" w:cs="Arial"/>
                <w:sz w:val="24"/>
                <w:szCs w:val="24"/>
              </w:rPr>
            </w:pPr>
            <w:r w:rsidRPr="00F43773">
              <w:rPr>
                <w:rFonts w:ascii="Arial" w:hAnsi="Arial" w:cs="Arial"/>
                <w:b/>
                <w:i/>
                <w:sz w:val="24"/>
                <w:szCs w:val="24"/>
              </w:rPr>
              <w:t>Consultation with Māori and Iwi</w:t>
            </w:r>
          </w:p>
        </w:tc>
        <w:tc>
          <w:tcPr>
            <w:tcW w:w="7371" w:type="dxa"/>
          </w:tcPr>
          <w:p w14:paraId="6EF859F2" w14:textId="316F6B4C" w:rsidR="00B03B05" w:rsidRPr="00F43773" w:rsidRDefault="00EB79F3" w:rsidP="00EC1EA2">
            <w:pPr>
              <w:jc w:val="both"/>
              <w:rPr>
                <w:rFonts w:ascii="Arial" w:hAnsi="Arial" w:cs="Arial"/>
                <w:sz w:val="24"/>
                <w:szCs w:val="24"/>
              </w:rPr>
            </w:pPr>
            <w:r w:rsidRPr="00F43773">
              <w:rPr>
                <w:rFonts w:ascii="Arial" w:hAnsi="Arial" w:cs="Arial"/>
                <w:sz w:val="24"/>
                <w:szCs w:val="24"/>
              </w:rPr>
              <w:t xml:space="preserve">Evidence of consultation with the appropriate local iwi and/or </w:t>
            </w:r>
            <w:proofErr w:type="spellStart"/>
            <w:r w:rsidRPr="00F43773">
              <w:rPr>
                <w:rFonts w:ascii="Arial" w:hAnsi="Arial" w:cs="Arial"/>
                <w:sz w:val="24"/>
                <w:szCs w:val="24"/>
              </w:rPr>
              <w:t>hāpu</w:t>
            </w:r>
            <w:proofErr w:type="spellEnd"/>
            <w:r w:rsidRPr="00F43773">
              <w:rPr>
                <w:rFonts w:ascii="Arial" w:hAnsi="Arial" w:cs="Arial"/>
                <w:sz w:val="24"/>
                <w:szCs w:val="24"/>
              </w:rPr>
              <w:t xml:space="preserve"> should be provided to confirm there are no unresolved issues for Māori with the proposed burial site.</w:t>
            </w:r>
          </w:p>
          <w:p w14:paraId="27DA24F6" w14:textId="7FEAD4F3" w:rsidR="00EB79F3" w:rsidRPr="00F43773" w:rsidRDefault="00EB79F3" w:rsidP="00EC1EA2">
            <w:pPr>
              <w:jc w:val="both"/>
              <w:rPr>
                <w:rFonts w:ascii="Arial" w:hAnsi="Arial" w:cs="Arial"/>
                <w:sz w:val="24"/>
                <w:szCs w:val="24"/>
              </w:rPr>
            </w:pPr>
            <w:r w:rsidRPr="00F43773">
              <w:rPr>
                <w:rFonts w:ascii="Arial" w:hAnsi="Arial" w:cs="Arial"/>
                <w:sz w:val="24"/>
                <w:szCs w:val="24"/>
              </w:rPr>
              <w:t>If the proposed burial site is on Māori land then the views, in writing, must be obtained of any occupier, such as a lessee, and the person or group responsible for administering the Māori land who may be:</w:t>
            </w:r>
          </w:p>
          <w:p w14:paraId="76C8C68F" w14:textId="77777777" w:rsidR="00EB79F3" w:rsidRPr="00F43773" w:rsidRDefault="00EB79F3" w:rsidP="00EB79F3">
            <w:pPr>
              <w:pStyle w:val="Bullet"/>
              <w:numPr>
                <w:ilvl w:val="0"/>
                <w:numId w:val="12"/>
              </w:numPr>
              <w:rPr>
                <w:rFonts w:ascii="Arial" w:hAnsi="Arial" w:cs="Arial"/>
                <w:szCs w:val="24"/>
                <w:lang w:val="en-NZ"/>
              </w:rPr>
            </w:pPr>
            <w:r w:rsidRPr="00F43773">
              <w:rPr>
                <w:rFonts w:ascii="Arial" w:hAnsi="Arial" w:cs="Arial"/>
                <w:szCs w:val="24"/>
                <w:lang w:val="en-NZ"/>
              </w:rPr>
              <w:t>trustee/s appointed by the Māori Land Court – most likely ahu whenua trustee</w:t>
            </w:r>
          </w:p>
          <w:p w14:paraId="0F7660F3" w14:textId="0FCE4E46" w:rsidR="00EB79F3" w:rsidRPr="00F43773" w:rsidRDefault="00AF1C9A" w:rsidP="00EB79F3">
            <w:pPr>
              <w:pStyle w:val="Bullet"/>
              <w:numPr>
                <w:ilvl w:val="0"/>
                <w:numId w:val="12"/>
              </w:numPr>
              <w:rPr>
                <w:rFonts w:ascii="Arial" w:hAnsi="Arial" w:cs="Arial"/>
                <w:szCs w:val="24"/>
                <w:lang w:val="en-NZ"/>
              </w:rPr>
            </w:pPr>
            <w:r w:rsidRPr="00F43773">
              <w:rPr>
                <w:rFonts w:ascii="Arial" w:hAnsi="Arial" w:cs="Arial"/>
                <w:szCs w:val="24"/>
                <w:lang w:val="en-NZ"/>
              </w:rPr>
              <w:t xml:space="preserve">an </w:t>
            </w:r>
            <w:r w:rsidR="00EB79F3" w:rsidRPr="00F43773">
              <w:rPr>
                <w:rFonts w:ascii="Arial" w:hAnsi="Arial" w:cs="Arial"/>
                <w:szCs w:val="24"/>
                <w:lang w:val="en-NZ"/>
              </w:rPr>
              <w:t>agent appointed by the Māori Land Court</w:t>
            </w:r>
          </w:p>
          <w:p w14:paraId="4B720DA3" w14:textId="77777777" w:rsidR="00EB79F3" w:rsidRPr="00F43773" w:rsidRDefault="00EB79F3" w:rsidP="00EB79F3">
            <w:pPr>
              <w:pStyle w:val="Bullet"/>
              <w:numPr>
                <w:ilvl w:val="0"/>
                <w:numId w:val="12"/>
              </w:numPr>
              <w:rPr>
                <w:rFonts w:ascii="Arial" w:hAnsi="Arial" w:cs="Arial"/>
                <w:szCs w:val="24"/>
                <w:lang w:val="en-NZ"/>
              </w:rPr>
            </w:pPr>
            <w:r w:rsidRPr="00F43773">
              <w:rPr>
                <w:rFonts w:ascii="Arial" w:hAnsi="Arial" w:cs="Arial"/>
                <w:szCs w:val="24"/>
                <w:lang w:val="en-NZ"/>
              </w:rPr>
              <w:t>a Māori Land Incorporation.</w:t>
            </w:r>
          </w:p>
          <w:p w14:paraId="4F8DB5B5" w14:textId="77777777" w:rsidR="00914E9F" w:rsidRPr="00F43773" w:rsidRDefault="00914E9F" w:rsidP="00EC1EA2">
            <w:pPr>
              <w:pStyle w:val="half"/>
              <w:overflowPunct/>
              <w:autoSpaceDE/>
              <w:autoSpaceDN/>
              <w:adjustRightInd/>
              <w:spacing w:line="240" w:lineRule="auto"/>
              <w:textAlignment w:val="auto"/>
              <w:rPr>
                <w:rFonts w:ascii="Arial" w:hAnsi="Arial" w:cs="Arial"/>
                <w:szCs w:val="24"/>
                <w:lang w:val="en-NZ"/>
              </w:rPr>
            </w:pPr>
          </w:p>
          <w:p w14:paraId="71820B5E" w14:textId="6510C620" w:rsidR="00EB79F3" w:rsidRPr="00F43773" w:rsidRDefault="00EB79F3" w:rsidP="00EC1EA2">
            <w:pPr>
              <w:pStyle w:val="half"/>
              <w:overflowPunct/>
              <w:autoSpaceDE/>
              <w:autoSpaceDN/>
              <w:adjustRightInd/>
              <w:spacing w:line="240" w:lineRule="auto"/>
              <w:textAlignment w:val="auto"/>
              <w:rPr>
                <w:rFonts w:ascii="Arial" w:hAnsi="Arial" w:cs="Arial"/>
                <w:szCs w:val="24"/>
                <w:lang w:val="en-NZ"/>
              </w:rPr>
            </w:pPr>
            <w:r w:rsidRPr="00F43773">
              <w:rPr>
                <w:rFonts w:ascii="Arial" w:hAnsi="Arial" w:cs="Arial"/>
                <w:szCs w:val="24"/>
                <w:lang w:val="en-NZ"/>
              </w:rPr>
              <w:t>If there is no person appointed to administer the Māori land</w:t>
            </w:r>
            <w:r w:rsidR="001C6DCA" w:rsidRPr="00F43773">
              <w:rPr>
                <w:rFonts w:ascii="Arial" w:hAnsi="Arial" w:cs="Arial"/>
                <w:szCs w:val="24"/>
                <w:lang w:val="en-NZ"/>
              </w:rPr>
              <w:t>,</w:t>
            </w:r>
            <w:r w:rsidRPr="00F43773">
              <w:rPr>
                <w:rFonts w:ascii="Arial" w:hAnsi="Arial" w:cs="Arial"/>
                <w:szCs w:val="24"/>
                <w:lang w:val="en-NZ"/>
              </w:rPr>
              <w:t xml:space="preserve"> then written views must be obtained from owners of the land who can be traced.</w:t>
            </w:r>
          </w:p>
          <w:p w14:paraId="24FAF73B" w14:textId="77777777" w:rsidR="00EB79F3" w:rsidRPr="00F43773" w:rsidRDefault="00EB79F3" w:rsidP="00EC1EA2">
            <w:pPr>
              <w:pStyle w:val="half"/>
              <w:overflowPunct/>
              <w:autoSpaceDE/>
              <w:autoSpaceDN/>
              <w:adjustRightInd/>
              <w:spacing w:line="240" w:lineRule="auto"/>
              <w:textAlignment w:val="auto"/>
              <w:rPr>
                <w:rFonts w:ascii="Arial" w:hAnsi="Arial" w:cs="Arial"/>
                <w:szCs w:val="24"/>
                <w:lang w:val="en-NZ"/>
              </w:rPr>
            </w:pPr>
          </w:p>
        </w:tc>
      </w:tr>
      <w:tr w:rsidR="00EB79F3" w:rsidRPr="00F43773" w14:paraId="6E7AF246" w14:textId="77777777" w:rsidTr="00F43773">
        <w:tc>
          <w:tcPr>
            <w:tcW w:w="1985" w:type="dxa"/>
          </w:tcPr>
          <w:p w14:paraId="43525A5D" w14:textId="77777777" w:rsidR="00EB79F3" w:rsidRPr="00F43773" w:rsidRDefault="00EB79F3" w:rsidP="00EC1EA2">
            <w:pPr>
              <w:jc w:val="both"/>
              <w:rPr>
                <w:rFonts w:ascii="Arial" w:hAnsi="Arial" w:cs="Arial"/>
                <w:b/>
                <w:i/>
                <w:sz w:val="24"/>
                <w:szCs w:val="24"/>
              </w:rPr>
            </w:pPr>
            <w:r w:rsidRPr="00F43773">
              <w:rPr>
                <w:rFonts w:ascii="Arial" w:hAnsi="Arial" w:cs="Arial"/>
                <w:b/>
                <w:i/>
                <w:sz w:val="24"/>
                <w:szCs w:val="24"/>
              </w:rPr>
              <w:t>Site assessment</w:t>
            </w:r>
          </w:p>
        </w:tc>
        <w:tc>
          <w:tcPr>
            <w:tcW w:w="7371" w:type="dxa"/>
          </w:tcPr>
          <w:p w14:paraId="49616EBC" w14:textId="77777777" w:rsidR="00EB79F3" w:rsidRPr="00F43773" w:rsidRDefault="00EB79F3" w:rsidP="00EB79F3">
            <w:pPr>
              <w:numPr>
                <w:ilvl w:val="0"/>
                <w:numId w:val="11"/>
              </w:numPr>
              <w:spacing w:after="0" w:line="240" w:lineRule="auto"/>
              <w:jc w:val="both"/>
              <w:rPr>
                <w:rFonts w:ascii="Arial" w:hAnsi="Arial" w:cs="Arial"/>
                <w:sz w:val="24"/>
                <w:szCs w:val="24"/>
              </w:rPr>
            </w:pPr>
            <w:r w:rsidRPr="00F43773">
              <w:rPr>
                <w:rFonts w:ascii="Arial" w:hAnsi="Arial" w:cs="Arial"/>
                <w:sz w:val="24"/>
                <w:szCs w:val="24"/>
              </w:rPr>
              <w:t xml:space="preserve">There must be a description of the proposed burial site as well as accurate plans showing the location of the property and the proposed location of the grave site.  Aerial photographs with relevant features marked in permanent ink are very useful.  </w:t>
            </w:r>
          </w:p>
          <w:p w14:paraId="39E2110B" w14:textId="77777777" w:rsidR="00EB79F3" w:rsidRPr="00F43773" w:rsidRDefault="00EB79F3" w:rsidP="00EB79F3">
            <w:pPr>
              <w:numPr>
                <w:ilvl w:val="0"/>
                <w:numId w:val="11"/>
              </w:numPr>
              <w:spacing w:after="0" w:line="240" w:lineRule="auto"/>
              <w:jc w:val="both"/>
              <w:rPr>
                <w:rFonts w:ascii="Arial" w:hAnsi="Arial" w:cs="Arial"/>
                <w:sz w:val="24"/>
                <w:szCs w:val="24"/>
              </w:rPr>
            </w:pPr>
            <w:r w:rsidRPr="00F43773">
              <w:rPr>
                <w:rFonts w:ascii="Arial" w:hAnsi="Arial" w:cs="Arial"/>
                <w:sz w:val="24"/>
                <w:szCs w:val="24"/>
              </w:rPr>
              <w:t>The site should be non-urban.</w:t>
            </w:r>
          </w:p>
          <w:p w14:paraId="30B4984E" w14:textId="77777777" w:rsidR="00EB79F3" w:rsidRPr="00F43773" w:rsidRDefault="00EB79F3" w:rsidP="00EB79F3">
            <w:pPr>
              <w:numPr>
                <w:ilvl w:val="0"/>
                <w:numId w:val="11"/>
              </w:numPr>
              <w:spacing w:after="0" w:line="240" w:lineRule="auto"/>
              <w:jc w:val="both"/>
              <w:rPr>
                <w:rFonts w:ascii="Arial" w:hAnsi="Arial" w:cs="Arial"/>
                <w:sz w:val="24"/>
                <w:szCs w:val="24"/>
              </w:rPr>
            </w:pPr>
            <w:r w:rsidRPr="00F43773">
              <w:rPr>
                <w:rFonts w:ascii="Arial" w:hAnsi="Arial" w:cs="Arial"/>
                <w:sz w:val="24"/>
                <w:szCs w:val="24"/>
              </w:rPr>
              <w:t>The site should ideally be in a relatively secluded part of a sizeable property.</w:t>
            </w:r>
          </w:p>
          <w:p w14:paraId="1B43C2DA" w14:textId="77777777" w:rsidR="00EB79F3" w:rsidRPr="00F43773" w:rsidRDefault="00EB79F3" w:rsidP="00EB79F3">
            <w:pPr>
              <w:numPr>
                <w:ilvl w:val="0"/>
                <w:numId w:val="11"/>
              </w:numPr>
              <w:spacing w:after="0" w:line="240" w:lineRule="auto"/>
              <w:jc w:val="both"/>
              <w:rPr>
                <w:rFonts w:ascii="Arial" w:hAnsi="Arial" w:cs="Arial"/>
                <w:sz w:val="24"/>
                <w:szCs w:val="24"/>
              </w:rPr>
            </w:pPr>
            <w:r w:rsidRPr="00F43773">
              <w:rPr>
                <w:rFonts w:ascii="Arial" w:hAnsi="Arial" w:cs="Arial"/>
                <w:sz w:val="24"/>
                <w:szCs w:val="24"/>
              </w:rPr>
              <w:t xml:space="preserve">Information on how the grave will be marked and secured should also be given.  </w:t>
            </w:r>
          </w:p>
          <w:p w14:paraId="1196E8DC" w14:textId="77777777" w:rsidR="00EB79F3" w:rsidRPr="00F43773" w:rsidRDefault="00EB79F3" w:rsidP="00EB79F3">
            <w:pPr>
              <w:numPr>
                <w:ilvl w:val="0"/>
                <w:numId w:val="11"/>
              </w:numPr>
              <w:spacing w:after="0" w:line="240" w:lineRule="auto"/>
              <w:jc w:val="both"/>
              <w:rPr>
                <w:rFonts w:ascii="Arial" w:hAnsi="Arial" w:cs="Arial"/>
                <w:sz w:val="24"/>
                <w:szCs w:val="24"/>
              </w:rPr>
            </w:pPr>
            <w:r w:rsidRPr="00F43773">
              <w:rPr>
                <w:rFonts w:ascii="Arial" w:hAnsi="Arial" w:cs="Arial"/>
                <w:sz w:val="24"/>
                <w:szCs w:val="24"/>
              </w:rPr>
              <w:t>Access routes for visitors to the site should be indicated.</w:t>
            </w:r>
          </w:p>
          <w:p w14:paraId="656FF438" w14:textId="77777777" w:rsidR="00EB79F3" w:rsidRPr="00F43773" w:rsidRDefault="00EB79F3" w:rsidP="00EB79F3">
            <w:pPr>
              <w:numPr>
                <w:ilvl w:val="0"/>
                <w:numId w:val="11"/>
              </w:numPr>
              <w:spacing w:after="0" w:line="240" w:lineRule="auto"/>
              <w:jc w:val="both"/>
              <w:rPr>
                <w:rFonts w:ascii="Arial" w:hAnsi="Arial" w:cs="Arial"/>
                <w:sz w:val="24"/>
                <w:szCs w:val="24"/>
              </w:rPr>
            </w:pPr>
            <w:r w:rsidRPr="00F43773">
              <w:rPr>
                <w:rFonts w:ascii="Arial" w:hAnsi="Arial" w:cs="Arial"/>
                <w:sz w:val="24"/>
                <w:szCs w:val="24"/>
              </w:rPr>
              <w:t>There should be no risk to underground water, no likelihood of inundation, erosion, ground instability or other events that may compromise the integrity of the grave.</w:t>
            </w:r>
          </w:p>
          <w:p w14:paraId="12F9004F" w14:textId="77777777" w:rsidR="00EB79F3" w:rsidRPr="00F43773" w:rsidRDefault="00EB79F3" w:rsidP="00EB79F3">
            <w:pPr>
              <w:numPr>
                <w:ilvl w:val="0"/>
                <w:numId w:val="11"/>
              </w:numPr>
              <w:spacing w:after="0" w:line="240" w:lineRule="auto"/>
              <w:jc w:val="both"/>
              <w:rPr>
                <w:rFonts w:ascii="Arial" w:hAnsi="Arial" w:cs="Arial"/>
                <w:sz w:val="24"/>
                <w:szCs w:val="24"/>
              </w:rPr>
            </w:pPr>
            <w:r w:rsidRPr="00F43773">
              <w:rPr>
                <w:rFonts w:ascii="Arial" w:hAnsi="Arial" w:cs="Arial"/>
                <w:sz w:val="24"/>
                <w:szCs w:val="24"/>
              </w:rPr>
              <w:t>The assessment should advise whether the proposed burial could cause adverse effect to the health of persons in the vicinity of the proposed burial site.</w:t>
            </w:r>
          </w:p>
          <w:p w14:paraId="758D82C1" w14:textId="77777777" w:rsidR="00EB79F3" w:rsidRPr="00F43773" w:rsidRDefault="00EB79F3" w:rsidP="00EB79F3">
            <w:pPr>
              <w:numPr>
                <w:ilvl w:val="0"/>
                <w:numId w:val="11"/>
              </w:numPr>
              <w:spacing w:after="0" w:line="240" w:lineRule="auto"/>
              <w:jc w:val="both"/>
              <w:rPr>
                <w:rFonts w:ascii="Arial" w:hAnsi="Arial" w:cs="Arial"/>
                <w:sz w:val="24"/>
                <w:szCs w:val="24"/>
              </w:rPr>
            </w:pPr>
            <w:r w:rsidRPr="00F43773">
              <w:rPr>
                <w:rFonts w:ascii="Arial" w:hAnsi="Arial" w:cs="Arial"/>
                <w:sz w:val="24"/>
                <w:szCs w:val="24"/>
              </w:rPr>
              <w:t>Arrangements for the maintenance of the site should be detailed.</w:t>
            </w:r>
          </w:p>
          <w:p w14:paraId="50DE1ED2" w14:textId="77777777" w:rsidR="00EB79F3" w:rsidRPr="00F43773" w:rsidRDefault="00EB79F3" w:rsidP="00EB79F3">
            <w:pPr>
              <w:numPr>
                <w:ilvl w:val="0"/>
                <w:numId w:val="11"/>
              </w:numPr>
              <w:spacing w:after="0" w:line="240" w:lineRule="auto"/>
              <w:jc w:val="both"/>
              <w:rPr>
                <w:rFonts w:ascii="Arial" w:hAnsi="Arial" w:cs="Arial"/>
                <w:sz w:val="24"/>
                <w:szCs w:val="24"/>
              </w:rPr>
            </w:pPr>
            <w:r w:rsidRPr="00F43773">
              <w:rPr>
                <w:rFonts w:ascii="Arial" w:hAnsi="Arial" w:cs="Arial"/>
                <w:sz w:val="24"/>
                <w:szCs w:val="24"/>
              </w:rPr>
              <w:t>A site assessment report from a health protection officer, employed by the local public health unit must confirm the suitability of the proposed site for burial.</w:t>
            </w:r>
          </w:p>
          <w:p w14:paraId="7451501A" w14:textId="77777777" w:rsidR="00EB79F3" w:rsidRPr="00F43773" w:rsidRDefault="00EB79F3" w:rsidP="00EC1EA2">
            <w:pPr>
              <w:jc w:val="both"/>
              <w:rPr>
                <w:rFonts w:ascii="Arial" w:hAnsi="Arial" w:cs="Arial"/>
                <w:sz w:val="24"/>
                <w:szCs w:val="24"/>
              </w:rPr>
            </w:pPr>
          </w:p>
        </w:tc>
      </w:tr>
      <w:bookmarkEnd w:id="0"/>
    </w:tbl>
    <w:p w14:paraId="08F5C182" w14:textId="1554A0E6" w:rsidR="00324C6A" w:rsidRPr="00F43773" w:rsidRDefault="00324C6A" w:rsidP="00EB79F3">
      <w:pPr>
        <w:pStyle w:val="NoSpacing"/>
        <w:rPr>
          <w:rFonts w:ascii="Arial" w:hAnsi="Arial" w:cs="Arial"/>
          <w:sz w:val="24"/>
          <w:szCs w:val="24"/>
        </w:rPr>
      </w:pPr>
    </w:p>
    <w:sectPr w:rsidR="00324C6A" w:rsidRPr="00F43773" w:rsidSect="00F43773">
      <w:headerReference w:type="default" r:id="rId10"/>
      <w:footerReference w:type="default" r:id="rId11"/>
      <w:pgSz w:w="11907" w:h="16840" w:code="9"/>
      <w:pgMar w:top="1418" w:right="1275" w:bottom="567" w:left="1418" w:header="567" w:footer="3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7B6C4" w14:textId="77777777" w:rsidR="00620AD9" w:rsidRDefault="00620AD9" w:rsidP="00F53DAD">
      <w:pPr>
        <w:spacing w:after="0" w:line="240" w:lineRule="auto"/>
      </w:pPr>
      <w:r>
        <w:separator/>
      </w:r>
    </w:p>
  </w:endnote>
  <w:endnote w:type="continuationSeparator" w:id="0">
    <w:p w14:paraId="687A4DCF" w14:textId="77777777" w:rsidR="00620AD9" w:rsidRDefault="00620AD9" w:rsidP="00F53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Mäori">
    <w:altName w:val="Times New Roman"/>
    <w:charset w:val="00"/>
    <w:family w:val="roman"/>
    <w:pitch w:val="variable"/>
    <w:sig w:usb0="00000003" w:usb1="00000000" w:usb2="00000000" w:usb3="00000000" w:csb0="00000001" w:csb1="00000000"/>
  </w:font>
  <w:font w:name="Arial Mäo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030330"/>
      <w:docPartObj>
        <w:docPartGallery w:val="Page Numbers (Bottom of Page)"/>
        <w:docPartUnique/>
      </w:docPartObj>
    </w:sdtPr>
    <w:sdtEndPr>
      <w:rPr>
        <w:noProof/>
      </w:rPr>
    </w:sdtEndPr>
    <w:sdtContent>
      <w:p w14:paraId="3715549E" w14:textId="77777777" w:rsidR="00927BF9" w:rsidRDefault="00F53DAD" w:rsidP="00F53D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41956" w14:textId="77777777" w:rsidR="00620AD9" w:rsidRDefault="00620AD9" w:rsidP="00F53DAD">
      <w:pPr>
        <w:spacing w:after="0" w:line="240" w:lineRule="auto"/>
      </w:pPr>
      <w:r>
        <w:separator/>
      </w:r>
    </w:p>
  </w:footnote>
  <w:footnote w:type="continuationSeparator" w:id="0">
    <w:p w14:paraId="0066074F" w14:textId="77777777" w:rsidR="00620AD9" w:rsidRDefault="00620AD9" w:rsidP="00F53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86D0" w14:textId="77777777" w:rsidR="00F53DAD" w:rsidRDefault="00F53DAD" w:rsidP="00F53DAD">
    <w:pPr>
      <w:pStyle w:val="Header"/>
      <w:jc w:val="right"/>
    </w:pPr>
    <w:r>
      <w:rPr>
        <w:noProof/>
      </w:rPr>
      <w:drawing>
        <wp:inline distT="0" distB="0" distL="0" distR="0" wp14:anchorId="44F2E16C" wp14:editId="34BEBA63">
          <wp:extent cx="1440000" cy="317401"/>
          <wp:effectExtent l="0" t="0" r="0" b="6985"/>
          <wp:docPr id="1603943734" name="Picture 1603943734" descr="A picture containing text, clipart, table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tableware, pla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0000" cy="3174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DFC6B10"/>
    <w:lvl w:ilvl="0">
      <w:numFmt w:val="decimal"/>
      <w:lvlText w:val="*"/>
      <w:lvlJc w:val="left"/>
    </w:lvl>
  </w:abstractNum>
  <w:abstractNum w:abstractNumId="1" w15:restartNumberingAfterBreak="0">
    <w:nsid w:val="03464FE6"/>
    <w:multiLevelType w:val="hybridMultilevel"/>
    <w:tmpl w:val="BE86B4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73F2790"/>
    <w:multiLevelType w:val="singleLevel"/>
    <w:tmpl w:val="B1A45F64"/>
    <w:lvl w:ilvl="0">
      <w:start w:val="1"/>
      <w:numFmt w:val="decimal"/>
      <w:lvlText w:val="%1."/>
      <w:legacy w:legacy="1" w:legacySpace="0" w:legacyIndent="283"/>
      <w:lvlJc w:val="left"/>
      <w:pPr>
        <w:ind w:left="283" w:hanging="283"/>
      </w:pPr>
    </w:lvl>
  </w:abstractNum>
  <w:abstractNum w:abstractNumId="3" w15:restartNumberingAfterBreak="0">
    <w:nsid w:val="07B2744D"/>
    <w:multiLevelType w:val="singleLevel"/>
    <w:tmpl w:val="B1A45F64"/>
    <w:lvl w:ilvl="0">
      <w:start w:val="1"/>
      <w:numFmt w:val="decimal"/>
      <w:lvlText w:val="%1."/>
      <w:legacy w:legacy="1" w:legacySpace="0" w:legacyIndent="283"/>
      <w:lvlJc w:val="left"/>
      <w:pPr>
        <w:ind w:left="283" w:hanging="283"/>
      </w:pPr>
    </w:lvl>
  </w:abstractNum>
  <w:abstractNum w:abstractNumId="4" w15:restartNumberingAfterBreak="0">
    <w:nsid w:val="08207584"/>
    <w:multiLevelType w:val="hybridMultilevel"/>
    <w:tmpl w:val="E84C3AF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14754A"/>
    <w:multiLevelType w:val="hybridMultilevel"/>
    <w:tmpl w:val="D46E0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D63E75"/>
    <w:multiLevelType w:val="singleLevel"/>
    <w:tmpl w:val="B1A45F64"/>
    <w:lvl w:ilvl="0">
      <w:start w:val="1"/>
      <w:numFmt w:val="decimal"/>
      <w:lvlText w:val="%1."/>
      <w:legacy w:legacy="1" w:legacySpace="0" w:legacyIndent="283"/>
      <w:lvlJc w:val="left"/>
      <w:pPr>
        <w:ind w:left="283" w:hanging="283"/>
      </w:pPr>
    </w:lvl>
  </w:abstractNum>
  <w:abstractNum w:abstractNumId="7" w15:restartNumberingAfterBreak="0">
    <w:nsid w:val="43566FD8"/>
    <w:multiLevelType w:val="hybridMultilevel"/>
    <w:tmpl w:val="E8025A6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01333D7"/>
    <w:multiLevelType w:val="hybridMultilevel"/>
    <w:tmpl w:val="8BBC2B90"/>
    <w:lvl w:ilvl="0" w:tplc="CEE83542">
      <w:start w:val="3"/>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714C31DA"/>
    <w:multiLevelType w:val="hybridMultilevel"/>
    <w:tmpl w:val="83B423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7A9C1218"/>
    <w:multiLevelType w:val="hybridMultilevel"/>
    <w:tmpl w:val="BAE0C072"/>
    <w:lvl w:ilvl="0" w:tplc="EDFC6B10">
      <w:start w:val="1"/>
      <w:numFmt w:val="bullet"/>
      <w:lvlText w:val=""/>
      <w:legacy w:legacy="1" w:legacySpace="0" w:legacyIndent="284"/>
      <w:lvlJc w:val="left"/>
      <w:pPr>
        <w:ind w:left="644" w:hanging="284"/>
      </w:pPr>
      <w:rPr>
        <w:rFonts w:ascii="Symbol" w:hAnsi="Symbol" w:hint="default"/>
        <w:sz w:val="20"/>
      </w:rPr>
    </w:lvl>
    <w:lvl w:ilvl="1" w:tplc="EDFC6B10">
      <w:start w:val="1"/>
      <w:numFmt w:val="bullet"/>
      <w:lvlText w:val=""/>
      <w:legacy w:legacy="1" w:legacySpace="0" w:legacyIndent="284"/>
      <w:lvlJc w:val="left"/>
      <w:pPr>
        <w:ind w:left="1364" w:hanging="284"/>
      </w:pPr>
      <w:rPr>
        <w:rFonts w:ascii="Symbol" w:hAnsi="Symbol" w:hint="default"/>
        <w:sz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C4B1E2F"/>
    <w:multiLevelType w:val="hybridMultilevel"/>
    <w:tmpl w:val="6CE891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50544326">
    <w:abstractNumId w:val="5"/>
  </w:num>
  <w:num w:numId="2" w16cid:durableId="249975480">
    <w:abstractNumId w:val="4"/>
  </w:num>
  <w:num w:numId="3" w16cid:durableId="780539510">
    <w:abstractNumId w:val="9"/>
  </w:num>
  <w:num w:numId="4" w16cid:durableId="1544056976">
    <w:abstractNumId w:val="3"/>
  </w:num>
  <w:num w:numId="5" w16cid:durableId="1707488194">
    <w:abstractNumId w:val="10"/>
  </w:num>
  <w:num w:numId="6" w16cid:durableId="897470198">
    <w:abstractNumId w:val="8"/>
  </w:num>
  <w:num w:numId="7" w16cid:durableId="228807517">
    <w:abstractNumId w:val="1"/>
  </w:num>
  <w:num w:numId="8" w16cid:durableId="1897818965">
    <w:abstractNumId w:val="11"/>
  </w:num>
  <w:num w:numId="9" w16cid:durableId="243878166">
    <w:abstractNumId w:val="2"/>
  </w:num>
  <w:num w:numId="10" w16cid:durableId="1998875449">
    <w:abstractNumId w:val="7"/>
  </w:num>
  <w:num w:numId="11" w16cid:durableId="2143647618">
    <w:abstractNumId w:val="6"/>
  </w:num>
  <w:num w:numId="12" w16cid:durableId="1123772513">
    <w:abstractNumId w:val="0"/>
    <w:lvlOverride w:ilvl="0">
      <w:lvl w:ilvl="0">
        <w:start w:val="1"/>
        <w:numFmt w:val="bullet"/>
        <w:lvlText w:val=""/>
        <w:legacy w:legacy="1" w:legacySpace="0" w:legacyIndent="284"/>
        <w:lvlJc w:val="left"/>
        <w:pPr>
          <w:ind w:left="284" w:hanging="284"/>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AD"/>
    <w:rsid w:val="00011D4D"/>
    <w:rsid w:val="00036AD3"/>
    <w:rsid w:val="00050E7A"/>
    <w:rsid w:val="0006358E"/>
    <w:rsid w:val="00076A4F"/>
    <w:rsid w:val="000A735B"/>
    <w:rsid w:val="000B5C2D"/>
    <w:rsid w:val="00114538"/>
    <w:rsid w:val="00117977"/>
    <w:rsid w:val="001419C4"/>
    <w:rsid w:val="0014571F"/>
    <w:rsid w:val="001659E8"/>
    <w:rsid w:val="00171230"/>
    <w:rsid w:val="0019453B"/>
    <w:rsid w:val="001B5D37"/>
    <w:rsid w:val="001C42D7"/>
    <w:rsid w:val="001C6546"/>
    <w:rsid w:val="001C6DCA"/>
    <w:rsid w:val="001D06D6"/>
    <w:rsid w:val="001F2C34"/>
    <w:rsid w:val="001F60E2"/>
    <w:rsid w:val="001F6194"/>
    <w:rsid w:val="00230A45"/>
    <w:rsid w:val="00241F54"/>
    <w:rsid w:val="002762E0"/>
    <w:rsid w:val="002A33DC"/>
    <w:rsid w:val="002B3A2A"/>
    <w:rsid w:val="002B52A3"/>
    <w:rsid w:val="002B5BBF"/>
    <w:rsid w:val="002B6A6D"/>
    <w:rsid w:val="002C65FB"/>
    <w:rsid w:val="002F3DA1"/>
    <w:rsid w:val="00324C6A"/>
    <w:rsid w:val="00327EC9"/>
    <w:rsid w:val="00337374"/>
    <w:rsid w:val="00354370"/>
    <w:rsid w:val="003625E3"/>
    <w:rsid w:val="00375CF5"/>
    <w:rsid w:val="00380612"/>
    <w:rsid w:val="0039493E"/>
    <w:rsid w:val="003B5B36"/>
    <w:rsid w:val="003E26DE"/>
    <w:rsid w:val="003F038B"/>
    <w:rsid w:val="003F7C36"/>
    <w:rsid w:val="004141BA"/>
    <w:rsid w:val="004435EE"/>
    <w:rsid w:val="00464C93"/>
    <w:rsid w:val="00487A0C"/>
    <w:rsid w:val="00496D3F"/>
    <w:rsid w:val="004A6096"/>
    <w:rsid w:val="004C4CFD"/>
    <w:rsid w:val="004F4C83"/>
    <w:rsid w:val="0051533F"/>
    <w:rsid w:val="00521D0F"/>
    <w:rsid w:val="005462F9"/>
    <w:rsid w:val="00551363"/>
    <w:rsid w:val="00554444"/>
    <w:rsid w:val="00573E6D"/>
    <w:rsid w:val="005A4D51"/>
    <w:rsid w:val="005E0844"/>
    <w:rsid w:val="005E0E70"/>
    <w:rsid w:val="00620AD9"/>
    <w:rsid w:val="006268DD"/>
    <w:rsid w:val="00634E8D"/>
    <w:rsid w:val="00654610"/>
    <w:rsid w:val="006732CE"/>
    <w:rsid w:val="00677A17"/>
    <w:rsid w:val="00691F9D"/>
    <w:rsid w:val="006A7640"/>
    <w:rsid w:val="0070754A"/>
    <w:rsid w:val="007302CA"/>
    <w:rsid w:val="007777C1"/>
    <w:rsid w:val="00785CD7"/>
    <w:rsid w:val="00793BBD"/>
    <w:rsid w:val="007B6266"/>
    <w:rsid w:val="007B658D"/>
    <w:rsid w:val="007E47D2"/>
    <w:rsid w:val="007F717F"/>
    <w:rsid w:val="00802BC5"/>
    <w:rsid w:val="008133D7"/>
    <w:rsid w:val="00861614"/>
    <w:rsid w:val="008837EA"/>
    <w:rsid w:val="008978EC"/>
    <w:rsid w:val="008B4751"/>
    <w:rsid w:val="008E203B"/>
    <w:rsid w:val="009101CB"/>
    <w:rsid w:val="00914E9F"/>
    <w:rsid w:val="00917271"/>
    <w:rsid w:val="00924079"/>
    <w:rsid w:val="00927BF9"/>
    <w:rsid w:val="00962D45"/>
    <w:rsid w:val="009722AB"/>
    <w:rsid w:val="00974FEF"/>
    <w:rsid w:val="009A5E15"/>
    <w:rsid w:val="009D7648"/>
    <w:rsid w:val="009E0D6D"/>
    <w:rsid w:val="009E2730"/>
    <w:rsid w:val="009F719E"/>
    <w:rsid w:val="00A02820"/>
    <w:rsid w:val="00AA0124"/>
    <w:rsid w:val="00AF1C9A"/>
    <w:rsid w:val="00AF1FF1"/>
    <w:rsid w:val="00B03B05"/>
    <w:rsid w:val="00B06A2B"/>
    <w:rsid w:val="00B17885"/>
    <w:rsid w:val="00B256B6"/>
    <w:rsid w:val="00B56C68"/>
    <w:rsid w:val="00B74B90"/>
    <w:rsid w:val="00B93E51"/>
    <w:rsid w:val="00B948B2"/>
    <w:rsid w:val="00BD31A8"/>
    <w:rsid w:val="00BE5824"/>
    <w:rsid w:val="00C21995"/>
    <w:rsid w:val="00C24FE8"/>
    <w:rsid w:val="00C30719"/>
    <w:rsid w:val="00C51D7F"/>
    <w:rsid w:val="00C55251"/>
    <w:rsid w:val="00C80E09"/>
    <w:rsid w:val="00CC669B"/>
    <w:rsid w:val="00CE5AC8"/>
    <w:rsid w:val="00CF2F34"/>
    <w:rsid w:val="00D0039D"/>
    <w:rsid w:val="00D15EF7"/>
    <w:rsid w:val="00D24FEB"/>
    <w:rsid w:val="00D533B3"/>
    <w:rsid w:val="00DA278D"/>
    <w:rsid w:val="00DA6322"/>
    <w:rsid w:val="00DB3E93"/>
    <w:rsid w:val="00DC4552"/>
    <w:rsid w:val="00DD28B7"/>
    <w:rsid w:val="00DF5E87"/>
    <w:rsid w:val="00DF6E75"/>
    <w:rsid w:val="00E058FF"/>
    <w:rsid w:val="00E05C80"/>
    <w:rsid w:val="00E12B9D"/>
    <w:rsid w:val="00E13537"/>
    <w:rsid w:val="00E136FD"/>
    <w:rsid w:val="00E13FA4"/>
    <w:rsid w:val="00E25735"/>
    <w:rsid w:val="00E76AE3"/>
    <w:rsid w:val="00E91F11"/>
    <w:rsid w:val="00EB4D11"/>
    <w:rsid w:val="00EB79F3"/>
    <w:rsid w:val="00EF75B1"/>
    <w:rsid w:val="00F36B46"/>
    <w:rsid w:val="00F43773"/>
    <w:rsid w:val="00F53DAD"/>
    <w:rsid w:val="00F80FA0"/>
    <w:rsid w:val="00FB2591"/>
    <w:rsid w:val="00FC2A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9B19E"/>
  <w15:chartTrackingRefBased/>
  <w15:docId w15:val="{E09D5806-DFA2-4E00-B318-9482F310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DAD"/>
    <w:pPr>
      <w:spacing w:line="264" w:lineRule="auto"/>
    </w:pPr>
    <w:rPr>
      <w:rFonts w:eastAsia="Times New Roman" w:cstheme="minorHAnsi"/>
      <w:kern w:val="22"/>
    </w:rPr>
  </w:style>
  <w:style w:type="paragraph" w:styleId="Heading1">
    <w:name w:val="heading 1"/>
    <w:basedOn w:val="Normal"/>
    <w:next w:val="Normal"/>
    <w:link w:val="Heading1Char"/>
    <w:autoRedefine/>
    <w:uiPriority w:val="9"/>
    <w:qFormat/>
    <w:rsid w:val="009722AB"/>
    <w:pPr>
      <w:keepNext/>
      <w:keepLines/>
      <w:tabs>
        <w:tab w:val="center" w:pos="4876"/>
      </w:tabs>
      <w:spacing w:before="200" w:after="120"/>
      <w:outlineLvl w:val="0"/>
    </w:pPr>
    <w:rPr>
      <w:rFonts w:ascii="Arial" w:eastAsiaTheme="majorEastAsia" w:hAnsi="Arial" w:cs="Arial"/>
      <w:b/>
      <w:color w:val="0C818F"/>
      <w:sz w:val="28"/>
      <w:szCs w:val="28"/>
    </w:rPr>
  </w:style>
  <w:style w:type="paragraph" w:styleId="Heading2">
    <w:name w:val="heading 2"/>
    <w:basedOn w:val="Normal"/>
    <w:next w:val="Normal"/>
    <w:link w:val="Heading2Char"/>
    <w:uiPriority w:val="9"/>
    <w:unhideWhenUsed/>
    <w:qFormat/>
    <w:rsid w:val="00324C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24C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2AB"/>
    <w:rPr>
      <w:rFonts w:ascii="Arial" w:eastAsiaTheme="majorEastAsia" w:hAnsi="Arial" w:cs="Arial"/>
      <w:b/>
      <w:color w:val="0C818F"/>
      <w:kern w:val="22"/>
      <w:sz w:val="28"/>
      <w:szCs w:val="28"/>
    </w:rPr>
  </w:style>
  <w:style w:type="paragraph" w:styleId="Footer">
    <w:name w:val="footer"/>
    <w:basedOn w:val="Normal"/>
    <w:link w:val="FooterChar"/>
    <w:uiPriority w:val="99"/>
    <w:unhideWhenUsed/>
    <w:qFormat/>
    <w:rsid w:val="00F53DAD"/>
    <w:pPr>
      <w:tabs>
        <w:tab w:val="center" w:pos="4513"/>
        <w:tab w:val="right" w:pos="9026"/>
      </w:tabs>
      <w:spacing w:after="0"/>
    </w:pPr>
  </w:style>
  <w:style w:type="character" w:customStyle="1" w:styleId="FooterChar">
    <w:name w:val="Footer Char"/>
    <w:basedOn w:val="DefaultParagraphFont"/>
    <w:link w:val="Footer"/>
    <w:uiPriority w:val="99"/>
    <w:rsid w:val="00F53DAD"/>
    <w:rPr>
      <w:rFonts w:eastAsia="Times New Roman" w:cstheme="minorHAnsi"/>
      <w:kern w:val="22"/>
    </w:rPr>
  </w:style>
  <w:style w:type="character" w:styleId="Hyperlink">
    <w:name w:val="Hyperlink"/>
    <w:uiPriority w:val="99"/>
    <w:rsid w:val="00F53DAD"/>
    <w:rPr>
      <w:b/>
      <w:color w:val="595959" w:themeColor="text1" w:themeTint="A6"/>
      <w:u w:val="none"/>
    </w:rPr>
  </w:style>
  <w:style w:type="paragraph" w:styleId="NoSpacing">
    <w:name w:val="No Spacing"/>
    <w:basedOn w:val="Normal"/>
    <w:link w:val="NoSpacingChar"/>
    <w:uiPriority w:val="1"/>
    <w:qFormat/>
    <w:rsid w:val="00F53DAD"/>
    <w:pPr>
      <w:overflowPunct w:val="0"/>
      <w:autoSpaceDE w:val="0"/>
      <w:autoSpaceDN w:val="0"/>
      <w:adjustRightInd w:val="0"/>
      <w:spacing w:before="120" w:after="60" w:line="240" w:lineRule="auto"/>
      <w:jc w:val="both"/>
      <w:textAlignment w:val="baseline"/>
    </w:pPr>
    <w:rPr>
      <w:rFonts w:ascii="Franklin Gothic Book" w:eastAsia="Franklin Gothic Book" w:hAnsi="Franklin Gothic Book" w:cs="Franklin Gothic Book"/>
      <w:kern w:val="0"/>
      <w:szCs w:val="20"/>
      <w:lang w:val="en-GB"/>
    </w:rPr>
  </w:style>
  <w:style w:type="character" w:customStyle="1" w:styleId="NoSpacingChar">
    <w:name w:val="No Spacing Char"/>
    <w:link w:val="NoSpacing"/>
    <w:uiPriority w:val="1"/>
    <w:rsid w:val="00F53DAD"/>
    <w:rPr>
      <w:rFonts w:ascii="Franklin Gothic Book" w:eastAsia="Franklin Gothic Book" w:hAnsi="Franklin Gothic Book" w:cs="Franklin Gothic Book"/>
      <w:szCs w:val="20"/>
      <w:lang w:val="en-GB"/>
    </w:rPr>
  </w:style>
  <w:style w:type="character" w:customStyle="1" w:styleId="kssattr-atuid-9b41c6c8aa1341ee9870c4f2216458ac">
    <w:name w:val="kssattr-atuid-9b41c6c8aa1341ee9870c4f2216458ac"/>
    <w:rsid w:val="00F53DAD"/>
  </w:style>
  <w:style w:type="paragraph" w:styleId="Header">
    <w:name w:val="header"/>
    <w:basedOn w:val="Normal"/>
    <w:link w:val="HeaderChar"/>
    <w:uiPriority w:val="99"/>
    <w:unhideWhenUsed/>
    <w:rsid w:val="00F53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DAD"/>
    <w:rPr>
      <w:rFonts w:eastAsia="Times New Roman" w:cstheme="minorHAnsi"/>
      <w:kern w:val="22"/>
    </w:rPr>
  </w:style>
  <w:style w:type="character" w:customStyle="1" w:styleId="Heading2Char">
    <w:name w:val="Heading 2 Char"/>
    <w:basedOn w:val="DefaultParagraphFont"/>
    <w:link w:val="Heading2"/>
    <w:uiPriority w:val="9"/>
    <w:rsid w:val="00324C6A"/>
    <w:rPr>
      <w:rFonts w:asciiTheme="majorHAnsi" w:eastAsiaTheme="majorEastAsia" w:hAnsiTheme="majorHAnsi" w:cstheme="majorBidi"/>
      <w:color w:val="2F5496" w:themeColor="accent1" w:themeShade="BF"/>
      <w:kern w:val="22"/>
      <w:sz w:val="26"/>
      <w:szCs w:val="26"/>
    </w:rPr>
  </w:style>
  <w:style w:type="character" w:customStyle="1" w:styleId="Heading3Char">
    <w:name w:val="Heading 3 Char"/>
    <w:basedOn w:val="DefaultParagraphFont"/>
    <w:link w:val="Heading3"/>
    <w:uiPriority w:val="9"/>
    <w:rsid w:val="00324C6A"/>
    <w:rPr>
      <w:rFonts w:asciiTheme="majorHAnsi" w:eastAsiaTheme="majorEastAsia" w:hAnsiTheme="majorHAnsi" w:cstheme="majorBidi"/>
      <w:color w:val="1F3763" w:themeColor="accent1" w:themeShade="7F"/>
      <w:kern w:val="22"/>
      <w:sz w:val="24"/>
      <w:szCs w:val="24"/>
    </w:rPr>
  </w:style>
  <w:style w:type="table" w:styleId="TableGrid">
    <w:name w:val="Table Grid"/>
    <w:basedOn w:val="TableNormal"/>
    <w:uiPriority w:val="39"/>
    <w:rsid w:val="00141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qFormat/>
    <w:rsid w:val="00D0039D"/>
    <w:pPr>
      <w:overflowPunct w:val="0"/>
      <w:autoSpaceDE w:val="0"/>
      <w:autoSpaceDN w:val="0"/>
      <w:adjustRightInd w:val="0"/>
      <w:spacing w:before="120" w:after="0" w:line="240" w:lineRule="auto"/>
      <w:ind w:left="567" w:right="567"/>
      <w:jc w:val="both"/>
      <w:textAlignment w:val="baseline"/>
    </w:pPr>
    <w:rPr>
      <w:rFonts w:ascii="Times New Roman Mäori" w:hAnsi="Times New Roman Mäori" w:cs="Times New Roman"/>
      <w:kern w:val="0"/>
      <w:sz w:val="20"/>
      <w:szCs w:val="20"/>
      <w:lang w:val="en-GB"/>
    </w:rPr>
  </w:style>
  <w:style w:type="character" w:customStyle="1" w:styleId="QuoteChar">
    <w:name w:val="Quote Char"/>
    <w:basedOn w:val="DefaultParagraphFont"/>
    <w:link w:val="Quote"/>
    <w:rsid w:val="00D0039D"/>
    <w:rPr>
      <w:rFonts w:ascii="Times New Roman Mäori" w:eastAsia="Times New Roman" w:hAnsi="Times New Roman Mäori" w:cs="Times New Roman"/>
      <w:sz w:val="20"/>
      <w:szCs w:val="20"/>
      <w:lang w:val="en-GB"/>
    </w:rPr>
  </w:style>
  <w:style w:type="paragraph" w:customStyle="1" w:styleId="MoHHeading3">
    <w:name w:val="MoH Heading3"/>
    <w:basedOn w:val="Normal"/>
    <w:rsid w:val="00EB79F3"/>
    <w:pPr>
      <w:spacing w:after="0" w:line="240" w:lineRule="auto"/>
    </w:pPr>
    <w:rPr>
      <w:rFonts w:ascii="Arial Mäori" w:hAnsi="Arial Mäori" w:cs="Times New Roman"/>
      <w:b/>
      <w:i/>
      <w:kern w:val="0"/>
      <w:sz w:val="24"/>
      <w:szCs w:val="24"/>
    </w:rPr>
  </w:style>
  <w:style w:type="paragraph" w:customStyle="1" w:styleId="Bullet">
    <w:name w:val="Bullet"/>
    <w:basedOn w:val="Normal"/>
    <w:rsid w:val="00EB79F3"/>
    <w:pPr>
      <w:overflowPunct w:val="0"/>
      <w:autoSpaceDE w:val="0"/>
      <w:autoSpaceDN w:val="0"/>
      <w:adjustRightInd w:val="0"/>
      <w:spacing w:before="60" w:after="0" w:line="240" w:lineRule="auto"/>
      <w:ind w:left="284" w:hanging="284"/>
      <w:jc w:val="both"/>
      <w:textAlignment w:val="baseline"/>
    </w:pPr>
    <w:rPr>
      <w:rFonts w:ascii="Times New Roman Mäori" w:hAnsi="Times New Roman Mäori" w:cs="Times New Roman"/>
      <w:kern w:val="0"/>
      <w:sz w:val="24"/>
      <w:szCs w:val="20"/>
      <w:lang w:val="en-GB"/>
    </w:rPr>
  </w:style>
  <w:style w:type="paragraph" w:customStyle="1" w:styleId="half">
    <w:name w:val="half"/>
    <w:basedOn w:val="Normal"/>
    <w:rsid w:val="00EB79F3"/>
    <w:pPr>
      <w:overflowPunct w:val="0"/>
      <w:autoSpaceDE w:val="0"/>
      <w:autoSpaceDN w:val="0"/>
      <w:adjustRightInd w:val="0"/>
      <w:spacing w:after="0" w:line="120" w:lineRule="auto"/>
      <w:jc w:val="both"/>
      <w:textAlignment w:val="baseline"/>
    </w:pPr>
    <w:rPr>
      <w:rFonts w:ascii="Times New Roman Mäori" w:hAnsi="Times New Roman Mäori" w:cs="Times New Roman"/>
      <w:kern w:val="0"/>
      <w:sz w:val="24"/>
      <w:szCs w:val="20"/>
      <w:lang w:val="en-GB"/>
    </w:rPr>
  </w:style>
  <w:style w:type="paragraph" w:styleId="Revision">
    <w:name w:val="Revision"/>
    <w:hidden/>
    <w:uiPriority w:val="99"/>
    <w:semiHidden/>
    <w:rsid w:val="00EF75B1"/>
    <w:pPr>
      <w:spacing w:after="0" w:line="240" w:lineRule="auto"/>
    </w:pPr>
    <w:rPr>
      <w:rFonts w:eastAsia="Times New Roman" w:cstheme="minorHAnsi"/>
      <w:kern w:val="22"/>
    </w:rPr>
  </w:style>
  <w:style w:type="character" w:styleId="CommentReference">
    <w:name w:val="annotation reference"/>
    <w:basedOn w:val="DefaultParagraphFont"/>
    <w:uiPriority w:val="99"/>
    <w:semiHidden/>
    <w:unhideWhenUsed/>
    <w:rsid w:val="00C55251"/>
    <w:rPr>
      <w:sz w:val="16"/>
      <w:szCs w:val="16"/>
    </w:rPr>
  </w:style>
  <w:style w:type="paragraph" w:styleId="CommentText">
    <w:name w:val="annotation text"/>
    <w:basedOn w:val="Normal"/>
    <w:link w:val="CommentTextChar"/>
    <w:uiPriority w:val="99"/>
    <w:unhideWhenUsed/>
    <w:rsid w:val="00C55251"/>
    <w:pPr>
      <w:spacing w:line="240" w:lineRule="auto"/>
    </w:pPr>
    <w:rPr>
      <w:sz w:val="20"/>
      <w:szCs w:val="20"/>
    </w:rPr>
  </w:style>
  <w:style w:type="character" w:customStyle="1" w:styleId="CommentTextChar">
    <w:name w:val="Comment Text Char"/>
    <w:basedOn w:val="DefaultParagraphFont"/>
    <w:link w:val="CommentText"/>
    <w:uiPriority w:val="99"/>
    <w:rsid w:val="00C55251"/>
    <w:rPr>
      <w:rFonts w:eastAsia="Times New Roman" w:cstheme="minorHAnsi"/>
      <w:kern w:val="22"/>
      <w:sz w:val="20"/>
      <w:szCs w:val="20"/>
    </w:rPr>
  </w:style>
  <w:style w:type="paragraph" w:styleId="CommentSubject">
    <w:name w:val="annotation subject"/>
    <w:basedOn w:val="CommentText"/>
    <w:next w:val="CommentText"/>
    <w:link w:val="CommentSubjectChar"/>
    <w:uiPriority w:val="99"/>
    <w:semiHidden/>
    <w:unhideWhenUsed/>
    <w:rsid w:val="00C55251"/>
    <w:rPr>
      <w:b/>
      <w:bCs/>
    </w:rPr>
  </w:style>
  <w:style w:type="character" w:customStyle="1" w:styleId="CommentSubjectChar">
    <w:name w:val="Comment Subject Char"/>
    <w:basedOn w:val="CommentTextChar"/>
    <w:link w:val="CommentSubject"/>
    <w:uiPriority w:val="99"/>
    <w:semiHidden/>
    <w:rsid w:val="00C55251"/>
    <w:rPr>
      <w:rFonts w:eastAsia="Times New Roman" w:cstheme="minorHAnsi"/>
      <w:b/>
      <w:bCs/>
      <w:kern w:val="2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75C0B61E77FB4794DB78E7976197F1" ma:contentTypeVersion="20" ma:contentTypeDescription="Create a new document." ma:contentTypeScope="" ma:versionID="0b3f304e1a2c98419d7bfcd274cd0572">
  <xsd:schema xmlns:xsd="http://www.w3.org/2001/XMLSchema" xmlns:xs="http://www.w3.org/2001/XMLSchema" xmlns:p="http://schemas.microsoft.com/office/2006/metadata/properties" xmlns:ns2="5f5abf06-34ba-4fcf-8754-5b64340556e4" xmlns:ns3="ea7a09f2-b8a1-4fbf-adfd-e286ce2b53cb" targetNamespace="http://schemas.microsoft.com/office/2006/metadata/properties" ma:root="true" ma:fieldsID="3785bf6e13fc2f3f404d290dc01658e7" ns2:_="" ns3:_="">
    <xsd:import namespace="5f5abf06-34ba-4fcf-8754-5b64340556e4"/>
    <xsd:import namespace="ea7a09f2-b8a1-4fbf-adfd-e286ce2b53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3:ArchiveProject" minOccurs="0"/>
                <xsd:element ref="ns2:MediaServiceObjectDetectorVersion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abf06-34ba-4fcf-8754-5b6434055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e3efed-c0ca-4f15-ac61-7d69f3171c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Date" ma:index="26"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a7a09f2-b8a1-4fbf-adfd-e286ce2b53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aacad0-4e2b-4935-9afb-6cbf22aee123}" ma:internalName="TaxCatchAll" ma:showField="CatchAllData" ma:web="ea7a09f2-b8a1-4fbf-adfd-e286ce2b53cb">
      <xsd:complexType>
        <xsd:complexContent>
          <xsd:extension base="dms:MultiChoiceLookup">
            <xsd:sequence>
              <xsd:element name="Value" type="dms:Lookup" maxOccurs="unbounded" minOccurs="0" nillable="true"/>
            </xsd:sequence>
          </xsd:extension>
        </xsd:complexContent>
      </xsd:complexType>
    </xsd:element>
    <xsd:element name="ArchiveProject" ma:index="24" nillable="true" ma:displayName="ArchiveProject" ma:default="no" ma:description="Set this to yes to Archive a Project" ma:format="Dropdown" ma:indexed="true" ma:internalName="ArchiveProject">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chiveProject xmlns="ea7a09f2-b8a1-4fbf-adfd-e286ce2b53cb">no</ArchiveProject>
    <Date xmlns="5f5abf06-34ba-4fcf-8754-5b64340556e4" xsi:nil="true"/>
    <lcf76f155ced4ddcb4097134ff3c332f xmlns="5f5abf06-34ba-4fcf-8754-5b64340556e4">
      <Terms xmlns="http://schemas.microsoft.com/office/infopath/2007/PartnerControls"/>
    </lcf76f155ced4ddcb4097134ff3c332f>
    <TaxCatchAll xmlns="ea7a09f2-b8a1-4fbf-adfd-e286ce2b53c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908517-236C-4574-8B60-967F68DBF6A4}"/>
</file>

<file path=customXml/itemProps2.xml><?xml version="1.0" encoding="utf-8"?>
<ds:datastoreItem xmlns:ds="http://schemas.openxmlformats.org/officeDocument/2006/customXml" ds:itemID="{0B3DC412-523D-4F64-9F99-E1D52AB51C60}">
  <ds:schemaRefs>
    <ds:schemaRef ds:uri="http://schemas.microsoft.com/office/2006/metadata/properties"/>
    <ds:schemaRef ds:uri="http://schemas.microsoft.com/office/infopath/2007/PartnerControls"/>
    <ds:schemaRef ds:uri="ea7a09f2-b8a1-4fbf-adfd-e286ce2b53cb"/>
    <ds:schemaRef ds:uri="5f5abf06-34ba-4fcf-8754-5b64340556e4"/>
  </ds:schemaRefs>
</ds:datastoreItem>
</file>

<file path=customXml/itemProps3.xml><?xml version="1.0" encoding="utf-8"?>
<ds:datastoreItem xmlns:ds="http://schemas.openxmlformats.org/officeDocument/2006/customXml" ds:itemID="{387DB553-C4EF-4137-8BD3-9F725A39EC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Gilbert</dc:creator>
  <cp:keywords/>
  <dc:description/>
  <cp:lastModifiedBy>Rob Smith</cp:lastModifiedBy>
  <cp:revision>138</cp:revision>
  <dcterms:created xsi:type="dcterms:W3CDTF">2023-07-10T01:59:00Z</dcterms:created>
  <dcterms:modified xsi:type="dcterms:W3CDTF">2023-10-20T00:44:00Z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0x0101000175C0B61E77FB4794DB78E7976197F1</vt:lpwstr>
  </property>
  <property fmtid="{D5CDD505-2E9C-101B-9397-08002B2CF9AE}" pid="3" name="MediaServiceImageTags">
    <vt:lpwstr/>
  </property>
</Properties>
</file>