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4782" w14:textId="77777777" w:rsidR="004B0735" w:rsidRDefault="004B0735" w:rsidP="006B310F">
      <w:pPr>
        <w:spacing w:after="0" w:line="240" w:lineRule="auto"/>
        <w:rPr>
          <w:rStyle w:val="normaltextrun"/>
          <w:rFonts w:eastAsia="Arial"/>
          <w:sz w:val="22"/>
          <w:szCs w:val="22"/>
        </w:rPr>
      </w:pPr>
    </w:p>
    <w:p w14:paraId="20BDBB86" w14:textId="77777777" w:rsidR="004B0735" w:rsidRDefault="004B0735" w:rsidP="006B310F">
      <w:pPr>
        <w:spacing w:after="0" w:line="240" w:lineRule="auto"/>
        <w:rPr>
          <w:rStyle w:val="normaltextrun"/>
          <w:rFonts w:eastAsia="Arial"/>
          <w:sz w:val="22"/>
          <w:szCs w:val="22"/>
        </w:rPr>
      </w:pPr>
    </w:p>
    <w:p w14:paraId="0241A0BB" w14:textId="77777777" w:rsidR="00053DF8" w:rsidRDefault="00053DF8" w:rsidP="006B310F">
      <w:pPr>
        <w:spacing w:after="0" w:line="240" w:lineRule="auto"/>
        <w:rPr>
          <w:rStyle w:val="normaltextrun"/>
          <w:rFonts w:eastAsia="Arial"/>
          <w:sz w:val="22"/>
          <w:szCs w:val="22"/>
        </w:rPr>
      </w:pPr>
    </w:p>
    <w:p w14:paraId="1C9A079B" w14:textId="77777777" w:rsidR="00053DF8" w:rsidRDefault="00053DF8" w:rsidP="006B310F">
      <w:pPr>
        <w:spacing w:after="0" w:line="240" w:lineRule="auto"/>
        <w:rPr>
          <w:rStyle w:val="normaltextrun"/>
          <w:rFonts w:eastAsia="Arial"/>
          <w:sz w:val="22"/>
          <w:szCs w:val="22"/>
        </w:rPr>
      </w:pPr>
    </w:p>
    <w:p w14:paraId="6EBFE665" w14:textId="2ABFD6A3"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&lt;&lt; &gt;&gt; 202</w:t>
      </w:r>
      <w:r w:rsidR="006B310F">
        <w:rPr>
          <w:rStyle w:val="normaltextrun"/>
          <w:rFonts w:eastAsia="Arial"/>
          <w:sz w:val="22"/>
          <w:szCs w:val="22"/>
        </w:rPr>
        <w:t>3</w:t>
      </w:r>
    </w:p>
    <w:p w14:paraId="34D34F0A" w14:textId="5C228E5D" w:rsidR="00F57F83" w:rsidRDefault="00F57F83" w:rsidP="006B310F">
      <w:pPr>
        <w:spacing w:after="0" w:line="240" w:lineRule="auto"/>
        <w:rPr>
          <w:rStyle w:val="normaltextrun"/>
          <w:rFonts w:eastAsia="Arial"/>
          <w:sz w:val="22"/>
          <w:szCs w:val="22"/>
        </w:rPr>
      </w:pPr>
    </w:p>
    <w:p w14:paraId="34BC6372" w14:textId="77777777" w:rsidR="00053DF8" w:rsidRDefault="00053DF8" w:rsidP="006B310F">
      <w:pPr>
        <w:spacing w:after="0" w:line="240" w:lineRule="auto"/>
        <w:rPr>
          <w:rStyle w:val="normaltextrun"/>
          <w:rFonts w:eastAsia="Arial"/>
          <w:sz w:val="22"/>
          <w:szCs w:val="22"/>
        </w:rPr>
      </w:pPr>
    </w:p>
    <w:p w14:paraId="52F6A4C1" w14:textId="49900316"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&lt;Provider contact name&gt;</w:t>
      </w:r>
    </w:p>
    <w:p w14:paraId="5B1B67E3" w14:textId="77777777"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&lt;Provider name&gt;</w:t>
      </w:r>
    </w:p>
    <w:p w14:paraId="456D5F42" w14:textId="77777777"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&lt;Postal address 1&gt;</w:t>
      </w:r>
    </w:p>
    <w:p w14:paraId="0FEC411E" w14:textId="77777777"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&lt;Postal address 2&gt;</w:t>
      </w:r>
    </w:p>
    <w:p w14:paraId="758AE314" w14:textId="77777777"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&lt;Postal address 3&gt;</w:t>
      </w:r>
    </w:p>
    <w:p w14:paraId="2B6104F9" w14:textId="2AF13051" w:rsidR="006B310F" w:rsidRDefault="006B310F" w:rsidP="006B310F">
      <w:pPr>
        <w:spacing w:after="0" w:line="240" w:lineRule="auto"/>
        <w:rPr>
          <w:rStyle w:val="normaltextrun"/>
          <w:rFonts w:eastAsia="Arial"/>
          <w:sz w:val="22"/>
          <w:szCs w:val="22"/>
        </w:rPr>
      </w:pPr>
    </w:p>
    <w:p w14:paraId="6C366588" w14:textId="04A200E1" w:rsidR="001D1B87" w:rsidRPr="001D1B87" w:rsidRDefault="001D1B87" w:rsidP="006B310F">
      <w:pPr>
        <w:spacing w:after="0" w:line="240" w:lineRule="auto"/>
        <w:rPr>
          <w:rStyle w:val="normaltextrun"/>
          <w:rFonts w:eastAsia="Arial"/>
          <w:sz w:val="22"/>
          <w:szCs w:val="22"/>
        </w:rPr>
      </w:pPr>
      <w:r w:rsidRPr="001D1B87">
        <w:rPr>
          <w:rStyle w:val="normaltextrun"/>
          <w:rFonts w:eastAsia="Arial"/>
          <w:sz w:val="22"/>
          <w:szCs w:val="22"/>
        </w:rPr>
        <w:t>Kia ora koutou</w:t>
      </w:r>
    </w:p>
    <w:p w14:paraId="590DB9B3" w14:textId="77777777" w:rsidR="001E5852" w:rsidRDefault="001E5852" w:rsidP="006B310F">
      <w:pPr>
        <w:spacing w:after="0" w:line="240" w:lineRule="auto"/>
        <w:rPr>
          <w:rStyle w:val="normaltextrun"/>
          <w:rFonts w:eastAsia="Arial"/>
          <w:sz w:val="22"/>
          <w:szCs w:val="22"/>
        </w:rPr>
      </w:pPr>
    </w:p>
    <w:p w14:paraId="7DE20891" w14:textId="0EA2A825" w:rsidR="001D1B87" w:rsidRPr="002E11D0" w:rsidRDefault="001D1B87" w:rsidP="002E11D0">
      <w:pPr>
        <w:rPr>
          <w:rStyle w:val="eop"/>
          <w:b/>
          <w:color w:val="00A3AD"/>
          <w:sz w:val="28"/>
          <w:szCs w:val="28"/>
        </w:rPr>
      </w:pPr>
      <w:r w:rsidRPr="002E11D0">
        <w:rPr>
          <w:rStyle w:val="eop"/>
          <w:b/>
          <w:color w:val="00A3AD"/>
          <w:sz w:val="28"/>
          <w:szCs w:val="28"/>
        </w:rPr>
        <w:t>L</w:t>
      </w:r>
      <w:r w:rsidRPr="006C1017">
        <w:rPr>
          <w:rStyle w:val="eop"/>
          <w:b/>
          <w:color w:val="00A3AD"/>
          <w:sz w:val="28"/>
          <w:szCs w:val="28"/>
        </w:rPr>
        <w:t xml:space="preserve">etter </w:t>
      </w:r>
      <w:r w:rsidRPr="002E11D0">
        <w:rPr>
          <w:rStyle w:val="eop"/>
          <w:b/>
          <w:color w:val="00A3AD"/>
          <w:sz w:val="28"/>
          <w:szCs w:val="28"/>
        </w:rPr>
        <w:t xml:space="preserve">of Offer </w:t>
      </w:r>
      <w:r w:rsidR="00053DF8">
        <w:rPr>
          <w:rStyle w:val="eop"/>
          <w:b/>
          <w:color w:val="00A3AD"/>
          <w:sz w:val="28"/>
          <w:szCs w:val="28"/>
        </w:rPr>
        <w:t>–</w:t>
      </w:r>
      <w:r w:rsidRPr="002E11D0">
        <w:rPr>
          <w:rStyle w:val="eop"/>
          <w:b/>
          <w:color w:val="00A3AD"/>
          <w:sz w:val="28"/>
          <w:szCs w:val="28"/>
        </w:rPr>
        <w:t xml:space="preserve"> Variation </w:t>
      </w:r>
      <w:r w:rsidR="00046CC9">
        <w:rPr>
          <w:rStyle w:val="eop"/>
          <w:b/>
          <w:color w:val="00A3AD"/>
          <w:sz w:val="28"/>
          <w:szCs w:val="28"/>
        </w:rPr>
        <w:t>5</w:t>
      </w:r>
      <w:r w:rsidRPr="002E11D0">
        <w:rPr>
          <w:rStyle w:val="eop"/>
          <w:b/>
          <w:color w:val="00A3AD"/>
          <w:sz w:val="28"/>
          <w:szCs w:val="28"/>
        </w:rPr>
        <w:t xml:space="preserve"> of the Integrated Community Pharmacy</w:t>
      </w:r>
      <w:r w:rsidR="00BC5B97">
        <w:rPr>
          <w:rStyle w:val="eop"/>
          <w:b/>
          <w:color w:val="00A3AD"/>
          <w:sz w:val="28"/>
          <w:szCs w:val="28"/>
        </w:rPr>
        <w:t xml:space="preserve"> Services Agreement</w:t>
      </w:r>
    </w:p>
    <w:p w14:paraId="450CC73D" w14:textId="72EEB4C3" w:rsidR="001D1B87" w:rsidRPr="006B0586" w:rsidRDefault="001D1B87" w:rsidP="006B310F">
      <w:pPr>
        <w:spacing w:after="0" w:line="240" w:lineRule="auto"/>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Please find attached </w:t>
      </w:r>
      <w:r w:rsidR="00FB42D8">
        <w:rPr>
          <w:rStyle w:val="normaltextrun"/>
          <w:rFonts w:eastAsia="Arial"/>
          <w:color w:val="000000" w:themeColor="text1"/>
          <w:sz w:val="22"/>
          <w:szCs w:val="22"/>
        </w:rPr>
        <w:t xml:space="preserve">the 2023 </w:t>
      </w:r>
      <w:r w:rsidRPr="006B0586">
        <w:rPr>
          <w:rStyle w:val="normaltextrun"/>
          <w:rFonts w:eastAsia="Arial"/>
          <w:color w:val="000000" w:themeColor="text1"/>
          <w:sz w:val="22"/>
          <w:szCs w:val="22"/>
        </w:rPr>
        <w:t xml:space="preserve">Variation </w:t>
      </w:r>
      <w:r w:rsidR="00641AD7" w:rsidRPr="006B0586">
        <w:rPr>
          <w:rStyle w:val="normaltextrun"/>
          <w:rFonts w:eastAsia="Arial"/>
          <w:color w:val="000000" w:themeColor="text1"/>
          <w:sz w:val="22"/>
          <w:szCs w:val="22"/>
        </w:rPr>
        <w:t>5</w:t>
      </w:r>
      <w:r w:rsidRPr="006B0586">
        <w:rPr>
          <w:rStyle w:val="normaltextrun"/>
          <w:rFonts w:eastAsia="Arial"/>
          <w:color w:val="000000" w:themeColor="text1"/>
          <w:sz w:val="22"/>
          <w:szCs w:val="22"/>
        </w:rPr>
        <w:t xml:space="preserve"> of the Integrated Community Pharmacy Services Agreement</w:t>
      </w:r>
      <w:r w:rsidR="00F56212">
        <w:rPr>
          <w:rStyle w:val="normaltextrun"/>
          <w:rFonts w:eastAsia="Arial"/>
          <w:color w:val="000000" w:themeColor="text1"/>
          <w:sz w:val="22"/>
          <w:szCs w:val="22"/>
        </w:rPr>
        <w:t xml:space="preserve"> </w:t>
      </w:r>
      <w:r w:rsidRPr="006B0586">
        <w:rPr>
          <w:rStyle w:val="normaltextrun"/>
          <w:rFonts w:eastAsia="Arial"/>
          <w:color w:val="000000" w:themeColor="text1"/>
          <w:sz w:val="22"/>
          <w:szCs w:val="22"/>
        </w:rPr>
        <w:t>(</w:t>
      </w:r>
      <w:r w:rsidRPr="00AC5A57">
        <w:rPr>
          <w:rStyle w:val="normaltextrun"/>
          <w:rFonts w:eastAsia="Arial"/>
          <w:b/>
          <w:bCs/>
          <w:color w:val="000000" w:themeColor="text1"/>
          <w:sz w:val="22"/>
          <w:szCs w:val="22"/>
        </w:rPr>
        <w:t>ICPSA</w:t>
      </w:r>
      <w:r w:rsidRPr="006B0586">
        <w:rPr>
          <w:rStyle w:val="normaltextrun"/>
          <w:rFonts w:eastAsia="Arial"/>
          <w:color w:val="000000" w:themeColor="text1"/>
          <w:sz w:val="22"/>
          <w:szCs w:val="22"/>
        </w:rPr>
        <w:t>). This voluntary variation should be read in conjunction with this letter of offer.</w:t>
      </w:r>
    </w:p>
    <w:p w14:paraId="3B04C72E" w14:textId="77777777" w:rsidR="001F31D4" w:rsidRPr="006B0586" w:rsidRDefault="001F31D4" w:rsidP="006B310F">
      <w:pPr>
        <w:spacing w:after="0" w:line="240" w:lineRule="auto"/>
        <w:rPr>
          <w:rStyle w:val="normaltextrun"/>
          <w:rFonts w:eastAsia="Arial"/>
          <w:color w:val="000000" w:themeColor="text1"/>
          <w:sz w:val="22"/>
          <w:szCs w:val="22"/>
        </w:rPr>
      </w:pPr>
    </w:p>
    <w:p w14:paraId="1E243232" w14:textId="00F9CE75" w:rsidR="001F31D4" w:rsidRDefault="001F31D4" w:rsidP="006B310F">
      <w:pPr>
        <w:spacing w:after="0" w:line="240" w:lineRule="auto"/>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Variation </w:t>
      </w:r>
      <w:r w:rsidR="00F86E7F" w:rsidRPr="006B0586">
        <w:rPr>
          <w:rStyle w:val="normaltextrun"/>
          <w:rFonts w:eastAsia="Arial"/>
          <w:color w:val="000000" w:themeColor="text1"/>
          <w:sz w:val="22"/>
          <w:szCs w:val="22"/>
        </w:rPr>
        <w:t xml:space="preserve">5 </w:t>
      </w:r>
      <w:r w:rsidRPr="006B0586">
        <w:rPr>
          <w:rStyle w:val="normaltextrun"/>
          <w:rFonts w:eastAsia="Arial"/>
          <w:color w:val="000000" w:themeColor="text1"/>
          <w:sz w:val="22"/>
          <w:szCs w:val="22"/>
        </w:rPr>
        <w:t>includes</w:t>
      </w:r>
      <w:r w:rsidR="00C42E46" w:rsidRPr="006B0586">
        <w:rPr>
          <w:rStyle w:val="normaltextrun"/>
          <w:rFonts w:eastAsia="Arial"/>
          <w:color w:val="000000" w:themeColor="text1"/>
          <w:sz w:val="22"/>
          <w:szCs w:val="22"/>
        </w:rPr>
        <w:t xml:space="preserve"> the following changes (</w:t>
      </w:r>
      <w:r w:rsidR="00F86E7F" w:rsidRPr="006B0586">
        <w:rPr>
          <w:rStyle w:val="normaltextrun"/>
          <w:rFonts w:eastAsia="Arial"/>
          <w:b/>
          <w:bCs/>
          <w:color w:val="000000" w:themeColor="text1"/>
          <w:sz w:val="22"/>
          <w:szCs w:val="22"/>
        </w:rPr>
        <w:t xml:space="preserve">Funding </w:t>
      </w:r>
      <w:r w:rsidR="00C42E46" w:rsidRPr="006B0586">
        <w:rPr>
          <w:rStyle w:val="normaltextrun"/>
          <w:rFonts w:eastAsia="Arial"/>
          <w:b/>
          <w:bCs/>
          <w:color w:val="000000" w:themeColor="text1"/>
          <w:sz w:val="22"/>
          <w:szCs w:val="22"/>
        </w:rPr>
        <w:t>Changes</w:t>
      </w:r>
      <w:r w:rsidR="00C42E46" w:rsidRPr="006B0586">
        <w:rPr>
          <w:rStyle w:val="normaltextrun"/>
          <w:rFonts w:eastAsia="Arial"/>
          <w:color w:val="000000" w:themeColor="text1"/>
          <w:sz w:val="22"/>
          <w:szCs w:val="22"/>
        </w:rPr>
        <w:t>)</w:t>
      </w:r>
      <w:r w:rsidR="001B1B87" w:rsidRPr="006B0586">
        <w:rPr>
          <w:rStyle w:val="normaltextrun"/>
          <w:rFonts w:eastAsia="Arial"/>
          <w:color w:val="000000" w:themeColor="text1"/>
          <w:sz w:val="22"/>
          <w:szCs w:val="22"/>
        </w:rPr>
        <w:t>, which are explained in more detail in this letter</w:t>
      </w:r>
      <w:r w:rsidRPr="006B0586">
        <w:rPr>
          <w:rStyle w:val="normaltextrun"/>
          <w:rFonts w:eastAsia="Arial"/>
          <w:color w:val="000000" w:themeColor="text1"/>
          <w:sz w:val="22"/>
          <w:szCs w:val="22"/>
        </w:rPr>
        <w:t>:</w:t>
      </w:r>
    </w:p>
    <w:p w14:paraId="132CB241" w14:textId="77777777" w:rsidR="00053DF8" w:rsidRPr="006B0586" w:rsidRDefault="00053DF8" w:rsidP="006B310F">
      <w:pPr>
        <w:spacing w:after="0" w:line="240" w:lineRule="auto"/>
        <w:rPr>
          <w:rStyle w:val="normaltextrun"/>
          <w:rFonts w:eastAsia="Arial"/>
          <w:color w:val="000000" w:themeColor="text1"/>
          <w:sz w:val="22"/>
          <w:szCs w:val="22"/>
        </w:rPr>
      </w:pPr>
    </w:p>
    <w:p w14:paraId="7C6CC483" w14:textId="0C03789B" w:rsidR="001F31D4" w:rsidRPr="006B0586" w:rsidRDefault="001F31D4" w:rsidP="00053DF8">
      <w:pPr>
        <w:pStyle w:val="ListParagraph"/>
        <w:numPr>
          <w:ilvl w:val="0"/>
          <w:numId w:val="21"/>
        </w:numPr>
        <w:ind w:left="567" w:hanging="567"/>
        <w:rPr>
          <w:rStyle w:val="normaltextrun"/>
          <w:rFonts w:eastAsia="Arial"/>
          <w:color w:val="000000" w:themeColor="text1"/>
          <w:sz w:val="22"/>
          <w:szCs w:val="22"/>
        </w:rPr>
      </w:pPr>
      <w:r w:rsidRPr="006B0586">
        <w:rPr>
          <w:rStyle w:val="normaltextrun"/>
          <w:rFonts w:eastAsia="Arial"/>
          <w:color w:val="000000" w:themeColor="text1"/>
          <w:sz w:val="22"/>
          <w:szCs w:val="22"/>
        </w:rPr>
        <w:t>a 5% funding uplift</w:t>
      </w:r>
      <w:r w:rsidR="00EF043A">
        <w:rPr>
          <w:rStyle w:val="normaltextrun"/>
          <w:rFonts w:eastAsia="Arial"/>
          <w:color w:val="000000" w:themeColor="text1"/>
          <w:sz w:val="22"/>
          <w:szCs w:val="22"/>
        </w:rPr>
        <w:t xml:space="preserve"> for cost pressures</w:t>
      </w:r>
    </w:p>
    <w:p w14:paraId="58EEF913" w14:textId="529C1936" w:rsidR="001F31D4" w:rsidRPr="006B0586" w:rsidRDefault="001F31D4" w:rsidP="00053DF8">
      <w:pPr>
        <w:pStyle w:val="ListParagraph"/>
        <w:numPr>
          <w:ilvl w:val="0"/>
          <w:numId w:val="21"/>
        </w:numPr>
        <w:ind w:left="567" w:hanging="567"/>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a </w:t>
      </w:r>
      <w:r w:rsidR="0085780D">
        <w:rPr>
          <w:rStyle w:val="normaltextrun"/>
          <w:rFonts w:eastAsia="Arial"/>
          <w:color w:val="000000" w:themeColor="text1"/>
          <w:sz w:val="22"/>
          <w:szCs w:val="22"/>
        </w:rPr>
        <w:t xml:space="preserve">redistribution of funding currently paid through </w:t>
      </w:r>
      <w:r w:rsidRPr="006B0586">
        <w:rPr>
          <w:rStyle w:val="normaltextrun"/>
          <w:rFonts w:eastAsia="Arial"/>
          <w:color w:val="000000" w:themeColor="text1"/>
          <w:sz w:val="22"/>
          <w:szCs w:val="22"/>
        </w:rPr>
        <w:t>the 2022/23 Additional Professional Advisory Services (</w:t>
      </w:r>
      <w:r w:rsidRPr="006B0586">
        <w:rPr>
          <w:rStyle w:val="normaltextrun"/>
          <w:rFonts w:eastAsia="Arial"/>
          <w:b/>
          <w:bCs/>
          <w:color w:val="000000" w:themeColor="text1"/>
          <w:sz w:val="22"/>
          <w:szCs w:val="22"/>
        </w:rPr>
        <w:t>APAS</w:t>
      </w:r>
      <w:r w:rsidRPr="006B0586">
        <w:rPr>
          <w:rStyle w:val="normaltextrun"/>
          <w:rFonts w:eastAsia="Arial"/>
          <w:color w:val="000000" w:themeColor="text1"/>
          <w:sz w:val="22"/>
          <w:szCs w:val="22"/>
        </w:rPr>
        <w:t xml:space="preserve">) </w:t>
      </w:r>
      <w:r w:rsidR="00592294" w:rsidRPr="006B0586">
        <w:rPr>
          <w:rStyle w:val="normaltextrun"/>
          <w:rFonts w:eastAsia="Arial"/>
          <w:color w:val="000000" w:themeColor="text1"/>
          <w:sz w:val="22"/>
          <w:szCs w:val="22"/>
        </w:rPr>
        <w:t>p</w:t>
      </w:r>
      <w:r w:rsidRPr="006B0586">
        <w:rPr>
          <w:rStyle w:val="normaltextrun"/>
          <w:rFonts w:eastAsia="Arial"/>
          <w:color w:val="000000" w:themeColor="text1"/>
          <w:sz w:val="22"/>
          <w:szCs w:val="22"/>
        </w:rPr>
        <w:t>ayment pool</w:t>
      </w:r>
      <w:r w:rsidR="00180664" w:rsidRPr="006B0586">
        <w:rPr>
          <w:rStyle w:val="normaltextrun"/>
          <w:rFonts w:eastAsia="Arial"/>
          <w:color w:val="000000" w:themeColor="text1"/>
          <w:sz w:val="22"/>
          <w:szCs w:val="22"/>
        </w:rPr>
        <w:t xml:space="preserve">, reflecting that those amounts are being </w:t>
      </w:r>
      <w:r w:rsidR="0092523A">
        <w:rPr>
          <w:rStyle w:val="normaltextrun"/>
          <w:rFonts w:eastAsia="Arial"/>
          <w:color w:val="000000" w:themeColor="text1"/>
          <w:sz w:val="22"/>
          <w:szCs w:val="22"/>
        </w:rPr>
        <w:t xml:space="preserve">paid through increased service line </w:t>
      </w:r>
      <w:proofErr w:type="gramStart"/>
      <w:r w:rsidR="0092523A">
        <w:rPr>
          <w:rStyle w:val="normaltextrun"/>
          <w:rFonts w:eastAsia="Arial"/>
          <w:color w:val="000000" w:themeColor="text1"/>
          <w:sz w:val="22"/>
          <w:szCs w:val="22"/>
        </w:rPr>
        <w:t>funding</w:t>
      </w:r>
      <w:proofErr w:type="gramEnd"/>
    </w:p>
    <w:p w14:paraId="378C69CC" w14:textId="453E3C32" w:rsidR="001F31D4" w:rsidRPr="006B0586" w:rsidRDefault="001F31D4" w:rsidP="00053DF8">
      <w:pPr>
        <w:pStyle w:val="ListParagraph"/>
        <w:numPr>
          <w:ilvl w:val="0"/>
          <w:numId w:val="21"/>
        </w:numPr>
        <w:ind w:left="567" w:hanging="567"/>
        <w:rPr>
          <w:rStyle w:val="normaltextrun"/>
          <w:rFonts w:eastAsia="Arial"/>
          <w:color w:val="000000" w:themeColor="text1"/>
          <w:sz w:val="22"/>
          <w:szCs w:val="22"/>
        </w:rPr>
      </w:pPr>
      <w:r w:rsidRPr="006B0586">
        <w:rPr>
          <w:rStyle w:val="normaltextrun"/>
          <w:rFonts w:eastAsia="Arial"/>
          <w:color w:val="000000" w:themeColor="text1"/>
          <w:sz w:val="22"/>
          <w:szCs w:val="22"/>
        </w:rPr>
        <w:t>an increase in the immunisation administration fee</w:t>
      </w:r>
    </w:p>
    <w:p w14:paraId="767070CB" w14:textId="7E5E35A6" w:rsidR="00C42E46" w:rsidRDefault="001F31D4" w:rsidP="00053DF8">
      <w:pPr>
        <w:pStyle w:val="ListParagraph"/>
        <w:numPr>
          <w:ilvl w:val="0"/>
          <w:numId w:val="21"/>
        </w:numPr>
        <w:ind w:left="567" w:hanging="567"/>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a new </w:t>
      </w:r>
      <w:r w:rsidR="00C42E46" w:rsidRPr="006B0586">
        <w:rPr>
          <w:rStyle w:val="normaltextrun"/>
          <w:rFonts w:eastAsia="Arial"/>
          <w:color w:val="000000" w:themeColor="text1"/>
          <w:sz w:val="22"/>
          <w:szCs w:val="22"/>
        </w:rPr>
        <w:t>immunisation co-administration fee</w:t>
      </w:r>
      <w:r w:rsidR="006A2015">
        <w:rPr>
          <w:rStyle w:val="normaltextrun"/>
          <w:rFonts w:eastAsia="Arial"/>
          <w:color w:val="000000" w:themeColor="text1"/>
          <w:sz w:val="22"/>
          <w:szCs w:val="22"/>
        </w:rPr>
        <w:t>.</w:t>
      </w:r>
    </w:p>
    <w:p w14:paraId="5474D6DE" w14:textId="77777777" w:rsidR="00A948FC" w:rsidRPr="00A948FC" w:rsidRDefault="00A948FC" w:rsidP="00AC5A57">
      <w:pPr>
        <w:pStyle w:val="ListParagraph"/>
        <w:numPr>
          <w:ilvl w:val="0"/>
          <w:numId w:val="0"/>
        </w:numPr>
        <w:ind w:left="780"/>
        <w:rPr>
          <w:rStyle w:val="normaltextrun"/>
          <w:rFonts w:eastAsia="Arial"/>
          <w:color w:val="000000" w:themeColor="text1"/>
          <w:sz w:val="22"/>
          <w:szCs w:val="22"/>
        </w:rPr>
      </w:pPr>
    </w:p>
    <w:p w14:paraId="7FFF3040" w14:textId="12367CCC" w:rsidR="001D665D" w:rsidRDefault="001D665D" w:rsidP="00540091">
      <w:pPr>
        <w:spacing w:after="0" w:line="240" w:lineRule="auto"/>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Variation 5 also includes a change to the contract year, which </w:t>
      </w:r>
      <w:r w:rsidR="00FB42D8">
        <w:rPr>
          <w:rStyle w:val="normaltextrun"/>
          <w:rFonts w:eastAsia="Arial"/>
          <w:color w:val="000000" w:themeColor="text1"/>
          <w:sz w:val="22"/>
          <w:szCs w:val="22"/>
        </w:rPr>
        <w:t>will only come into effect if</w:t>
      </w:r>
      <w:r w:rsidRPr="006B0586">
        <w:rPr>
          <w:rStyle w:val="normaltextrun"/>
          <w:rFonts w:eastAsia="Arial"/>
          <w:color w:val="000000" w:themeColor="text1"/>
          <w:sz w:val="22"/>
          <w:szCs w:val="22"/>
        </w:rPr>
        <w:t xml:space="preserve"> al</w:t>
      </w:r>
      <w:r w:rsidRPr="00540091">
        <w:rPr>
          <w:rStyle w:val="normaltextrun"/>
          <w:rFonts w:eastAsia="Arial"/>
          <w:color w:val="000000" w:themeColor="text1"/>
        </w:rPr>
        <w:t xml:space="preserve">l community pharmacy providers that currently hold an ICPSA (ICPSA Holders) </w:t>
      </w:r>
      <w:r w:rsidR="00FB42D8" w:rsidRPr="00540091">
        <w:rPr>
          <w:rStyle w:val="normaltextrun"/>
          <w:rFonts w:eastAsia="Arial"/>
          <w:color w:val="000000" w:themeColor="text1"/>
        </w:rPr>
        <w:t xml:space="preserve">agree </w:t>
      </w:r>
      <w:r w:rsidRPr="00540091">
        <w:rPr>
          <w:rStyle w:val="normaltextrun"/>
          <w:rFonts w:eastAsia="Arial"/>
          <w:color w:val="000000" w:themeColor="text1"/>
        </w:rPr>
        <w:t>to Variation 5 before 5</w:t>
      </w:r>
      <w:r w:rsidRPr="0054217E">
        <w:rPr>
          <w:rStyle w:val="normaltextrun"/>
          <w:rFonts w:eastAsia="Arial"/>
          <w:color w:val="000000" w:themeColor="text1"/>
          <w:sz w:val="22"/>
          <w:szCs w:val="22"/>
        </w:rPr>
        <w:t xml:space="preserve">:00 pm, </w:t>
      </w:r>
      <w:r w:rsidR="00837CB8">
        <w:rPr>
          <w:rStyle w:val="normaltextrun"/>
          <w:rFonts w:eastAsia="Arial"/>
          <w:color w:val="000000" w:themeColor="text1"/>
          <w:sz w:val="22"/>
          <w:szCs w:val="22"/>
        </w:rPr>
        <w:t>20 November</w:t>
      </w:r>
      <w:r w:rsidRPr="0054217E">
        <w:rPr>
          <w:rStyle w:val="normaltextrun"/>
          <w:rFonts w:eastAsia="Arial"/>
          <w:color w:val="000000" w:themeColor="text1"/>
          <w:sz w:val="22"/>
          <w:szCs w:val="22"/>
        </w:rPr>
        <w:t xml:space="preserve"> 2023</w:t>
      </w:r>
      <w:r w:rsidRPr="006B0586">
        <w:rPr>
          <w:rStyle w:val="normaltextrun"/>
          <w:rFonts w:eastAsia="Arial"/>
          <w:color w:val="000000" w:themeColor="text1"/>
          <w:sz w:val="22"/>
          <w:szCs w:val="22"/>
        </w:rPr>
        <w:t xml:space="preserve"> (</w:t>
      </w:r>
      <w:r w:rsidRPr="00540091">
        <w:rPr>
          <w:rStyle w:val="normaltextrun"/>
          <w:rFonts w:eastAsia="Arial"/>
          <w:color w:val="000000" w:themeColor="text1"/>
          <w:sz w:val="22"/>
          <w:szCs w:val="22"/>
        </w:rPr>
        <w:t>Acceptance Date</w:t>
      </w:r>
      <w:r w:rsidRPr="006B1DE7">
        <w:rPr>
          <w:rStyle w:val="normaltextrun"/>
          <w:rFonts w:eastAsia="Arial"/>
          <w:color w:val="000000" w:themeColor="text1"/>
          <w:sz w:val="22"/>
          <w:szCs w:val="22"/>
        </w:rPr>
        <w:t>).</w:t>
      </w:r>
      <w:r w:rsidR="006B0586" w:rsidRPr="006B1DE7">
        <w:rPr>
          <w:rStyle w:val="normaltextrun"/>
          <w:rFonts w:eastAsia="Arial"/>
          <w:color w:val="000000" w:themeColor="text1"/>
          <w:sz w:val="22"/>
          <w:szCs w:val="22"/>
        </w:rPr>
        <w:t xml:space="preserve"> </w:t>
      </w:r>
      <w:r w:rsidR="006B0586" w:rsidRPr="00AC5A57">
        <w:rPr>
          <w:rStyle w:val="normaltextrun"/>
          <w:rFonts w:eastAsia="Arial"/>
          <w:color w:val="000000" w:themeColor="text1"/>
          <w:sz w:val="22"/>
          <w:szCs w:val="22"/>
        </w:rPr>
        <w:t>T</w:t>
      </w:r>
      <w:r w:rsidR="00A948FC" w:rsidRPr="00AC5A57">
        <w:rPr>
          <w:rStyle w:val="normaltextrun"/>
          <w:rFonts w:eastAsia="Arial"/>
          <w:color w:val="000000" w:themeColor="text1"/>
          <w:sz w:val="22"/>
          <w:szCs w:val="22"/>
        </w:rPr>
        <w:t>he reasons for this proposed change to the</w:t>
      </w:r>
      <w:r w:rsidR="006B0586" w:rsidRPr="00AC5A57">
        <w:rPr>
          <w:rStyle w:val="normaltextrun"/>
          <w:rFonts w:eastAsia="Arial"/>
          <w:color w:val="000000" w:themeColor="text1"/>
          <w:sz w:val="22"/>
          <w:szCs w:val="22"/>
        </w:rPr>
        <w:t xml:space="preserve"> contract year</w:t>
      </w:r>
      <w:r w:rsidR="00A948FC" w:rsidRPr="00AC5A57">
        <w:rPr>
          <w:rStyle w:val="normaltextrun"/>
          <w:rFonts w:eastAsia="Arial"/>
          <w:color w:val="000000" w:themeColor="text1"/>
          <w:sz w:val="22"/>
          <w:szCs w:val="22"/>
        </w:rPr>
        <w:t xml:space="preserve"> are </w:t>
      </w:r>
      <w:r w:rsidR="00FD2C6F">
        <w:rPr>
          <w:rStyle w:val="normaltextrun"/>
          <w:rFonts w:eastAsia="Arial"/>
          <w:color w:val="000000" w:themeColor="text1"/>
          <w:sz w:val="22"/>
          <w:szCs w:val="22"/>
        </w:rPr>
        <w:t>explained in more detail</w:t>
      </w:r>
      <w:r w:rsidR="00A948FC" w:rsidRPr="00AC5A57">
        <w:rPr>
          <w:rStyle w:val="normaltextrun"/>
          <w:rFonts w:eastAsia="Arial"/>
          <w:color w:val="000000" w:themeColor="text1"/>
          <w:sz w:val="22"/>
          <w:szCs w:val="22"/>
        </w:rPr>
        <w:t xml:space="preserve"> in</w:t>
      </w:r>
      <w:r w:rsidR="006B0586" w:rsidRPr="00AC5A57">
        <w:rPr>
          <w:rStyle w:val="normaltextrun"/>
          <w:rFonts w:eastAsia="Arial"/>
          <w:color w:val="000000" w:themeColor="text1"/>
          <w:sz w:val="22"/>
          <w:szCs w:val="22"/>
        </w:rPr>
        <w:t xml:space="preserve"> this letter.</w:t>
      </w:r>
    </w:p>
    <w:p w14:paraId="52591E65" w14:textId="77777777" w:rsidR="00540091" w:rsidRPr="006B0586" w:rsidRDefault="00540091" w:rsidP="00540091">
      <w:pPr>
        <w:spacing w:after="0" w:line="240" w:lineRule="auto"/>
        <w:rPr>
          <w:rStyle w:val="normaltextrun"/>
          <w:rFonts w:eastAsia="Arial"/>
          <w:color w:val="000000" w:themeColor="text1"/>
          <w:sz w:val="22"/>
          <w:szCs w:val="22"/>
        </w:rPr>
      </w:pPr>
    </w:p>
    <w:p w14:paraId="0034D078" w14:textId="21F5B811" w:rsidR="003D34C1" w:rsidRPr="006B0586" w:rsidRDefault="002A45E7" w:rsidP="006B310F">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P</w:t>
      </w:r>
      <w:r w:rsidR="0074792C" w:rsidRPr="006B0586">
        <w:rPr>
          <w:rStyle w:val="normaltextrun"/>
          <w:rFonts w:eastAsia="Arial"/>
          <w:color w:val="000000" w:themeColor="text1"/>
          <w:sz w:val="22"/>
          <w:szCs w:val="22"/>
        </w:rPr>
        <w:t>lease advise Te Whatu Ora whether y</w:t>
      </w:r>
      <w:r w:rsidR="001D1B87" w:rsidRPr="006B0586">
        <w:rPr>
          <w:rStyle w:val="normaltextrun"/>
          <w:rFonts w:eastAsia="Arial"/>
          <w:color w:val="000000" w:themeColor="text1"/>
          <w:sz w:val="22"/>
          <w:szCs w:val="22"/>
        </w:rPr>
        <w:t xml:space="preserve">ou accept </w:t>
      </w:r>
      <w:r w:rsidR="0074792C" w:rsidRPr="006B0586">
        <w:rPr>
          <w:rStyle w:val="normaltextrun"/>
          <w:rFonts w:eastAsia="Arial"/>
          <w:color w:val="000000" w:themeColor="text1"/>
          <w:sz w:val="22"/>
          <w:szCs w:val="22"/>
        </w:rPr>
        <w:t>V</w:t>
      </w:r>
      <w:r w:rsidR="001D1B87" w:rsidRPr="006B0586">
        <w:rPr>
          <w:rStyle w:val="normaltextrun"/>
          <w:rFonts w:eastAsia="Arial"/>
          <w:color w:val="000000" w:themeColor="text1"/>
          <w:sz w:val="22"/>
          <w:szCs w:val="22"/>
        </w:rPr>
        <w:t xml:space="preserve">ariation </w:t>
      </w:r>
      <w:r w:rsidR="001D665D" w:rsidRPr="006B0586">
        <w:rPr>
          <w:rStyle w:val="normaltextrun"/>
          <w:rFonts w:eastAsia="Arial"/>
          <w:color w:val="000000" w:themeColor="text1"/>
          <w:sz w:val="22"/>
          <w:szCs w:val="22"/>
        </w:rPr>
        <w:t xml:space="preserve">5 </w:t>
      </w:r>
      <w:r w:rsidR="001D1B87" w:rsidRPr="006B0586">
        <w:rPr>
          <w:rStyle w:val="normaltextrun"/>
          <w:rFonts w:eastAsia="Arial"/>
          <w:color w:val="000000" w:themeColor="text1"/>
          <w:sz w:val="22"/>
          <w:szCs w:val="22"/>
        </w:rPr>
        <w:t xml:space="preserve">by </w:t>
      </w:r>
      <w:r w:rsidR="0085780D">
        <w:rPr>
          <w:rStyle w:val="normaltextrun"/>
          <w:rFonts w:eastAsia="Arial"/>
          <w:color w:val="000000" w:themeColor="text1"/>
          <w:sz w:val="22"/>
          <w:szCs w:val="22"/>
        </w:rPr>
        <w:t xml:space="preserve">signing </w:t>
      </w:r>
      <w:r w:rsidR="00A630BE">
        <w:rPr>
          <w:rStyle w:val="normaltextrun"/>
          <w:rFonts w:eastAsia="Arial"/>
          <w:color w:val="000000" w:themeColor="text1"/>
          <w:sz w:val="22"/>
          <w:szCs w:val="22"/>
        </w:rPr>
        <w:t xml:space="preserve">and returning </w:t>
      </w:r>
      <w:r w:rsidR="0085780D">
        <w:rPr>
          <w:rStyle w:val="normaltextrun"/>
          <w:rFonts w:eastAsia="Arial"/>
          <w:color w:val="000000" w:themeColor="text1"/>
          <w:sz w:val="22"/>
          <w:szCs w:val="22"/>
        </w:rPr>
        <w:t xml:space="preserve">the Variation by </w:t>
      </w:r>
      <w:r w:rsidR="001D665D" w:rsidRPr="006B0586">
        <w:rPr>
          <w:rStyle w:val="normaltextrun"/>
          <w:rFonts w:eastAsia="Arial"/>
          <w:color w:val="000000" w:themeColor="text1"/>
          <w:sz w:val="22"/>
          <w:szCs w:val="22"/>
        </w:rPr>
        <w:t>the Acceptance Date</w:t>
      </w:r>
      <w:r w:rsidR="001D1B87" w:rsidRPr="006B0586">
        <w:rPr>
          <w:rStyle w:val="normaltextrun"/>
          <w:rFonts w:eastAsia="Arial"/>
          <w:color w:val="000000" w:themeColor="text1"/>
          <w:sz w:val="22"/>
          <w:szCs w:val="22"/>
        </w:rPr>
        <w:t>.</w:t>
      </w:r>
      <w:r w:rsidR="00242821" w:rsidRPr="006B0586">
        <w:rPr>
          <w:rStyle w:val="normaltextrun"/>
          <w:rFonts w:eastAsia="Arial"/>
          <w:color w:val="000000" w:themeColor="text1"/>
          <w:sz w:val="22"/>
          <w:szCs w:val="22"/>
        </w:rPr>
        <w:t xml:space="preserve"> Further details as to when the </w:t>
      </w:r>
      <w:r w:rsidR="001D665D" w:rsidRPr="006B0586">
        <w:rPr>
          <w:rStyle w:val="normaltextrun"/>
          <w:rFonts w:eastAsia="Arial"/>
          <w:color w:val="000000" w:themeColor="text1"/>
          <w:sz w:val="22"/>
          <w:szCs w:val="22"/>
        </w:rPr>
        <w:t xml:space="preserve">Funding </w:t>
      </w:r>
      <w:r w:rsidR="00242821" w:rsidRPr="006B0586">
        <w:rPr>
          <w:rStyle w:val="normaltextrun"/>
          <w:rFonts w:eastAsia="Arial"/>
          <w:color w:val="000000" w:themeColor="text1"/>
          <w:sz w:val="22"/>
          <w:szCs w:val="22"/>
        </w:rPr>
        <w:t xml:space="preserve">Changes will take effect if you accept Variation </w:t>
      </w:r>
      <w:r w:rsidR="001D665D" w:rsidRPr="006B0586">
        <w:rPr>
          <w:rStyle w:val="normaltextrun"/>
          <w:rFonts w:eastAsia="Arial"/>
          <w:color w:val="000000" w:themeColor="text1"/>
          <w:sz w:val="22"/>
          <w:szCs w:val="22"/>
        </w:rPr>
        <w:t xml:space="preserve">5 </w:t>
      </w:r>
      <w:r w:rsidR="00242821" w:rsidRPr="006B0586">
        <w:rPr>
          <w:rStyle w:val="normaltextrun"/>
          <w:rFonts w:eastAsia="Arial"/>
          <w:color w:val="000000" w:themeColor="text1"/>
          <w:sz w:val="22"/>
          <w:szCs w:val="22"/>
        </w:rPr>
        <w:t xml:space="preserve">are </w:t>
      </w:r>
      <w:r w:rsidR="00242821" w:rsidRPr="006B1DE7">
        <w:rPr>
          <w:rStyle w:val="normaltextrun"/>
          <w:rFonts w:eastAsia="Arial"/>
          <w:color w:val="000000" w:themeColor="text1"/>
          <w:sz w:val="22"/>
          <w:szCs w:val="22"/>
        </w:rPr>
        <w:t>set out in this letter</w:t>
      </w:r>
      <w:r w:rsidR="00A948FC" w:rsidRPr="006B1DE7">
        <w:rPr>
          <w:rStyle w:val="normaltextrun"/>
          <w:rFonts w:eastAsia="Arial"/>
          <w:color w:val="000000" w:themeColor="text1"/>
          <w:sz w:val="22"/>
          <w:szCs w:val="22"/>
        </w:rPr>
        <w:t xml:space="preserve"> (as set out above, this will depend on whether all ICPSA Holders agree to Variation 5)</w:t>
      </w:r>
      <w:r w:rsidR="00242821" w:rsidRPr="006B1DE7">
        <w:rPr>
          <w:rStyle w:val="normaltextrun"/>
          <w:rFonts w:eastAsia="Arial"/>
          <w:color w:val="000000" w:themeColor="text1"/>
          <w:sz w:val="22"/>
          <w:szCs w:val="22"/>
        </w:rPr>
        <w:t>.</w:t>
      </w:r>
    </w:p>
    <w:p w14:paraId="3ADD3A98" w14:textId="0AB1B075" w:rsidR="00BC5B97" w:rsidRPr="006B0586" w:rsidRDefault="00BC5B97" w:rsidP="006B310F">
      <w:pPr>
        <w:spacing w:after="0" w:line="240" w:lineRule="auto"/>
        <w:rPr>
          <w:rStyle w:val="normaltextrun"/>
          <w:rFonts w:eastAsia="Arial"/>
          <w:color w:val="000000" w:themeColor="text1"/>
          <w:sz w:val="22"/>
          <w:szCs w:val="22"/>
        </w:rPr>
      </w:pPr>
    </w:p>
    <w:p w14:paraId="5DCB2649" w14:textId="6AA31673" w:rsidR="00B6268A" w:rsidRPr="006B0586" w:rsidRDefault="00B6268A" w:rsidP="006B310F">
      <w:pPr>
        <w:spacing w:after="0" w:line="240" w:lineRule="auto"/>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You must have signed </w:t>
      </w:r>
      <w:r w:rsidR="00FB42D8">
        <w:rPr>
          <w:rStyle w:val="normaltextrun"/>
          <w:rFonts w:eastAsia="Arial"/>
          <w:color w:val="000000" w:themeColor="text1"/>
          <w:sz w:val="22"/>
          <w:szCs w:val="22"/>
        </w:rPr>
        <w:t xml:space="preserve">the 2022 </w:t>
      </w:r>
      <w:r w:rsidRPr="006B0586">
        <w:rPr>
          <w:rStyle w:val="normaltextrun"/>
          <w:rFonts w:eastAsia="Arial"/>
          <w:color w:val="000000" w:themeColor="text1"/>
          <w:sz w:val="22"/>
          <w:szCs w:val="22"/>
        </w:rPr>
        <w:t xml:space="preserve">Variation 4 before signing Variation 5. </w:t>
      </w:r>
      <w:r w:rsidR="00B94489" w:rsidRPr="006B0586">
        <w:rPr>
          <w:rStyle w:val="normaltextrun"/>
          <w:rFonts w:eastAsia="Arial"/>
          <w:color w:val="000000" w:themeColor="text1"/>
          <w:sz w:val="22"/>
          <w:szCs w:val="22"/>
        </w:rPr>
        <w:t>If you accept the terms of this variation but have not signed Variation 4,</w:t>
      </w:r>
      <w:r w:rsidRPr="006B0586">
        <w:rPr>
          <w:rStyle w:val="normaltextrun"/>
          <w:rFonts w:eastAsia="Arial"/>
          <w:color w:val="000000" w:themeColor="text1"/>
          <w:sz w:val="22"/>
          <w:szCs w:val="22"/>
        </w:rPr>
        <w:t xml:space="preserve"> please sign both Variations 4 and 5. </w:t>
      </w:r>
      <w:r w:rsidR="00FB42D8">
        <w:rPr>
          <w:rStyle w:val="normaltextrun"/>
          <w:rFonts w:eastAsia="Arial"/>
          <w:color w:val="000000" w:themeColor="text1"/>
          <w:sz w:val="22"/>
          <w:szCs w:val="22"/>
        </w:rPr>
        <w:t xml:space="preserve">Please contact your Pharmacy Portfolio Manager if you have not signed Variation 4 and can no longer find your copy of the variation. </w:t>
      </w:r>
      <w:r w:rsidR="006A0510">
        <w:rPr>
          <w:rStyle w:val="normaltextrun"/>
          <w:rFonts w:eastAsia="Arial"/>
          <w:color w:val="000000" w:themeColor="text1"/>
          <w:sz w:val="22"/>
          <w:szCs w:val="22"/>
        </w:rPr>
        <w:t>To avoid doubt, if you sign Variation 4 now, this will not entitle you to retrospectively make a claim in respect of the increased APAS payment pool that was provided for in Variation 4</w:t>
      </w:r>
      <w:r w:rsidR="006434C9">
        <w:rPr>
          <w:rStyle w:val="normaltextrun"/>
          <w:rFonts w:eastAsia="Arial"/>
          <w:color w:val="000000" w:themeColor="text1"/>
          <w:sz w:val="22"/>
          <w:szCs w:val="22"/>
        </w:rPr>
        <w:t>, or any other payments</w:t>
      </w:r>
      <w:r w:rsidR="006A0510">
        <w:rPr>
          <w:rStyle w:val="normaltextrun"/>
          <w:rFonts w:eastAsia="Arial"/>
          <w:color w:val="000000" w:themeColor="text1"/>
          <w:sz w:val="22"/>
          <w:szCs w:val="22"/>
        </w:rPr>
        <w:t>.</w:t>
      </w:r>
    </w:p>
    <w:p w14:paraId="6F181A31" w14:textId="77777777" w:rsidR="00B6268A" w:rsidRPr="006B0586" w:rsidRDefault="00B6268A" w:rsidP="006B310F">
      <w:pPr>
        <w:spacing w:after="0" w:line="240" w:lineRule="auto"/>
        <w:rPr>
          <w:rStyle w:val="normaltextrun"/>
          <w:rFonts w:eastAsia="Arial"/>
          <w:color w:val="000000" w:themeColor="text1"/>
          <w:sz w:val="22"/>
          <w:szCs w:val="22"/>
        </w:rPr>
      </w:pPr>
    </w:p>
    <w:p w14:paraId="2BAEC6B2" w14:textId="08717C7C" w:rsidR="00986471" w:rsidRPr="006B0586" w:rsidRDefault="001D1B87" w:rsidP="006B310F">
      <w:pPr>
        <w:spacing w:after="0" w:line="240" w:lineRule="auto"/>
        <w:rPr>
          <w:rStyle w:val="normaltextrun"/>
          <w:rFonts w:eastAsia="Arial"/>
          <w:color w:val="000000" w:themeColor="text1"/>
          <w:sz w:val="22"/>
          <w:szCs w:val="22"/>
        </w:rPr>
      </w:pPr>
      <w:r w:rsidRPr="006B0586">
        <w:rPr>
          <w:rStyle w:val="normaltextrun"/>
          <w:rFonts w:eastAsia="Arial"/>
          <w:color w:val="000000" w:themeColor="text1"/>
          <w:sz w:val="22"/>
          <w:szCs w:val="22"/>
        </w:rPr>
        <w:t xml:space="preserve">If you choose not to </w:t>
      </w:r>
      <w:r w:rsidR="00D95503" w:rsidRPr="006B0586">
        <w:rPr>
          <w:rStyle w:val="normaltextrun"/>
          <w:rFonts w:eastAsia="Arial"/>
          <w:color w:val="000000" w:themeColor="text1"/>
          <w:sz w:val="22"/>
          <w:szCs w:val="22"/>
        </w:rPr>
        <w:t xml:space="preserve">accept </w:t>
      </w:r>
      <w:r w:rsidRPr="006B0586">
        <w:rPr>
          <w:rStyle w:val="normaltextrun"/>
          <w:rFonts w:eastAsia="Arial"/>
          <w:color w:val="000000" w:themeColor="text1"/>
          <w:sz w:val="22"/>
          <w:szCs w:val="22"/>
        </w:rPr>
        <w:t>th</w:t>
      </w:r>
      <w:r w:rsidR="0092012D" w:rsidRPr="006B0586">
        <w:rPr>
          <w:rStyle w:val="normaltextrun"/>
          <w:rFonts w:eastAsia="Arial"/>
          <w:color w:val="000000" w:themeColor="text1"/>
          <w:sz w:val="22"/>
          <w:szCs w:val="22"/>
        </w:rPr>
        <w:t>is</w:t>
      </w:r>
      <w:r w:rsidRPr="006B0586">
        <w:rPr>
          <w:rStyle w:val="normaltextrun"/>
          <w:rFonts w:eastAsia="Arial"/>
          <w:color w:val="000000" w:themeColor="text1"/>
          <w:sz w:val="22"/>
          <w:szCs w:val="22"/>
        </w:rPr>
        <w:t xml:space="preserve"> </w:t>
      </w:r>
      <w:r w:rsidR="0092012D" w:rsidRPr="006B0586">
        <w:rPr>
          <w:rStyle w:val="normaltextrun"/>
          <w:rFonts w:eastAsia="Arial"/>
          <w:color w:val="000000" w:themeColor="text1"/>
          <w:sz w:val="22"/>
          <w:szCs w:val="22"/>
        </w:rPr>
        <w:t>V</w:t>
      </w:r>
      <w:r w:rsidRPr="006B0586">
        <w:rPr>
          <w:rStyle w:val="normaltextrun"/>
          <w:rFonts w:eastAsia="Arial"/>
          <w:color w:val="000000" w:themeColor="text1"/>
          <w:sz w:val="22"/>
          <w:szCs w:val="22"/>
        </w:rPr>
        <w:t>ariation, the terms and conditions of your ICPSA will remain</w:t>
      </w:r>
      <w:r w:rsidR="00715C60" w:rsidRPr="006B0586">
        <w:rPr>
          <w:rStyle w:val="normaltextrun"/>
          <w:rFonts w:eastAsia="Arial"/>
          <w:color w:val="000000" w:themeColor="text1"/>
          <w:sz w:val="22"/>
          <w:szCs w:val="22"/>
        </w:rPr>
        <w:t xml:space="preserve"> </w:t>
      </w:r>
      <w:r w:rsidRPr="006B0586">
        <w:rPr>
          <w:rStyle w:val="normaltextrun"/>
          <w:rFonts w:eastAsia="Arial"/>
          <w:color w:val="000000" w:themeColor="text1"/>
          <w:sz w:val="22"/>
          <w:szCs w:val="22"/>
        </w:rPr>
        <w:t>unchanged.</w:t>
      </w:r>
    </w:p>
    <w:p w14:paraId="7BFB4E35" w14:textId="77777777" w:rsidR="0027781D" w:rsidRPr="00232FDD" w:rsidRDefault="0027781D" w:rsidP="006B310F">
      <w:pPr>
        <w:spacing w:after="0" w:line="240" w:lineRule="auto"/>
        <w:rPr>
          <w:rStyle w:val="normaltextrun"/>
          <w:rFonts w:eastAsia="Arial"/>
          <w:color w:val="000000" w:themeColor="text1"/>
          <w:sz w:val="22"/>
          <w:szCs w:val="22"/>
        </w:rPr>
      </w:pPr>
    </w:p>
    <w:p w14:paraId="3AAC3CB5" w14:textId="66A14EF9" w:rsidR="001D1B87" w:rsidRPr="006C1017" w:rsidRDefault="001D1B87" w:rsidP="00053DF8">
      <w:pPr>
        <w:keepNext/>
        <w:keepLines/>
        <w:spacing w:after="0" w:line="240" w:lineRule="auto"/>
        <w:rPr>
          <w:rStyle w:val="normaltextrun"/>
          <w:rFonts w:eastAsia="Arial"/>
          <w:b/>
          <w:bCs/>
          <w:color w:val="00A3AD"/>
        </w:rPr>
      </w:pPr>
      <w:r w:rsidRPr="006C1017">
        <w:rPr>
          <w:rStyle w:val="normaltextrun"/>
          <w:rFonts w:eastAsia="Arial"/>
          <w:b/>
          <w:bCs/>
          <w:color w:val="00A3AD"/>
        </w:rPr>
        <w:lastRenderedPageBreak/>
        <w:t xml:space="preserve">Summary of key changes in Variation </w:t>
      </w:r>
      <w:r w:rsidR="00715C60" w:rsidRPr="006C1017">
        <w:rPr>
          <w:rStyle w:val="normaltextrun"/>
          <w:rFonts w:eastAsia="Arial"/>
          <w:b/>
          <w:bCs/>
          <w:color w:val="00A3AD"/>
        </w:rPr>
        <w:t>5</w:t>
      </w:r>
    </w:p>
    <w:p w14:paraId="112086FF" w14:textId="77777777" w:rsidR="00BC5B97" w:rsidRPr="00232FDD" w:rsidRDefault="00BC5B97" w:rsidP="00053DF8">
      <w:pPr>
        <w:keepNext/>
        <w:keepLines/>
        <w:spacing w:after="0" w:line="240" w:lineRule="auto"/>
        <w:rPr>
          <w:rStyle w:val="normaltextrun"/>
          <w:rFonts w:eastAsia="Arial"/>
          <w:color w:val="000000" w:themeColor="text1"/>
          <w:sz w:val="22"/>
          <w:szCs w:val="22"/>
        </w:rPr>
      </w:pPr>
    </w:p>
    <w:p w14:paraId="7CA1ACDD" w14:textId="541DAA71" w:rsidR="001D1B87" w:rsidRPr="006C1017" w:rsidRDefault="001D1B87" w:rsidP="00053DF8">
      <w:pPr>
        <w:keepNext/>
        <w:keepLines/>
        <w:spacing w:after="120" w:line="240" w:lineRule="auto"/>
        <w:rPr>
          <w:rStyle w:val="normaltextrun"/>
          <w:rFonts w:eastAsia="Arial"/>
          <w:b/>
          <w:bCs/>
          <w:color w:val="00A3AD"/>
          <w:sz w:val="22"/>
          <w:szCs w:val="22"/>
        </w:rPr>
      </w:pPr>
      <w:r w:rsidRPr="006C1017">
        <w:rPr>
          <w:rStyle w:val="normaltextrun"/>
          <w:rFonts w:eastAsia="Arial"/>
          <w:b/>
          <w:bCs/>
          <w:color w:val="00A3AD"/>
          <w:sz w:val="22"/>
          <w:szCs w:val="22"/>
        </w:rPr>
        <w:t>Funding Uplift</w:t>
      </w:r>
    </w:p>
    <w:p w14:paraId="12B668B5" w14:textId="20B99702" w:rsidR="00043774" w:rsidRDefault="001D1B87" w:rsidP="00053DF8">
      <w:pPr>
        <w:keepNext/>
        <w:keepLines/>
        <w:spacing w:after="0" w:line="240" w:lineRule="auto"/>
        <w:rPr>
          <w:rStyle w:val="normaltextrun"/>
          <w:rFonts w:eastAsia="Arial"/>
          <w:color w:val="000000" w:themeColor="text1"/>
          <w:sz w:val="22"/>
          <w:szCs w:val="22"/>
        </w:rPr>
      </w:pPr>
      <w:r w:rsidRPr="00232FDD">
        <w:rPr>
          <w:rStyle w:val="normaltextrun"/>
          <w:rFonts w:eastAsia="Arial"/>
          <w:color w:val="000000" w:themeColor="text1"/>
          <w:sz w:val="22"/>
          <w:szCs w:val="22"/>
        </w:rPr>
        <w:t xml:space="preserve">Variation </w:t>
      </w:r>
      <w:r w:rsidR="00715C60" w:rsidRPr="00232FDD">
        <w:rPr>
          <w:rStyle w:val="normaltextrun"/>
          <w:rFonts w:eastAsia="Arial"/>
          <w:color w:val="000000" w:themeColor="text1"/>
          <w:sz w:val="22"/>
          <w:szCs w:val="22"/>
        </w:rPr>
        <w:t>5</w:t>
      </w:r>
      <w:r w:rsidRPr="00232FDD">
        <w:rPr>
          <w:rStyle w:val="normaltextrun"/>
          <w:rFonts w:eastAsia="Arial"/>
          <w:color w:val="000000" w:themeColor="text1"/>
          <w:sz w:val="22"/>
          <w:szCs w:val="22"/>
        </w:rPr>
        <w:t xml:space="preserve"> includes</w:t>
      </w:r>
      <w:r w:rsidR="00043774" w:rsidRPr="00232FDD">
        <w:rPr>
          <w:rStyle w:val="normaltextrun"/>
          <w:rFonts w:eastAsia="Arial"/>
          <w:color w:val="000000" w:themeColor="text1"/>
          <w:sz w:val="22"/>
          <w:szCs w:val="22"/>
        </w:rPr>
        <w:t>:</w:t>
      </w:r>
    </w:p>
    <w:p w14:paraId="7B86DFF5" w14:textId="77777777" w:rsidR="00ED5347" w:rsidRPr="00232FDD" w:rsidRDefault="00ED5347" w:rsidP="00053DF8">
      <w:pPr>
        <w:keepNext/>
        <w:spacing w:after="0" w:line="240" w:lineRule="auto"/>
        <w:rPr>
          <w:rStyle w:val="normaltextrun"/>
          <w:rFonts w:eastAsia="Arial"/>
          <w:color w:val="000000" w:themeColor="text1"/>
          <w:sz w:val="22"/>
          <w:szCs w:val="22"/>
        </w:rPr>
      </w:pPr>
    </w:p>
    <w:p w14:paraId="3CE78AC4" w14:textId="27141972" w:rsidR="008A311B" w:rsidRPr="00837CB8" w:rsidRDefault="001D1B87" w:rsidP="00053DF8">
      <w:pPr>
        <w:pStyle w:val="ListParagraph"/>
        <w:keepNext/>
        <w:numPr>
          <w:ilvl w:val="0"/>
          <w:numId w:val="28"/>
        </w:numPr>
        <w:ind w:left="567" w:hanging="567"/>
        <w:rPr>
          <w:rStyle w:val="normaltextrun"/>
          <w:rFonts w:eastAsia="Arial"/>
          <w:color w:val="000000" w:themeColor="text1"/>
          <w:sz w:val="22"/>
          <w:szCs w:val="22"/>
        </w:rPr>
      </w:pPr>
      <w:r w:rsidRPr="00837CB8">
        <w:rPr>
          <w:rStyle w:val="normaltextrun"/>
          <w:rFonts w:eastAsia="Arial"/>
          <w:color w:val="000000" w:themeColor="text1"/>
          <w:sz w:val="22"/>
          <w:szCs w:val="22"/>
        </w:rPr>
        <w:t xml:space="preserve">a </w:t>
      </w:r>
      <w:r w:rsidR="00540F65" w:rsidRPr="00837CB8">
        <w:rPr>
          <w:rStyle w:val="normaltextrun"/>
          <w:rFonts w:eastAsia="Arial"/>
          <w:color w:val="000000" w:themeColor="text1"/>
          <w:sz w:val="22"/>
          <w:szCs w:val="22"/>
        </w:rPr>
        <w:t>5</w:t>
      </w:r>
      <w:r w:rsidRPr="00837CB8">
        <w:rPr>
          <w:rStyle w:val="normaltextrun"/>
          <w:rFonts w:eastAsia="Arial"/>
          <w:color w:val="000000" w:themeColor="text1"/>
          <w:sz w:val="22"/>
          <w:szCs w:val="22"/>
        </w:rPr>
        <w:t>% ($</w:t>
      </w:r>
      <w:r w:rsidR="009059B6" w:rsidRPr="00837CB8">
        <w:rPr>
          <w:rStyle w:val="normaltextrun"/>
          <w:rFonts w:eastAsia="Arial"/>
          <w:color w:val="000000" w:themeColor="text1"/>
          <w:sz w:val="22"/>
          <w:szCs w:val="22"/>
        </w:rPr>
        <w:t>3</w:t>
      </w:r>
      <w:r w:rsidR="008F6781" w:rsidRPr="00837CB8">
        <w:rPr>
          <w:rStyle w:val="normaltextrun"/>
          <w:rFonts w:eastAsia="Arial"/>
          <w:color w:val="000000" w:themeColor="text1"/>
          <w:sz w:val="22"/>
          <w:szCs w:val="22"/>
        </w:rPr>
        <w:t>2</w:t>
      </w:r>
      <w:r w:rsidR="009059B6" w:rsidRPr="00837CB8">
        <w:rPr>
          <w:rStyle w:val="normaltextrun"/>
          <w:rFonts w:eastAsia="Arial"/>
          <w:color w:val="000000" w:themeColor="text1"/>
          <w:sz w:val="22"/>
          <w:szCs w:val="22"/>
        </w:rPr>
        <w:t>.6</w:t>
      </w:r>
      <w:r w:rsidRPr="00837CB8">
        <w:rPr>
          <w:rStyle w:val="normaltextrun"/>
          <w:rFonts w:eastAsia="Arial"/>
          <w:color w:val="000000" w:themeColor="text1"/>
          <w:sz w:val="22"/>
          <w:szCs w:val="22"/>
        </w:rPr>
        <w:t xml:space="preserve"> million) funding uplift </w:t>
      </w:r>
      <w:r w:rsidR="00AE2DAC" w:rsidRPr="00837CB8">
        <w:rPr>
          <w:rStyle w:val="normaltextrun"/>
          <w:rFonts w:eastAsia="Arial"/>
          <w:color w:val="000000" w:themeColor="text1"/>
          <w:sz w:val="22"/>
          <w:szCs w:val="22"/>
        </w:rPr>
        <w:t xml:space="preserve">for cost </w:t>
      </w:r>
      <w:r w:rsidR="00DC4023" w:rsidRPr="00837CB8">
        <w:rPr>
          <w:rStyle w:val="normaltextrun"/>
          <w:rFonts w:eastAsia="Arial"/>
          <w:color w:val="000000" w:themeColor="text1"/>
          <w:sz w:val="22"/>
          <w:szCs w:val="22"/>
        </w:rPr>
        <w:t xml:space="preserve">pressures </w:t>
      </w:r>
      <w:r w:rsidRPr="00837CB8">
        <w:rPr>
          <w:rStyle w:val="normaltextrun"/>
          <w:rFonts w:eastAsia="Arial"/>
          <w:color w:val="000000" w:themeColor="text1"/>
          <w:sz w:val="22"/>
          <w:szCs w:val="22"/>
        </w:rPr>
        <w:t xml:space="preserve">to be applied </w:t>
      </w:r>
      <w:r w:rsidR="00854449" w:rsidRPr="00837CB8">
        <w:rPr>
          <w:rStyle w:val="normaltextrun"/>
          <w:rFonts w:eastAsia="Arial"/>
          <w:color w:val="000000" w:themeColor="text1"/>
          <w:sz w:val="22"/>
          <w:szCs w:val="22"/>
        </w:rPr>
        <w:t>across the service lines</w:t>
      </w:r>
      <w:r w:rsidR="00E457CF" w:rsidRPr="00837CB8">
        <w:rPr>
          <w:rStyle w:val="normaltextrun"/>
          <w:rFonts w:eastAsia="Arial"/>
          <w:color w:val="000000" w:themeColor="text1"/>
          <w:sz w:val="22"/>
          <w:szCs w:val="22"/>
        </w:rPr>
        <w:t xml:space="preserve"> Handling Fee, Per Pack Fee, Case Mix initial base service fee, Case Mix repeat base service fee</w:t>
      </w:r>
      <w:r w:rsidR="00752D2F" w:rsidRPr="00837CB8">
        <w:rPr>
          <w:rStyle w:val="normaltextrun"/>
          <w:rFonts w:eastAsia="Arial"/>
          <w:color w:val="000000" w:themeColor="text1"/>
          <w:sz w:val="22"/>
          <w:szCs w:val="22"/>
        </w:rPr>
        <w:t xml:space="preserve"> and </w:t>
      </w:r>
      <w:r w:rsidR="00790CD8" w:rsidRPr="00837CB8">
        <w:rPr>
          <w:rStyle w:val="normaltextrun"/>
          <w:rFonts w:eastAsia="Arial"/>
          <w:color w:val="000000" w:themeColor="text1"/>
          <w:sz w:val="22"/>
          <w:szCs w:val="22"/>
        </w:rPr>
        <w:t>Community Pharmacy Anti</w:t>
      </w:r>
      <w:r w:rsidR="001D665D" w:rsidRPr="00837CB8">
        <w:rPr>
          <w:rStyle w:val="normaltextrun"/>
          <w:rFonts w:eastAsia="Arial"/>
          <w:color w:val="000000" w:themeColor="text1"/>
          <w:sz w:val="22"/>
          <w:szCs w:val="22"/>
        </w:rPr>
        <w:t>-C</w:t>
      </w:r>
      <w:r w:rsidR="00790CD8" w:rsidRPr="00837CB8">
        <w:rPr>
          <w:rStyle w:val="normaltextrun"/>
          <w:rFonts w:eastAsia="Arial"/>
          <w:color w:val="000000" w:themeColor="text1"/>
          <w:sz w:val="22"/>
          <w:szCs w:val="22"/>
        </w:rPr>
        <w:t>oagulation Management Services (</w:t>
      </w:r>
      <w:r w:rsidR="001D665D" w:rsidRPr="00837CB8">
        <w:rPr>
          <w:rStyle w:val="normaltextrun"/>
          <w:rFonts w:eastAsia="Arial"/>
          <w:color w:val="000000" w:themeColor="text1"/>
          <w:sz w:val="22"/>
          <w:szCs w:val="22"/>
        </w:rPr>
        <w:t xml:space="preserve">Schedule </w:t>
      </w:r>
      <w:r w:rsidR="00790CD8" w:rsidRPr="00837CB8">
        <w:rPr>
          <w:rStyle w:val="normaltextrun"/>
          <w:rFonts w:eastAsia="Arial"/>
          <w:color w:val="000000" w:themeColor="text1"/>
          <w:sz w:val="22"/>
          <w:szCs w:val="22"/>
        </w:rPr>
        <w:t xml:space="preserve">3B.5; </w:t>
      </w:r>
      <w:r w:rsidR="00752D2F" w:rsidRPr="00837CB8">
        <w:rPr>
          <w:rStyle w:val="normaltextrun"/>
          <w:rFonts w:eastAsia="Arial"/>
          <w:color w:val="000000" w:themeColor="text1"/>
          <w:sz w:val="22"/>
          <w:szCs w:val="22"/>
        </w:rPr>
        <w:t>CPAMS</w:t>
      </w:r>
      <w:r w:rsidR="00790CD8" w:rsidRPr="00837CB8">
        <w:rPr>
          <w:rStyle w:val="normaltextrun"/>
          <w:rFonts w:eastAsia="Arial"/>
          <w:color w:val="000000" w:themeColor="text1"/>
          <w:sz w:val="22"/>
          <w:szCs w:val="22"/>
        </w:rPr>
        <w:t>)</w:t>
      </w:r>
    </w:p>
    <w:p w14:paraId="6001AF11" w14:textId="5C966820" w:rsidR="001F2736" w:rsidRPr="00F83F9A" w:rsidRDefault="00274C59" w:rsidP="00837CB8">
      <w:pPr>
        <w:pStyle w:val="ListParagraph"/>
        <w:numPr>
          <w:ilvl w:val="0"/>
          <w:numId w:val="28"/>
        </w:numPr>
        <w:ind w:left="567" w:hanging="567"/>
        <w:rPr>
          <w:rStyle w:val="normaltextrun"/>
          <w:rFonts w:eastAsia="Arial"/>
          <w:color w:val="000000" w:themeColor="text1"/>
          <w:sz w:val="22"/>
          <w:szCs w:val="22"/>
        </w:rPr>
      </w:pPr>
      <w:r w:rsidRPr="00F83F9A">
        <w:rPr>
          <w:rStyle w:val="normaltextrun"/>
          <w:rFonts w:eastAsia="Arial"/>
          <w:color w:val="000000" w:themeColor="text1"/>
          <w:sz w:val="22"/>
          <w:szCs w:val="22"/>
        </w:rPr>
        <w:t>a</w:t>
      </w:r>
      <w:r w:rsidR="008A311B" w:rsidRPr="00F83F9A">
        <w:rPr>
          <w:rStyle w:val="normaltextrun"/>
          <w:rFonts w:eastAsia="Arial"/>
          <w:color w:val="000000" w:themeColor="text1"/>
          <w:sz w:val="22"/>
          <w:szCs w:val="22"/>
        </w:rPr>
        <w:t xml:space="preserve"> reduction in the </w:t>
      </w:r>
      <w:r w:rsidR="006314D5" w:rsidRPr="00F83F9A">
        <w:rPr>
          <w:rStyle w:val="normaltextrun"/>
          <w:rFonts w:eastAsia="Arial"/>
          <w:color w:val="000000" w:themeColor="text1"/>
          <w:sz w:val="22"/>
          <w:szCs w:val="22"/>
        </w:rPr>
        <w:t xml:space="preserve">2022/23 </w:t>
      </w:r>
      <w:r w:rsidR="008A311B" w:rsidRPr="00F83F9A">
        <w:rPr>
          <w:rStyle w:val="normaltextrun"/>
          <w:rFonts w:eastAsia="Arial"/>
          <w:color w:val="000000" w:themeColor="text1"/>
          <w:sz w:val="22"/>
          <w:szCs w:val="22"/>
        </w:rPr>
        <w:t xml:space="preserve">APAS </w:t>
      </w:r>
      <w:r w:rsidR="003C17F8">
        <w:rPr>
          <w:rStyle w:val="normaltextrun"/>
          <w:rFonts w:eastAsia="Arial"/>
          <w:color w:val="000000" w:themeColor="text1"/>
          <w:sz w:val="22"/>
          <w:szCs w:val="22"/>
        </w:rPr>
        <w:t>p</w:t>
      </w:r>
      <w:r w:rsidR="008B3AE8" w:rsidRPr="00F83F9A">
        <w:rPr>
          <w:rStyle w:val="normaltextrun"/>
          <w:rFonts w:eastAsia="Arial"/>
          <w:color w:val="000000" w:themeColor="text1"/>
          <w:sz w:val="22"/>
          <w:szCs w:val="22"/>
        </w:rPr>
        <w:t>ayment pool</w:t>
      </w:r>
      <w:r w:rsidRPr="00F83F9A">
        <w:rPr>
          <w:rStyle w:val="normaltextrun"/>
          <w:rFonts w:eastAsia="Arial"/>
          <w:color w:val="000000" w:themeColor="text1"/>
          <w:sz w:val="22"/>
          <w:szCs w:val="22"/>
        </w:rPr>
        <w:t xml:space="preserve"> from $17.575 million to $12.150 million </w:t>
      </w:r>
      <w:r w:rsidR="00F916E1">
        <w:rPr>
          <w:rStyle w:val="normaltextrun"/>
          <w:rFonts w:eastAsia="Arial"/>
          <w:color w:val="000000" w:themeColor="text1"/>
          <w:sz w:val="22"/>
          <w:szCs w:val="22"/>
        </w:rPr>
        <w:t>per quarter</w:t>
      </w:r>
      <w:r w:rsidR="002C000E">
        <w:rPr>
          <w:rStyle w:val="normaltextrun"/>
          <w:rFonts w:eastAsia="Arial"/>
          <w:color w:val="000000" w:themeColor="text1"/>
          <w:sz w:val="22"/>
          <w:szCs w:val="22"/>
        </w:rPr>
        <w:t xml:space="preserve">, with </w:t>
      </w:r>
      <w:r w:rsidRPr="00F83F9A">
        <w:rPr>
          <w:rStyle w:val="normaltextrun"/>
          <w:rFonts w:eastAsia="Arial"/>
          <w:color w:val="000000" w:themeColor="text1"/>
          <w:sz w:val="22"/>
          <w:szCs w:val="22"/>
        </w:rPr>
        <w:t xml:space="preserve">$21.70 million </w:t>
      </w:r>
      <w:r w:rsidR="00BD4F9D">
        <w:rPr>
          <w:rStyle w:val="normaltextrun"/>
          <w:rFonts w:eastAsia="Arial"/>
          <w:color w:val="000000" w:themeColor="text1"/>
          <w:sz w:val="22"/>
          <w:szCs w:val="22"/>
        </w:rPr>
        <w:t xml:space="preserve">(or </w:t>
      </w:r>
      <w:r w:rsidRPr="00F83F9A">
        <w:rPr>
          <w:rStyle w:val="normaltextrun"/>
          <w:rFonts w:eastAsia="Arial"/>
          <w:color w:val="000000" w:themeColor="text1"/>
          <w:sz w:val="22"/>
          <w:szCs w:val="22"/>
        </w:rPr>
        <w:t>30.87%</w:t>
      </w:r>
      <w:r w:rsidR="00BD4F9D">
        <w:rPr>
          <w:rStyle w:val="normaltextrun"/>
          <w:rFonts w:eastAsia="Arial"/>
          <w:color w:val="000000" w:themeColor="text1"/>
          <w:sz w:val="22"/>
          <w:szCs w:val="22"/>
        </w:rPr>
        <w:t xml:space="preserve"> of the total A</w:t>
      </w:r>
      <w:r w:rsidR="00667F04">
        <w:rPr>
          <w:rStyle w:val="normaltextrun"/>
          <w:rFonts w:eastAsia="Arial"/>
          <w:color w:val="000000" w:themeColor="text1"/>
          <w:sz w:val="22"/>
          <w:szCs w:val="22"/>
        </w:rPr>
        <w:t>PAS</w:t>
      </w:r>
      <w:r w:rsidR="00BD4F9D">
        <w:rPr>
          <w:rStyle w:val="normaltextrun"/>
          <w:rFonts w:eastAsia="Arial"/>
          <w:color w:val="000000" w:themeColor="text1"/>
          <w:sz w:val="22"/>
          <w:szCs w:val="22"/>
        </w:rPr>
        <w:t xml:space="preserve"> funding pool</w:t>
      </w:r>
      <w:r w:rsidRPr="00F83F9A">
        <w:rPr>
          <w:rStyle w:val="normaltextrun"/>
          <w:rFonts w:eastAsia="Arial"/>
          <w:color w:val="000000" w:themeColor="text1"/>
          <w:sz w:val="22"/>
          <w:szCs w:val="22"/>
        </w:rPr>
        <w:t>)</w:t>
      </w:r>
      <w:r w:rsidR="00F83F9A">
        <w:rPr>
          <w:rStyle w:val="normaltextrun"/>
          <w:rFonts w:eastAsia="Arial"/>
          <w:color w:val="000000" w:themeColor="text1"/>
          <w:sz w:val="22"/>
          <w:szCs w:val="22"/>
        </w:rPr>
        <w:t xml:space="preserve"> </w:t>
      </w:r>
      <w:r w:rsidR="006314D5" w:rsidRPr="00F83F9A">
        <w:rPr>
          <w:rStyle w:val="normaltextrun"/>
          <w:rFonts w:eastAsia="Arial"/>
          <w:color w:val="000000" w:themeColor="text1"/>
          <w:sz w:val="22"/>
          <w:szCs w:val="22"/>
        </w:rPr>
        <w:t xml:space="preserve">redistributed </w:t>
      </w:r>
      <w:r w:rsidR="00FC76E4">
        <w:rPr>
          <w:rStyle w:val="normaltextrun"/>
          <w:rFonts w:eastAsia="Arial"/>
          <w:color w:val="000000" w:themeColor="text1"/>
          <w:sz w:val="22"/>
          <w:szCs w:val="22"/>
        </w:rPr>
        <w:t xml:space="preserve">and paid </w:t>
      </w:r>
      <w:r w:rsidR="006314D5" w:rsidRPr="00F83F9A">
        <w:rPr>
          <w:rStyle w:val="normaltextrun"/>
          <w:rFonts w:eastAsia="Arial"/>
          <w:color w:val="000000" w:themeColor="text1"/>
          <w:sz w:val="22"/>
          <w:szCs w:val="22"/>
        </w:rPr>
        <w:t xml:space="preserve">across the service lines </w:t>
      </w:r>
      <w:r w:rsidR="00232FDD" w:rsidRPr="00F83F9A">
        <w:rPr>
          <w:rStyle w:val="normaltextrun"/>
          <w:rFonts w:eastAsia="Arial"/>
          <w:color w:val="000000" w:themeColor="text1"/>
          <w:sz w:val="22"/>
          <w:szCs w:val="22"/>
        </w:rPr>
        <w:t xml:space="preserve">indicated under </w:t>
      </w:r>
      <w:r w:rsidR="00837CB8">
        <w:rPr>
          <w:rStyle w:val="normaltextrun"/>
          <w:rFonts w:eastAsia="Arial"/>
          <w:color w:val="000000" w:themeColor="text1"/>
          <w:sz w:val="22"/>
          <w:szCs w:val="22"/>
        </w:rPr>
        <w:t>(</w:t>
      </w:r>
      <w:r w:rsidR="00232FDD" w:rsidRPr="00F83F9A">
        <w:rPr>
          <w:rStyle w:val="normaltextrun"/>
          <w:rFonts w:eastAsia="Arial"/>
          <w:color w:val="000000" w:themeColor="text1"/>
          <w:sz w:val="22"/>
          <w:szCs w:val="22"/>
        </w:rPr>
        <w:t>a</w:t>
      </w:r>
      <w:r w:rsidR="00837CB8">
        <w:rPr>
          <w:rStyle w:val="normaltextrun"/>
          <w:rFonts w:eastAsia="Arial"/>
          <w:color w:val="000000" w:themeColor="text1"/>
          <w:sz w:val="22"/>
          <w:szCs w:val="22"/>
        </w:rPr>
        <w:t>)</w:t>
      </w:r>
      <w:r w:rsidR="00232FDD" w:rsidRPr="00F83F9A">
        <w:rPr>
          <w:rStyle w:val="normaltextrun"/>
          <w:rFonts w:eastAsia="Arial"/>
          <w:color w:val="000000" w:themeColor="text1"/>
          <w:sz w:val="22"/>
          <w:szCs w:val="22"/>
        </w:rPr>
        <w:t xml:space="preserve"> above.</w:t>
      </w:r>
    </w:p>
    <w:p w14:paraId="13E2B070" w14:textId="7A97797F" w:rsidR="005A501B" w:rsidRDefault="005A501B" w:rsidP="006B310F">
      <w:pPr>
        <w:spacing w:after="0" w:line="240" w:lineRule="auto"/>
        <w:rPr>
          <w:rStyle w:val="normaltextrun"/>
          <w:rFonts w:eastAsia="Arial"/>
          <w:color w:val="000000" w:themeColor="text1"/>
          <w:sz w:val="22"/>
          <w:szCs w:val="22"/>
        </w:rPr>
      </w:pPr>
    </w:p>
    <w:p w14:paraId="0EFC2904" w14:textId="43272CC8" w:rsidR="00015EC0" w:rsidRDefault="00A775D0" w:rsidP="00587491">
      <w:pPr>
        <w:spacing w:after="0" w:line="240" w:lineRule="auto"/>
      </w:pPr>
      <w:r>
        <w:rPr>
          <w:rStyle w:val="normaltextrun"/>
          <w:rFonts w:eastAsia="Arial"/>
          <w:noProof/>
          <w:color w:val="000000" w:themeColor="text1"/>
          <w:sz w:val="22"/>
          <w:szCs w:val="22"/>
        </w:rPr>
        <w:t>See Appendix 1 of this letter for detail on fee increases to each of the service lines listed</w:t>
      </w:r>
      <w:r w:rsidR="0085780D">
        <w:rPr>
          <w:rStyle w:val="normaltextrun"/>
          <w:rFonts w:eastAsia="Arial"/>
          <w:noProof/>
          <w:color w:val="000000" w:themeColor="text1"/>
          <w:sz w:val="22"/>
          <w:szCs w:val="22"/>
        </w:rPr>
        <w:t xml:space="preserve"> in </w:t>
      </w:r>
      <w:r w:rsidR="00837CB8">
        <w:rPr>
          <w:rStyle w:val="normaltextrun"/>
          <w:rFonts w:eastAsia="Arial"/>
          <w:noProof/>
          <w:color w:val="000000" w:themeColor="text1"/>
          <w:sz w:val="22"/>
          <w:szCs w:val="22"/>
        </w:rPr>
        <w:t>(</w:t>
      </w:r>
      <w:r w:rsidR="0085780D">
        <w:rPr>
          <w:rStyle w:val="normaltextrun"/>
          <w:rFonts w:eastAsia="Arial"/>
          <w:noProof/>
          <w:color w:val="000000" w:themeColor="text1"/>
          <w:sz w:val="22"/>
          <w:szCs w:val="22"/>
        </w:rPr>
        <w:t>a</w:t>
      </w:r>
      <w:r w:rsidR="00837CB8">
        <w:rPr>
          <w:rStyle w:val="normaltextrun"/>
          <w:rFonts w:eastAsia="Arial"/>
          <w:noProof/>
          <w:color w:val="000000" w:themeColor="text1"/>
          <w:sz w:val="22"/>
          <w:szCs w:val="22"/>
        </w:rPr>
        <w:t>)</w:t>
      </w:r>
      <w:r>
        <w:rPr>
          <w:rStyle w:val="normaltextrun"/>
          <w:rFonts w:eastAsia="Arial"/>
          <w:noProof/>
          <w:color w:val="000000" w:themeColor="text1"/>
          <w:sz w:val="22"/>
          <w:szCs w:val="22"/>
        </w:rPr>
        <w:t xml:space="preserve"> above.</w:t>
      </w:r>
    </w:p>
    <w:p w14:paraId="5480833F" w14:textId="77777777" w:rsidR="00A775D0" w:rsidRDefault="00A775D0" w:rsidP="006B310F">
      <w:pPr>
        <w:spacing w:after="0" w:line="240" w:lineRule="auto"/>
        <w:rPr>
          <w:rStyle w:val="normaltextrun"/>
          <w:rFonts w:eastAsia="Arial"/>
          <w:color w:val="000000" w:themeColor="text1"/>
          <w:sz w:val="22"/>
          <w:szCs w:val="22"/>
        </w:rPr>
      </w:pPr>
    </w:p>
    <w:p w14:paraId="394E7F5E" w14:textId="50EDD8D6" w:rsidR="004B173B" w:rsidRDefault="004B173B" w:rsidP="006B310F">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 xml:space="preserve">This </w:t>
      </w:r>
      <w:r w:rsidR="00173F03">
        <w:rPr>
          <w:rStyle w:val="normaltextrun"/>
          <w:rFonts w:eastAsia="Arial"/>
          <w:color w:val="000000" w:themeColor="text1"/>
          <w:sz w:val="22"/>
          <w:szCs w:val="22"/>
        </w:rPr>
        <w:t xml:space="preserve">formula recognised the pharmacy sector’s desire to </w:t>
      </w:r>
      <w:r w:rsidR="00F1085B">
        <w:rPr>
          <w:rStyle w:val="normaltextrun"/>
          <w:rFonts w:eastAsia="Arial"/>
          <w:color w:val="000000" w:themeColor="text1"/>
          <w:sz w:val="22"/>
          <w:szCs w:val="22"/>
        </w:rPr>
        <w:t>move APAS funding into the services fees with a staged approach</w:t>
      </w:r>
      <w:r w:rsidR="00B80C08">
        <w:rPr>
          <w:rStyle w:val="normaltextrun"/>
          <w:rFonts w:eastAsia="Arial"/>
          <w:color w:val="000000" w:themeColor="text1"/>
          <w:sz w:val="22"/>
          <w:szCs w:val="22"/>
        </w:rPr>
        <w:t xml:space="preserve"> </w:t>
      </w:r>
      <w:r w:rsidR="00B80C08">
        <w:rPr>
          <w:rStyle w:val="normaltextrun"/>
          <w:rFonts w:eastAsia="Arial"/>
          <w:noProof/>
          <w:color w:val="000000" w:themeColor="text1"/>
          <w:sz w:val="22"/>
          <w:szCs w:val="22"/>
        </w:rPr>
        <w:t xml:space="preserve">to better </w:t>
      </w:r>
      <w:r w:rsidR="00C000A5">
        <w:rPr>
          <w:rStyle w:val="normaltextrun"/>
          <w:rFonts w:eastAsia="Arial"/>
          <w:noProof/>
          <w:color w:val="000000" w:themeColor="text1"/>
          <w:sz w:val="22"/>
          <w:szCs w:val="22"/>
        </w:rPr>
        <w:t>represent</w:t>
      </w:r>
      <w:r w:rsidR="006A3C10">
        <w:rPr>
          <w:rStyle w:val="normaltextrun"/>
          <w:rFonts w:eastAsia="Arial"/>
          <w:noProof/>
          <w:color w:val="000000" w:themeColor="text1"/>
          <w:sz w:val="22"/>
          <w:szCs w:val="22"/>
        </w:rPr>
        <w:t xml:space="preserve"> where </w:t>
      </w:r>
      <w:r w:rsidR="0076447D">
        <w:rPr>
          <w:rStyle w:val="normaltextrun"/>
          <w:rFonts w:eastAsia="Arial"/>
          <w:noProof/>
          <w:color w:val="000000" w:themeColor="text1"/>
          <w:sz w:val="22"/>
          <w:szCs w:val="22"/>
        </w:rPr>
        <w:t>service</w:t>
      </w:r>
      <w:r w:rsidR="002F046E">
        <w:rPr>
          <w:rStyle w:val="normaltextrun"/>
          <w:rFonts w:eastAsia="Arial"/>
          <w:noProof/>
          <w:color w:val="000000" w:themeColor="text1"/>
          <w:sz w:val="22"/>
          <w:szCs w:val="22"/>
        </w:rPr>
        <w:t xml:space="preserve">-based </w:t>
      </w:r>
      <w:r w:rsidR="00B80C08">
        <w:rPr>
          <w:rStyle w:val="normaltextrun"/>
          <w:rFonts w:eastAsia="Arial"/>
          <w:noProof/>
          <w:color w:val="000000" w:themeColor="text1"/>
          <w:sz w:val="22"/>
          <w:szCs w:val="22"/>
        </w:rPr>
        <w:t>cost pressures associated with community pharmacy activity</w:t>
      </w:r>
      <w:r w:rsidR="00F8192D">
        <w:rPr>
          <w:rStyle w:val="normaltextrun"/>
          <w:rFonts w:eastAsia="Arial"/>
          <w:noProof/>
          <w:color w:val="000000" w:themeColor="text1"/>
          <w:sz w:val="22"/>
          <w:szCs w:val="22"/>
        </w:rPr>
        <w:t xml:space="preserve"> arise</w:t>
      </w:r>
      <w:r w:rsidR="00CE7A2C">
        <w:rPr>
          <w:rStyle w:val="normaltextrun"/>
          <w:rFonts w:eastAsia="Arial"/>
          <w:noProof/>
          <w:color w:val="000000" w:themeColor="text1"/>
          <w:sz w:val="22"/>
          <w:szCs w:val="22"/>
        </w:rPr>
        <w:t xml:space="preserve"> in practice</w:t>
      </w:r>
      <w:r w:rsidR="00894B1E">
        <w:rPr>
          <w:rStyle w:val="normaltextrun"/>
          <w:rFonts w:eastAsia="Arial"/>
          <w:color w:val="000000" w:themeColor="text1"/>
          <w:sz w:val="22"/>
          <w:szCs w:val="22"/>
        </w:rPr>
        <w:t>.</w:t>
      </w:r>
    </w:p>
    <w:p w14:paraId="31BE0AB3" w14:textId="77777777" w:rsidR="005817BF" w:rsidRDefault="005817BF" w:rsidP="006B310F">
      <w:pPr>
        <w:spacing w:after="0" w:line="240" w:lineRule="auto"/>
        <w:rPr>
          <w:rStyle w:val="normaltextrun"/>
          <w:rFonts w:eastAsia="Arial"/>
          <w:color w:val="000000" w:themeColor="text1"/>
          <w:sz w:val="22"/>
          <w:szCs w:val="22"/>
        </w:rPr>
      </w:pPr>
    </w:p>
    <w:p w14:paraId="78EBDCE8" w14:textId="54719291" w:rsidR="005817BF" w:rsidRDefault="005817BF" w:rsidP="005817BF">
      <w:pPr>
        <w:pStyle w:val="Default"/>
        <w:rPr>
          <w:sz w:val="22"/>
          <w:szCs w:val="22"/>
        </w:rPr>
      </w:pPr>
      <w:r w:rsidRPr="006B0586">
        <w:rPr>
          <w:sz w:val="22"/>
          <w:szCs w:val="22"/>
        </w:rPr>
        <w:t xml:space="preserve">It is Te Whatu Ora’s strong </w:t>
      </w:r>
      <w:r>
        <w:rPr>
          <w:sz w:val="22"/>
          <w:szCs w:val="22"/>
        </w:rPr>
        <w:t xml:space="preserve">expectation that as much funding as possible is directed toward frontline services and to support the </w:t>
      </w:r>
      <w:r w:rsidR="006E64B2">
        <w:rPr>
          <w:sz w:val="22"/>
          <w:szCs w:val="22"/>
        </w:rPr>
        <w:t xml:space="preserve">pharmacy </w:t>
      </w:r>
      <w:r>
        <w:rPr>
          <w:sz w:val="22"/>
          <w:szCs w:val="22"/>
        </w:rPr>
        <w:t>workforce.</w:t>
      </w:r>
      <w:r w:rsidRPr="00427EB1">
        <w:rPr>
          <w:rStyle w:val="FootnoteReference"/>
          <w:color w:val="auto"/>
        </w:rPr>
        <w:footnoteReference w:id="2"/>
      </w:r>
    </w:p>
    <w:p w14:paraId="1DD5216F" w14:textId="77777777" w:rsidR="00587491" w:rsidRDefault="00587491" w:rsidP="005817BF">
      <w:pPr>
        <w:pStyle w:val="Default"/>
        <w:rPr>
          <w:sz w:val="22"/>
          <w:szCs w:val="22"/>
        </w:rPr>
      </w:pPr>
    </w:p>
    <w:p w14:paraId="5B3E6B85" w14:textId="4FA45DF6" w:rsidR="00587491" w:rsidRPr="00782135" w:rsidRDefault="00587491" w:rsidP="00587491">
      <w:pPr>
        <w:spacing w:after="0" w:line="240" w:lineRule="auto"/>
        <w:rPr>
          <w:sz w:val="22"/>
          <w:szCs w:val="22"/>
        </w:rPr>
      </w:pPr>
      <w:r w:rsidRPr="00587491">
        <w:rPr>
          <w:rStyle w:val="normaltextrun"/>
          <w:rFonts w:eastAsia="Arial"/>
          <w:noProof/>
          <w:color w:val="000000" w:themeColor="text1"/>
          <w:sz w:val="22"/>
          <w:szCs w:val="22"/>
        </w:rPr>
        <w:t xml:space="preserve">Because the Acceptance Date for Variation 5 is </w:t>
      </w:r>
      <w:r w:rsidR="00837CB8">
        <w:rPr>
          <w:rStyle w:val="normaltextrun"/>
          <w:rFonts w:eastAsia="Arial"/>
          <w:noProof/>
          <w:color w:val="000000" w:themeColor="text1"/>
          <w:sz w:val="22"/>
          <w:szCs w:val="22"/>
        </w:rPr>
        <w:t>20 November</w:t>
      </w:r>
      <w:r w:rsidRPr="00F33DA6">
        <w:rPr>
          <w:rStyle w:val="normaltextrun"/>
          <w:rFonts w:eastAsia="Arial"/>
          <w:noProof/>
          <w:color w:val="000000" w:themeColor="text1"/>
          <w:sz w:val="22"/>
          <w:szCs w:val="22"/>
        </w:rPr>
        <w:t xml:space="preserve"> 2023</w:t>
      </w:r>
      <w:r w:rsidRPr="00587491">
        <w:rPr>
          <w:rStyle w:val="normaltextrun"/>
          <w:rFonts w:eastAsia="Arial"/>
          <w:noProof/>
          <w:color w:val="000000" w:themeColor="text1"/>
          <w:sz w:val="22"/>
          <w:szCs w:val="22"/>
        </w:rPr>
        <w:t xml:space="preserve">, which is after the </w:t>
      </w:r>
      <w:r w:rsidR="006E7BA1">
        <w:rPr>
          <w:rStyle w:val="normaltextrun"/>
          <w:rFonts w:eastAsia="Arial"/>
          <w:noProof/>
          <w:color w:val="000000" w:themeColor="text1"/>
          <w:sz w:val="22"/>
          <w:szCs w:val="22"/>
        </w:rPr>
        <w:t>start</w:t>
      </w:r>
      <w:r w:rsidRPr="00587491">
        <w:rPr>
          <w:rStyle w:val="normaltextrun"/>
          <w:rFonts w:eastAsia="Arial"/>
          <w:noProof/>
          <w:color w:val="000000" w:themeColor="text1"/>
          <w:sz w:val="22"/>
          <w:szCs w:val="22"/>
        </w:rPr>
        <w:t xml:space="preserve"> date of the variation (which will be either 1 July or 1 October 2023</w:t>
      </w:r>
      <w:r w:rsidR="00FB42D8">
        <w:rPr>
          <w:rStyle w:val="normaltextrun"/>
          <w:rFonts w:eastAsia="Arial"/>
          <w:noProof/>
          <w:color w:val="000000" w:themeColor="text1"/>
          <w:sz w:val="22"/>
          <w:szCs w:val="22"/>
        </w:rPr>
        <w:t xml:space="preserve"> depending on whether </w:t>
      </w:r>
      <w:r w:rsidR="00904680">
        <w:rPr>
          <w:rStyle w:val="normaltextrun"/>
          <w:rFonts w:eastAsia="Arial"/>
          <w:noProof/>
          <w:color w:val="000000" w:themeColor="text1"/>
          <w:sz w:val="22"/>
          <w:szCs w:val="22"/>
        </w:rPr>
        <w:t xml:space="preserve">or not </w:t>
      </w:r>
      <w:r w:rsidR="00FB42D8">
        <w:rPr>
          <w:rStyle w:val="normaltextrun"/>
          <w:rFonts w:eastAsia="Arial"/>
          <w:noProof/>
          <w:color w:val="000000" w:themeColor="text1"/>
          <w:sz w:val="22"/>
          <w:szCs w:val="22"/>
        </w:rPr>
        <w:t>all pharmacies accept Variation 5</w:t>
      </w:r>
      <w:r w:rsidRPr="00587491">
        <w:rPr>
          <w:rStyle w:val="normaltextrun"/>
          <w:rFonts w:eastAsia="Arial"/>
          <w:noProof/>
          <w:color w:val="000000" w:themeColor="text1"/>
          <w:sz w:val="22"/>
          <w:szCs w:val="22"/>
        </w:rPr>
        <w:t xml:space="preserve">), </w:t>
      </w:r>
      <w:r w:rsidRPr="00587491">
        <w:rPr>
          <w:sz w:val="22"/>
          <w:szCs w:val="22"/>
        </w:rPr>
        <w:t xml:space="preserve">there will need to be washups and back payments in respect of the </w:t>
      </w:r>
      <w:r>
        <w:rPr>
          <w:sz w:val="22"/>
          <w:szCs w:val="22"/>
        </w:rPr>
        <w:t>f</w:t>
      </w:r>
      <w:r w:rsidRPr="00587491">
        <w:rPr>
          <w:sz w:val="22"/>
          <w:szCs w:val="22"/>
        </w:rPr>
        <w:t xml:space="preserve">unding </w:t>
      </w:r>
      <w:r>
        <w:rPr>
          <w:sz w:val="22"/>
          <w:szCs w:val="22"/>
        </w:rPr>
        <w:t>c</w:t>
      </w:r>
      <w:r w:rsidRPr="00587491">
        <w:rPr>
          <w:sz w:val="22"/>
          <w:szCs w:val="22"/>
        </w:rPr>
        <w:t xml:space="preserve">hanges. These </w:t>
      </w:r>
      <w:r>
        <w:rPr>
          <w:sz w:val="22"/>
          <w:szCs w:val="22"/>
        </w:rPr>
        <w:t xml:space="preserve">are described in </w:t>
      </w:r>
      <w:r w:rsidR="00FB173B">
        <w:rPr>
          <w:sz w:val="22"/>
          <w:szCs w:val="22"/>
        </w:rPr>
        <w:t xml:space="preserve">Appendices 2 and 3 </w:t>
      </w:r>
      <w:r w:rsidR="00BE5072">
        <w:rPr>
          <w:sz w:val="22"/>
          <w:szCs w:val="22"/>
        </w:rPr>
        <w:t>and</w:t>
      </w:r>
      <w:r>
        <w:rPr>
          <w:sz w:val="22"/>
          <w:szCs w:val="22"/>
        </w:rPr>
        <w:t xml:space="preserve"> have been incorporated into the Variation</w:t>
      </w:r>
      <w:r w:rsidRPr="00587491">
        <w:rPr>
          <w:sz w:val="22"/>
          <w:szCs w:val="22"/>
        </w:rPr>
        <w:t>.</w:t>
      </w:r>
    </w:p>
    <w:p w14:paraId="6482DD3F" w14:textId="77777777" w:rsidR="0096019C" w:rsidRPr="00BA0798" w:rsidRDefault="0096019C" w:rsidP="006B310F">
      <w:pPr>
        <w:spacing w:after="0" w:line="240" w:lineRule="auto"/>
        <w:rPr>
          <w:rStyle w:val="normaltextrun"/>
          <w:rFonts w:eastAsia="Arial"/>
          <w:color w:val="000000" w:themeColor="text1"/>
          <w:sz w:val="22"/>
          <w:szCs w:val="22"/>
        </w:rPr>
      </w:pPr>
    </w:p>
    <w:p w14:paraId="32DB0014" w14:textId="77777777" w:rsidR="00C2196F" w:rsidRPr="00C2196F" w:rsidRDefault="00C2196F" w:rsidP="00823D75">
      <w:pPr>
        <w:spacing w:after="120" w:line="240" w:lineRule="auto"/>
        <w:rPr>
          <w:rStyle w:val="normaltextrun"/>
          <w:rFonts w:eastAsia="Arial"/>
          <w:b/>
          <w:bCs/>
          <w:color w:val="00A3AD"/>
          <w:sz w:val="22"/>
          <w:szCs w:val="22"/>
        </w:rPr>
      </w:pPr>
      <w:r w:rsidRPr="00C2196F">
        <w:rPr>
          <w:rStyle w:val="normaltextrun"/>
          <w:rFonts w:eastAsia="Arial"/>
          <w:b/>
          <w:bCs/>
          <w:color w:val="00A3AD"/>
          <w:sz w:val="22"/>
          <w:szCs w:val="22"/>
        </w:rPr>
        <w:t>Immunisation Services</w:t>
      </w:r>
    </w:p>
    <w:p w14:paraId="66047D9A" w14:textId="457B14D3" w:rsidR="00C2196F" w:rsidRPr="00D57752" w:rsidRDefault="00C2196F" w:rsidP="00C2196F">
      <w:pPr>
        <w:spacing w:after="0" w:line="240" w:lineRule="auto"/>
        <w:rPr>
          <w:rStyle w:val="normaltextrun"/>
          <w:rFonts w:eastAsia="Arial"/>
          <w:color w:val="000000" w:themeColor="text1"/>
          <w:sz w:val="22"/>
          <w:szCs w:val="22"/>
        </w:rPr>
      </w:pPr>
      <w:r w:rsidRPr="00D57752">
        <w:rPr>
          <w:rStyle w:val="normaltextrun"/>
          <w:rFonts w:eastAsia="Arial"/>
          <w:color w:val="000000" w:themeColor="text1"/>
          <w:sz w:val="22"/>
          <w:szCs w:val="22"/>
        </w:rPr>
        <w:t xml:space="preserve">The immunisation administration fee will increase from $27.84 </w:t>
      </w:r>
      <w:r w:rsidR="007D5380" w:rsidRPr="00D57752">
        <w:rPr>
          <w:rStyle w:val="normaltextrun"/>
          <w:rFonts w:eastAsia="Arial"/>
          <w:color w:val="000000" w:themeColor="text1"/>
          <w:sz w:val="22"/>
          <w:szCs w:val="22"/>
        </w:rPr>
        <w:t>to $</w:t>
      </w:r>
      <w:r w:rsidR="00FD62BC" w:rsidRPr="00D57752">
        <w:rPr>
          <w:rStyle w:val="normaltextrun"/>
          <w:rFonts w:eastAsia="Arial"/>
          <w:color w:val="000000" w:themeColor="text1"/>
          <w:sz w:val="22"/>
          <w:szCs w:val="22"/>
        </w:rPr>
        <w:t>36.05 (</w:t>
      </w:r>
      <w:r w:rsidRPr="00D57752">
        <w:rPr>
          <w:rStyle w:val="normaltextrun"/>
          <w:rFonts w:eastAsia="Arial"/>
          <w:color w:val="000000" w:themeColor="text1"/>
          <w:sz w:val="22"/>
          <w:szCs w:val="22"/>
        </w:rPr>
        <w:t>excluding GST</w:t>
      </w:r>
      <w:r w:rsidR="00FD62BC" w:rsidRPr="00D57752">
        <w:rPr>
          <w:rStyle w:val="normaltextrun"/>
          <w:rFonts w:eastAsia="Arial"/>
          <w:color w:val="000000" w:themeColor="text1"/>
          <w:sz w:val="22"/>
          <w:szCs w:val="22"/>
        </w:rPr>
        <w:t>)</w:t>
      </w:r>
      <w:r w:rsidRPr="00D57752">
        <w:rPr>
          <w:rStyle w:val="normaltextrun"/>
          <w:rFonts w:eastAsia="Arial"/>
          <w:color w:val="000000" w:themeColor="text1"/>
          <w:sz w:val="22"/>
          <w:szCs w:val="22"/>
        </w:rPr>
        <w:t>. This</w:t>
      </w:r>
    </w:p>
    <w:p w14:paraId="7A829FB0" w14:textId="513A78DA" w:rsidR="00C2196F" w:rsidRPr="00823D75" w:rsidRDefault="00C2196F" w:rsidP="00C2196F">
      <w:pPr>
        <w:spacing w:after="0" w:line="240" w:lineRule="auto"/>
        <w:rPr>
          <w:rStyle w:val="normaltextrun"/>
          <w:rFonts w:eastAsia="Arial"/>
          <w:color w:val="000000" w:themeColor="text1"/>
          <w:sz w:val="22"/>
          <w:szCs w:val="22"/>
          <w:highlight w:val="yellow"/>
        </w:rPr>
      </w:pPr>
      <w:r w:rsidRPr="00D57752">
        <w:rPr>
          <w:rStyle w:val="normaltextrun"/>
          <w:rFonts w:eastAsia="Arial"/>
          <w:color w:val="000000" w:themeColor="text1"/>
          <w:sz w:val="22"/>
          <w:szCs w:val="22"/>
        </w:rPr>
        <w:t xml:space="preserve">increase will </w:t>
      </w:r>
      <w:r w:rsidR="00D57752" w:rsidRPr="00D57752">
        <w:rPr>
          <w:rStyle w:val="normaltextrun"/>
          <w:rFonts w:eastAsia="Arial"/>
          <w:color w:val="000000" w:themeColor="text1"/>
          <w:sz w:val="22"/>
          <w:szCs w:val="22"/>
        </w:rPr>
        <w:t xml:space="preserve">be backdated to </w:t>
      </w:r>
      <w:r w:rsidRPr="00D57752">
        <w:rPr>
          <w:rStyle w:val="normaltextrun"/>
          <w:rFonts w:eastAsia="Arial"/>
          <w:color w:val="000000" w:themeColor="text1"/>
          <w:sz w:val="22"/>
          <w:szCs w:val="22"/>
        </w:rPr>
        <w:t>1 July 202</w:t>
      </w:r>
      <w:r w:rsidR="00FD62BC" w:rsidRPr="00D57752">
        <w:rPr>
          <w:rStyle w:val="normaltextrun"/>
          <w:rFonts w:eastAsia="Arial"/>
          <w:color w:val="000000" w:themeColor="text1"/>
          <w:sz w:val="22"/>
          <w:szCs w:val="22"/>
        </w:rPr>
        <w:t>3</w:t>
      </w:r>
      <w:r w:rsidRPr="00D57752">
        <w:rPr>
          <w:rStyle w:val="normaltextrun"/>
          <w:rFonts w:eastAsia="Arial"/>
          <w:color w:val="000000" w:themeColor="text1"/>
          <w:sz w:val="22"/>
          <w:szCs w:val="22"/>
        </w:rPr>
        <w:t xml:space="preserve"> for providers </w:t>
      </w:r>
      <w:r w:rsidR="00FB42D8">
        <w:rPr>
          <w:rStyle w:val="normaltextrun"/>
          <w:rFonts w:eastAsia="Arial"/>
          <w:color w:val="000000" w:themeColor="text1"/>
          <w:sz w:val="22"/>
          <w:szCs w:val="22"/>
        </w:rPr>
        <w:t>that</w:t>
      </w:r>
      <w:r w:rsidR="00FB42D8" w:rsidRPr="00D57752">
        <w:rPr>
          <w:rStyle w:val="normaltextrun"/>
          <w:rFonts w:eastAsia="Arial"/>
          <w:color w:val="000000" w:themeColor="text1"/>
          <w:sz w:val="22"/>
          <w:szCs w:val="22"/>
        </w:rPr>
        <w:t xml:space="preserve"> </w:t>
      </w:r>
      <w:r w:rsidRPr="00D57752">
        <w:rPr>
          <w:rStyle w:val="normaltextrun"/>
          <w:rFonts w:eastAsia="Arial"/>
          <w:color w:val="000000" w:themeColor="text1"/>
          <w:sz w:val="22"/>
          <w:szCs w:val="22"/>
        </w:rPr>
        <w:t xml:space="preserve">accept, sign and return their signed </w:t>
      </w:r>
      <w:r w:rsidRPr="008465BD">
        <w:rPr>
          <w:rStyle w:val="normaltextrun"/>
          <w:rFonts w:eastAsia="Arial"/>
          <w:color w:val="000000" w:themeColor="text1"/>
          <w:sz w:val="22"/>
          <w:szCs w:val="22"/>
        </w:rPr>
        <w:t>variation</w:t>
      </w:r>
      <w:r w:rsidR="00D57752" w:rsidRPr="00FD1EA0">
        <w:rPr>
          <w:rStyle w:val="normaltextrun"/>
          <w:rFonts w:eastAsia="Arial"/>
          <w:color w:val="000000" w:themeColor="text1"/>
          <w:sz w:val="22"/>
          <w:szCs w:val="22"/>
        </w:rPr>
        <w:t xml:space="preserve"> </w:t>
      </w:r>
      <w:r w:rsidRPr="00FD1EA0">
        <w:rPr>
          <w:rStyle w:val="normaltextrun"/>
          <w:rFonts w:eastAsia="Arial"/>
          <w:color w:val="000000" w:themeColor="text1"/>
          <w:sz w:val="22"/>
          <w:szCs w:val="22"/>
        </w:rPr>
        <w:t xml:space="preserve">by </w:t>
      </w:r>
      <w:r w:rsidR="00D95503">
        <w:rPr>
          <w:rStyle w:val="normaltextrun"/>
          <w:rFonts w:eastAsia="Arial"/>
          <w:color w:val="000000" w:themeColor="text1"/>
          <w:sz w:val="22"/>
          <w:szCs w:val="22"/>
        </w:rPr>
        <w:t xml:space="preserve">the Acceptance Date of </w:t>
      </w:r>
      <w:r w:rsidRPr="00F33DA6">
        <w:rPr>
          <w:rStyle w:val="normaltextrun"/>
          <w:rFonts w:eastAsia="Arial"/>
          <w:color w:val="000000" w:themeColor="text1"/>
          <w:sz w:val="22"/>
          <w:szCs w:val="22"/>
        </w:rPr>
        <w:t>5</w:t>
      </w:r>
      <w:r w:rsidR="00FD1EA0" w:rsidRPr="00F33DA6">
        <w:rPr>
          <w:rStyle w:val="normaltextrun"/>
          <w:rFonts w:eastAsia="Arial"/>
          <w:color w:val="000000" w:themeColor="text1"/>
          <w:sz w:val="22"/>
          <w:szCs w:val="22"/>
        </w:rPr>
        <w:t xml:space="preserve">:00 </w:t>
      </w:r>
      <w:r w:rsidRPr="00F33DA6">
        <w:rPr>
          <w:rStyle w:val="normaltextrun"/>
          <w:rFonts w:eastAsia="Arial"/>
          <w:color w:val="000000" w:themeColor="text1"/>
          <w:sz w:val="22"/>
          <w:szCs w:val="22"/>
        </w:rPr>
        <w:t xml:space="preserve">pm, </w:t>
      </w:r>
      <w:r w:rsidR="00837CB8">
        <w:rPr>
          <w:rStyle w:val="normaltextrun"/>
          <w:rFonts w:eastAsia="Arial"/>
          <w:color w:val="000000" w:themeColor="text1"/>
          <w:sz w:val="22"/>
          <w:szCs w:val="22"/>
        </w:rPr>
        <w:t>20 November</w:t>
      </w:r>
      <w:r w:rsidR="0017163E" w:rsidRPr="00F33DA6">
        <w:rPr>
          <w:rStyle w:val="normaltextrun"/>
          <w:rFonts w:eastAsia="Arial"/>
          <w:color w:val="000000" w:themeColor="text1"/>
          <w:sz w:val="22"/>
          <w:szCs w:val="22"/>
        </w:rPr>
        <w:t xml:space="preserve"> 2023</w:t>
      </w:r>
      <w:r w:rsidR="006434C9" w:rsidRPr="00F33DA6">
        <w:rPr>
          <w:rStyle w:val="normaltextrun"/>
          <w:rFonts w:eastAsia="Arial"/>
          <w:color w:val="000000" w:themeColor="text1"/>
          <w:sz w:val="22"/>
          <w:szCs w:val="22"/>
        </w:rPr>
        <w:t>,</w:t>
      </w:r>
      <w:r w:rsidR="006434C9">
        <w:rPr>
          <w:rStyle w:val="normaltextrun"/>
          <w:rFonts w:eastAsia="Arial"/>
          <w:color w:val="000000" w:themeColor="text1"/>
          <w:sz w:val="22"/>
          <w:szCs w:val="22"/>
        </w:rPr>
        <w:t xml:space="preserve"> and will be </w:t>
      </w:r>
      <w:r w:rsidR="00015EC0">
        <w:rPr>
          <w:rStyle w:val="normaltextrun"/>
          <w:rFonts w:eastAsia="Arial"/>
          <w:color w:val="000000" w:themeColor="text1"/>
          <w:sz w:val="22"/>
          <w:szCs w:val="22"/>
        </w:rPr>
        <w:t xml:space="preserve">calculated and paid </w:t>
      </w:r>
      <w:r w:rsidR="00587491">
        <w:rPr>
          <w:rStyle w:val="normaltextrun"/>
          <w:rFonts w:eastAsia="Arial"/>
          <w:color w:val="000000" w:themeColor="text1"/>
          <w:sz w:val="22"/>
          <w:szCs w:val="22"/>
        </w:rPr>
        <w:t>a</w:t>
      </w:r>
      <w:r w:rsidR="00015EC0">
        <w:rPr>
          <w:rStyle w:val="normaltextrun"/>
          <w:rFonts w:eastAsia="Arial"/>
          <w:color w:val="000000" w:themeColor="text1"/>
          <w:sz w:val="22"/>
          <w:szCs w:val="22"/>
        </w:rPr>
        <w:t>s set out in Appendi</w:t>
      </w:r>
      <w:r w:rsidR="00FB173B">
        <w:rPr>
          <w:rStyle w:val="normaltextrun"/>
          <w:rFonts w:eastAsia="Arial"/>
          <w:color w:val="000000" w:themeColor="text1"/>
          <w:sz w:val="22"/>
          <w:szCs w:val="22"/>
        </w:rPr>
        <w:t>ces</w:t>
      </w:r>
      <w:r w:rsidR="00015EC0">
        <w:rPr>
          <w:rStyle w:val="normaltextrun"/>
          <w:rFonts w:eastAsia="Arial"/>
          <w:color w:val="000000" w:themeColor="text1"/>
          <w:sz w:val="22"/>
          <w:szCs w:val="22"/>
        </w:rPr>
        <w:t xml:space="preserve"> 2</w:t>
      </w:r>
      <w:r w:rsidR="00FB173B">
        <w:rPr>
          <w:rStyle w:val="normaltextrun"/>
          <w:rFonts w:eastAsia="Arial"/>
          <w:color w:val="000000" w:themeColor="text1"/>
          <w:sz w:val="22"/>
          <w:szCs w:val="22"/>
        </w:rPr>
        <w:t xml:space="preserve"> and 3</w:t>
      </w:r>
      <w:r w:rsidRPr="00FD1EA0">
        <w:rPr>
          <w:rStyle w:val="normaltextrun"/>
          <w:rFonts w:eastAsia="Arial"/>
          <w:color w:val="000000" w:themeColor="text1"/>
          <w:sz w:val="22"/>
          <w:szCs w:val="22"/>
        </w:rPr>
        <w:t>.</w:t>
      </w:r>
    </w:p>
    <w:p w14:paraId="00351103" w14:textId="6D95A3F3" w:rsidR="00C2196F" w:rsidRDefault="00C2196F" w:rsidP="00C2196F">
      <w:pPr>
        <w:spacing w:after="0" w:line="240" w:lineRule="auto"/>
        <w:rPr>
          <w:rStyle w:val="normaltextrun"/>
          <w:rFonts w:eastAsia="Arial"/>
          <w:color w:val="000000" w:themeColor="text1"/>
          <w:sz w:val="22"/>
          <w:szCs w:val="22"/>
        </w:rPr>
      </w:pPr>
    </w:p>
    <w:p w14:paraId="5F432C44" w14:textId="4B3B2F64" w:rsidR="009D0442" w:rsidRPr="003E2C7A" w:rsidRDefault="009D0442" w:rsidP="009D0442">
      <w:pPr>
        <w:spacing w:after="0" w:line="240" w:lineRule="auto"/>
        <w:rPr>
          <w:rStyle w:val="normaltextrun"/>
          <w:rFonts w:eastAsia="Arial"/>
          <w:color w:val="000000" w:themeColor="text1"/>
          <w:sz w:val="22"/>
          <w:szCs w:val="22"/>
        </w:rPr>
      </w:pPr>
      <w:r w:rsidRPr="003E2C7A">
        <w:rPr>
          <w:rStyle w:val="normaltextrun"/>
          <w:rFonts w:eastAsia="Arial"/>
          <w:color w:val="000000" w:themeColor="text1"/>
          <w:sz w:val="22"/>
          <w:szCs w:val="22"/>
        </w:rPr>
        <w:t>New funded immunisations will be made available through vaccinating pharmacies</w:t>
      </w:r>
      <w:r>
        <w:rPr>
          <w:rStyle w:val="normaltextrun"/>
          <w:rFonts w:eastAsia="Arial"/>
          <w:color w:val="000000" w:themeColor="text1"/>
          <w:sz w:val="22"/>
          <w:szCs w:val="22"/>
        </w:rPr>
        <w:t xml:space="preserve"> </w:t>
      </w:r>
      <w:r w:rsidR="00FB42D8">
        <w:rPr>
          <w:rStyle w:val="normaltextrun"/>
          <w:rFonts w:eastAsia="Arial"/>
          <w:color w:val="000000" w:themeColor="text1"/>
          <w:sz w:val="22"/>
          <w:szCs w:val="22"/>
        </w:rPr>
        <w:t>that</w:t>
      </w:r>
      <w:r w:rsidR="00FB42D8" w:rsidRPr="0085780D">
        <w:rPr>
          <w:rStyle w:val="normaltextrun"/>
          <w:rFonts w:eastAsia="Arial"/>
          <w:color w:val="000000" w:themeColor="text1"/>
          <w:sz w:val="22"/>
          <w:szCs w:val="22"/>
        </w:rPr>
        <w:t xml:space="preserve"> </w:t>
      </w:r>
      <w:r w:rsidR="00C23074" w:rsidRPr="0085780D">
        <w:rPr>
          <w:rStyle w:val="normaltextrun"/>
          <w:rFonts w:eastAsia="Arial"/>
          <w:color w:val="000000" w:themeColor="text1"/>
          <w:sz w:val="22"/>
          <w:szCs w:val="22"/>
        </w:rPr>
        <w:t xml:space="preserve">provide </w:t>
      </w:r>
      <w:r w:rsidR="0085780D" w:rsidRPr="0085780D">
        <w:rPr>
          <w:rStyle w:val="normaltextrun"/>
          <w:rFonts w:eastAsia="Arial"/>
          <w:color w:val="000000" w:themeColor="text1"/>
          <w:sz w:val="22"/>
          <w:szCs w:val="22"/>
        </w:rPr>
        <w:t>immunisations</w:t>
      </w:r>
      <w:r w:rsidR="00C23074" w:rsidRPr="0085780D">
        <w:rPr>
          <w:rStyle w:val="normaltextrun"/>
          <w:rFonts w:eastAsia="Arial"/>
          <w:color w:val="000000" w:themeColor="text1"/>
          <w:sz w:val="22"/>
          <w:szCs w:val="22"/>
        </w:rPr>
        <w:t xml:space="preserve"> in accordance with Schedule </w:t>
      </w:r>
      <w:r w:rsidR="0085780D">
        <w:rPr>
          <w:rStyle w:val="normaltextrun"/>
          <w:rFonts w:eastAsia="Arial"/>
          <w:color w:val="000000" w:themeColor="text1"/>
          <w:sz w:val="22"/>
          <w:szCs w:val="22"/>
        </w:rPr>
        <w:t>3A.5</w:t>
      </w:r>
      <w:r w:rsidR="00C23074">
        <w:rPr>
          <w:rStyle w:val="normaltextrun"/>
          <w:rFonts w:eastAsia="Arial"/>
          <w:color w:val="000000" w:themeColor="text1"/>
          <w:sz w:val="22"/>
          <w:szCs w:val="22"/>
        </w:rPr>
        <w:t xml:space="preserve"> </w:t>
      </w:r>
      <w:r>
        <w:rPr>
          <w:rStyle w:val="normaltextrun"/>
          <w:rFonts w:eastAsia="Arial"/>
          <w:color w:val="000000" w:themeColor="text1"/>
          <w:sz w:val="22"/>
          <w:szCs w:val="22"/>
        </w:rPr>
        <w:t xml:space="preserve">through changes to the </w:t>
      </w:r>
      <w:r w:rsidRPr="006B0586">
        <w:rPr>
          <w:rStyle w:val="normaltextrun"/>
          <w:rFonts w:eastAsia="Arial"/>
          <w:color w:val="000000" w:themeColor="text1"/>
          <w:sz w:val="22"/>
          <w:szCs w:val="22"/>
        </w:rPr>
        <w:t>Pharmaceutical Schedule</w:t>
      </w:r>
      <w:r>
        <w:rPr>
          <w:rStyle w:val="normaltextrun"/>
          <w:rFonts w:eastAsia="Arial"/>
          <w:color w:val="000000" w:themeColor="text1"/>
          <w:sz w:val="22"/>
          <w:szCs w:val="22"/>
        </w:rPr>
        <w:t xml:space="preserve"> </w:t>
      </w:r>
      <w:r w:rsidRPr="003E2C7A">
        <w:rPr>
          <w:rStyle w:val="normaltextrun"/>
          <w:rFonts w:eastAsia="Arial"/>
          <w:color w:val="000000" w:themeColor="text1"/>
          <w:sz w:val="22"/>
          <w:szCs w:val="22"/>
        </w:rPr>
        <w:t>as the development of the Aotearoa Immunisation Register and logistics permit.</w:t>
      </w:r>
    </w:p>
    <w:p w14:paraId="4B4633EF" w14:textId="77777777" w:rsidR="009D0442" w:rsidRDefault="009D0442" w:rsidP="00C2196F">
      <w:pPr>
        <w:spacing w:after="0" w:line="240" w:lineRule="auto"/>
        <w:rPr>
          <w:rStyle w:val="normaltextrun"/>
          <w:rFonts w:eastAsia="Arial"/>
          <w:color w:val="000000" w:themeColor="text1"/>
          <w:sz w:val="22"/>
          <w:szCs w:val="22"/>
        </w:rPr>
      </w:pPr>
    </w:p>
    <w:p w14:paraId="004B4497" w14:textId="482A33E3" w:rsidR="00E62293" w:rsidRPr="00E62293" w:rsidRDefault="00E62293" w:rsidP="00823D75">
      <w:pPr>
        <w:spacing w:after="120" w:line="240" w:lineRule="auto"/>
        <w:rPr>
          <w:rStyle w:val="normaltextrun"/>
          <w:rFonts w:eastAsia="Arial"/>
          <w:b/>
          <w:bCs/>
          <w:color w:val="00A3AD"/>
          <w:sz w:val="22"/>
          <w:szCs w:val="22"/>
        </w:rPr>
      </w:pPr>
      <w:r w:rsidRPr="00823D75">
        <w:rPr>
          <w:rStyle w:val="normaltextrun"/>
          <w:rFonts w:eastAsia="Arial"/>
          <w:b/>
          <w:bCs/>
          <w:color w:val="00A3AD"/>
          <w:sz w:val="22"/>
          <w:szCs w:val="22"/>
        </w:rPr>
        <w:t>Immunisation co-administration fee (influenza and shingle</w:t>
      </w:r>
      <w:r w:rsidR="005B7B31">
        <w:rPr>
          <w:rStyle w:val="normaltextrun"/>
          <w:rFonts w:eastAsia="Arial"/>
          <w:b/>
          <w:bCs/>
          <w:color w:val="00A3AD"/>
          <w:sz w:val="22"/>
          <w:szCs w:val="22"/>
        </w:rPr>
        <w:t>s</w:t>
      </w:r>
      <w:r w:rsidRPr="00823D75">
        <w:rPr>
          <w:rStyle w:val="normaltextrun"/>
          <w:rFonts w:eastAsia="Arial"/>
          <w:b/>
          <w:bCs/>
          <w:color w:val="00A3AD"/>
          <w:sz w:val="22"/>
          <w:szCs w:val="22"/>
        </w:rPr>
        <w:t xml:space="preserve"> immunisations)</w:t>
      </w:r>
    </w:p>
    <w:p w14:paraId="4F3DCFCE" w14:textId="5D4C31C5" w:rsidR="00F66EDD" w:rsidRPr="003E2C7A" w:rsidRDefault="00F66EDD" w:rsidP="00F66EDD">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Currently, t</w:t>
      </w:r>
      <w:r w:rsidRPr="003E2C7A">
        <w:rPr>
          <w:rStyle w:val="normaltextrun"/>
          <w:rFonts w:eastAsia="Arial"/>
          <w:color w:val="000000" w:themeColor="text1"/>
          <w:sz w:val="22"/>
          <w:szCs w:val="22"/>
        </w:rPr>
        <w:t xml:space="preserve">he payment conditions </w:t>
      </w:r>
      <w:r>
        <w:rPr>
          <w:rStyle w:val="normaltextrun"/>
          <w:rFonts w:eastAsia="Arial"/>
          <w:color w:val="000000" w:themeColor="text1"/>
          <w:sz w:val="22"/>
          <w:szCs w:val="22"/>
        </w:rPr>
        <w:t xml:space="preserve">in the ICPSA provide </w:t>
      </w:r>
      <w:r w:rsidRPr="003E2C7A">
        <w:rPr>
          <w:rStyle w:val="normaltextrun"/>
          <w:rFonts w:eastAsia="Arial"/>
          <w:color w:val="000000" w:themeColor="text1"/>
          <w:sz w:val="22"/>
          <w:szCs w:val="22"/>
        </w:rPr>
        <w:t>that only one immunisation fee can be claimed for an eligible service</w:t>
      </w:r>
      <w:r>
        <w:rPr>
          <w:rStyle w:val="normaltextrun"/>
          <w:rFonts w:eastAsia="Arial"/>
          <w:color w:val="000000" w:themeColor="text1"/>
          <w:sz w:val="22"/>
          <w:szCs w:val="22"/>
        </w:rPr>
        <w:t xml:space="preserve"> </w:t>
      </w:r>
      <w:r w:rsidRPr="003E2C7A">
        <w:rPr>
          <w:rStyle w:val="normaltextrun"/>
          <w:rFonts w:eastAsia="Arial"/>
          <w:color w:val="000000" w:themeColor="text1"/>
          <w:sz w:val="22"/>
          <w:szCs w:val="22"/>
        </w:rPr>
        <w:t>user on one day</w:t>
      </w:r>
      <w:r>
        <w:rPr>
          <w:rStyle w:val="normaltextrun"/>
          <w:rFonts w:eastAsia="Arial"/>
          <w:color w:val="000000" w:themeColor="text1"/>
          <w:sz w:val="22"/>
          <w:szCs w:val="22"/>
        </w:rPr>
        <w:t>,</w:t>
      </w:r>
      <w:r w:rsidRPr="003E2C7A">
        <w:rPr>
          <w:rStyle w:val="normaltextrun"/>
          <w:rFonts w:eastAsia="Arial"/>
          <w:color w:val="000000" w:themeColor="text1"/>
          <w:sz w:val="22"/>
          <w:szCs w:val="22"/>
        </w:rPr>
        <w:t xml:space="preserve"> even if more than one immunisation is </w:t>
      </w:r>
      <w:r w:rsidR="005B7B31">
        <w:rPr>
          <w:rStyle w:val="normaltextrun"/>
          <w:rFonts w:eastAsia="Arial"/>
          <w:color w:val="000000" w:themeColor="text1"/>
          <w:sz w:val="22"/>
          <w:szCs w:val="22"/>
        </w:rPr>
        <w:t>administ</w:t>
      </w:r>
      <w:r w:rsidR="00B6271E">
        <w:rPr>
          <w:rStyle w:val="normaltextrun"/>
          <w:rFonts w:eastAsia="Arial"/>
          <w:color w:val="000000" w:themeColor="text1"/>
          <w:sz w:val="22"/>
          <w:szCs w:val="22"/>
        </w:rPr>
        <w:t>ered</w:t>
      </w:r>
      <w:r w:rsidRPr="003E2C7A">
        <w:rPr>
          <w:rStyle w:val="normaltextrun"/>
          <w:rFonts w:eastAsia="Arial"/>
          <w:color w:val="000000" w:themeColor="text1"/>
          <w:sz w:val="22"/>
          <w:szCs w:val="22"/>
        </w:rPr>
        <w:t>.</w:t>
      </w:r>
    </w:p>
    <w:p w14:paraId="334F7E9A" w14:textId="77777777" w:rsidR="00F66EDD" w:rsidRDefault="00F66EDD" w:rsidP="00C2196F">
      <w:pPr>
        <w:spacing w:after="0" w:line="240" w:lineRule="auto"/>
        <w:rPr>
          <w:rStyle w:val="normaltextrun"/>
          <w:rFonts w:eastAsia="Arial"/>
          <w:color w:val="000000" w:themeColor="text1"/>
          <w:sz w:val="22"/>
          <w:szCs w:val="22"/>
          <w:highlight w:val="yellow"/>
        </w:rPr>
      </w:pPr>
    </w:p>
    <w:p w14:paraId="15A347B9" w14:textId="35142D96" w:rsidR="0095417F" w:rsidRPr="00F43C83" w:rsidRDefault="0095417F" w:rsidP="00C2196F">
      <w:pPr>
        <w:spacing w:after="0" w:line="240" w:lineRule="auto"/>
        <w:rPr>
          <w:rStyle w:val="normaltextrun"/>
          <w:rFonts w:eastAsia="Arial"/>
          <w:color w:val="000000" w:themeColor="text1"/>
          <w:sz w:val="22"/>
          <w:szCs w:val="22"/>
        </w:rPr>
      </w:pPr>
      <w:r w:rsidRPr="00F43C83">
        <w:rPr>
          <w:rStyle w:val="normaltextrun"/>
          <w:rFonts w:eastAsia="Arial"/>
          <w:color w:val="000000" w:themeColor="text1"/>
          <w:sz w:val="22"/>
          <w:szCs w:val="22"/>
        </w:rPr>
        <w:t>A</w:t>
      </w:r>
      <w:r w:rsidR="00047A10" w:rsidRPr="00F43C83">
        <w:rPr>
          <w:rStyle w:val="normaltextrun"/>
          <w:rFonts w:eastAsia="Arial"/>
          <w:color w:val="000000" w:themeColor="text1"/>
          <w:sz w:val="22"/>
          <w:szCs w:val="22"/>
        </w:rPr>
        <w:t>n</w:t>
      </w:r>
      <w:r w:rsidRPr="00F43C83">
        <w:rPr>
          <w:rStyle w:val="normaltextrun"/>
          <w:rFonts w:eastAsia="Arial"/>
          <w:color w:val="000000" w:themeColor="text1"/>
          <w:sz w:val="22"/>
          <w:szCs w:val="22"/>
        </w:rPr>
        <w:t xml:space="preserve"> immunisation co-administration fee has been introduced</w:t>
      </w:r>
      <w:r w:rsidR="00510D73" w:rsidRPr="00F43C83">
        <w:rPr>
          <w:rStyle w:val="normaltextrun"/>
          <w:rFonts w:eastAsia="Arial"/>
          <w:color w:val="000000" w:themeColor="text1"/>
          <w:sz w:val="22"/>
          <w:szCs w:val="22"/>
        </w:rPr>
        <w:t xml:space="preserve"> when influenza and shingles immunisations are administered to the </w:t>
      </w:r>
      <w:r w:rsidR="008D1C02" w:rsidRPr="00F43C83">
        <w:rPr>
          <w:rStyle w:val="normaltextrun"/>
          <w:rFonts w:eastAsia="Arial"/>
          <w:color w:val="000000" w:themeColor="text1"/>
          <w:sz w:val="22"/>
          <w:szCs w:val="22"/>
        </w:rPr>
        <w:t xml:space="preserve">same eligible </w:t>
      </w:r>
      <w:r w:rsidR="00F66EDD" w:rsidRPr="00F43C83">
        <w:rPr>
          <w:rStyle w:val="normaltextrun"/>
          <w:rFonts w:eastAsia="Arial"/>
          <w:color w:val="000000" w:themeColor="text1"/>
          <w:sz w:val="22"/>
          <w:szCs w:val="22"/>
        </w:rPr>
        <w:t>service user</w:t>
      </w:r>
      <w:r w:rsidR="00A40FB1" w:rsidRPr="00F43C83">
        <w:rPr>
          <w:rStyle w:val="normaltextrun"/>
          <w:rFonts w:eastAsia="Arial"/>
          <w:color w:val="000000" w:themeColor="text1"/>
          <w:sz w:val="22"/>
          <w:szCs w:val="22"/>
        </w:rPr>
        <w:t>,</w:t>
      </w:r>
      <w:r w:rsidR="008D1C02" w:rsidRPr="00F43C83">
        <w:rPr>
          <w:rStyle w:val="normaltextrun"/>
          <w:rFonts w:eastAsia="Arial"/>
          <w:color w:val="000000" w:themeColor="text1"/>
          <w:sz w:val="22"/>
          <w:szCs w:val="22"/>
        </w:rPr>
        <w:t xml:space="preserve"> at the same </w:t>
      </w:r>
      <w:r w:rsidR="00A77DBF" w:rsidRPr="00F43C83">
        <w:rPr>
          <w:rStyle w:val="normaltextrun"/>
          <w:rFonts w:eastAsia="Arial"/>
          <w:color w:val="000000" w:themeColor="text1"/>
          <w:sz w:val="22"/>
          <w:szCs w:val="22"/>
        </w:rPr>
        <w:t>session (</w:t>
      </w:r>
      <w:r w:rsidR="008D1C02" w:rsidRPr="00F43C83">
        <w:rPr>
          <w:rStyle w:val="normaltextrun"/>
          <w:rFonts w:eastAsia="Arial"/>
          <w:color w:val="000000" w:themeColor="text1"/>
          <w:sz w:val="22"/>
          <w:szCs w:val="22"/>
        </w:rPr>
        <w:t>event</w:t>
      </w:r>
      <w:r w:rsidR="00A77DBF" w:rsidRPr="00F43C83">
        <w:rPr>
          <w:rStyle w:val="normaltextrun"/>
          <w:rFonts w:eastAsia="Arial"/>
          <w:color w:val="000000" w:themeColor="text1"/>
          <w:sz w:val="22"/>
          <w:szCs w:val="22"/>
        </w:rPr>
        <w:t>)</w:t>
      </w:r>
      <w:r w:rsidR="00A40FB1" w:rsidRPr="00F43C83">
        <w:rPr>
          <w:rStyle w:val="normaltextrun"/>
          <w:rFonts w:eastAsia="Arial"/>
          <w:color w:val="000000" w:themeColor="text1"/>
          <w:sz w:val="22"/>
          <w:szCs w:val="22"/>
        </w:rPr>
        <w:t>:</w:t>
      </w:r>
    </w:p>
    <w:p w14:paraId="215C4962" w14:textId="6C780539" w:rsidR="00D91479" w:rsidRPr="00F43C83" w:rsidRDefault="00D91479" w:rsidP="00C2196F">
      <w:pPr>
        <w:spacing w:after="0" w:line="240" w:lineRule="auto"/>
        <w:rPr>
          <w:rStyle w:val="normaltextrun"/>
          <w:rFonts w:eastAsia="Arial"/>
          <w:color w:val="000000" w:themeColor="text1"/>
          <w:sz w:val="22"/>
          <w:szCs w:val="22"/>
        </w:rPr>
      </w:pPr>
    </w:p>
    <w:p w14:paraId="0E2E0965" w14:textId="7CE19240" w:rsidR="00A240D1" w:rsidRPr="00053DF8" w:rsidRDefault="00D91479" w:rsidP="000A6FA6">
      <w:pPr>
        <w:pStyle w:val="ListParagraph"/>
        <w:numPr>
          <w:ilvl w:val="0"/>
          <w:numId w:val="21"/>
        </w:numPr>
        <w:ind w:left="720" w:hanging="567"/>
        <w:rPr>
          <w:rStyle w:val="normaltextrun"/>
          <w:rFonts w:eastAsia="Arial"/>
          <w:color w:val="000000" w:themeColor="text1"/>
          <w:sz w:val="22"/>
          <w:szCs w:val="22"/>
        </w:rPr>
      </w:pPr>
      <w:r w:rsidRPr="00053DF8">
        <w:rPr>
          <w:rStyle w:val="normaltextrun"/>
          <w:rFonts w:eastAsia="Arial"/>
          <w:color w:val="000000" w:themeColor="text1"/>
          <w:sz w:val="22"/>
          <w:szCs w:val="22"/>
        </w:rPr>
        <w:t>Immunisation co-administration fee (influenza and shingle</w:t>
      </w:r>
      <w:r w:rsidR="005B7B31" w:rsidRPr="00053DF8">
        <w:rPr>
          <w:rStyle w:val="normaltextrun"/>
          <w:rFonts w:eastAsia="Arial"/>
          <w:color w:val="000000" w:themeColor="text1"/>
          <w:sz w:val="22"/>
          <w:szCs w:val="22"/>
        </w:rPr>
        <w:t>s</w:t>
      </w:r>
      <w:r w:rsidRPr="00053DF8">
        <w:rPr>
          <w:rStyle w:val="normaltextrun"/>
          <w:rFonts w:eastAsia="Arial"/>
          <w:color w:val="000000" w:themeColor="text1"/>
          <w:sz w:val="22"/>
          <w:szCs w:val="22"/>
        </w:rPr>
        <w:t xml:space="preserve"> immunisations)</w:t>
      </w:r>
      <w:r w:rsidR="00053DF8" w:rsidRPr="00053DF8">
        <w:rPr>
          <w:rStyle w:val="normaltextrun"/>
          <w:rFonts w:eastAsia="Arial"/>
          <w:color w:val="000000" w:themeColor="text1"/>
          <w:sz w:val="22"/>
          <w:szCs w:val="22"/>
        </w:rPr>
        <w:br/>
      </w:r>
      <w:r w:rsidR="0015785A" w:rsidRPr="00053DF8">
        <w:rPr>
          <w:rStyle w:val="normaltextrun"/>
          <w:rFonts w:eastAsia="Arial"/>
          <w:color w:val="000000" w:themeColor="text1"/>
          <w:sz w:val="22"/>
          <w:szCs w:val="22"/>
        </w:rPr>
        <w:t>$36</w:t>
      </w:r>
      <w:r w:rsidR="00FC18CF" w:rsidRPr="00053DF8">
        <w:rPr>
          <w:rStyle w:val="normaltextrun"/>
          <w:rFonts w:eastAsia="Arial"/>
          <w:color w:val="000000" w:themeColor="text1"/>
          <w:sz w:val="22"/>
          <w:szCs w:val="22"/>
        </w:rPr>
        <w:t>.</w:t>
      </w:r>
      <w:r w:rsidR="0015785A" w:rsidRPr="00053DF8">
        <w:rPr>
          <w:rStyle w:val="normaltextrun"/>
          <w:rFonts w:eastAsia="Arial"/>
          <w:color w:val="000000" w:themeColor="text1"/>
          <w:sz w:val="22"/>
          <w:szCs w:val="22"/>
        </w:rPr>
        <w:t>05 + $</w:t>
      </w:r>
      <w:r w:rsidR="00855A85" w:rsidRPr="00053DF8">
        <w:rPr>
          <w:rStyle w:val="normaltextrun"/>
          <w:rFonts w:eastAsia="Arial"/>
          <w:color w:val="000000" w:themeColor="text1"/>
          <w:sz w:val="22"/>
          <w:szCs w:val="22"/>
        </w:rPr>
        <w:t>2</w:t>
      </w:r>
      <w:r w:rsidR="00563648" w:rsidRPr="00053DF8">
        <w:rPr>
          <w:rStyle w:val="normaltextrun"/>
          <w:rFonts w:eastAsia="Arial"/>
          <w:color w:val="000000" w:themeColor="text1"/>
          <w:sz w:val="22"/>
          <w:szCs w:val="22"/>
        </w:rPr>
        <w:t>0.52</w:t>
      </w:r>
      <w:r w:rsidR="00855A85" w:rsidRPr="00053DF8">
        <w:rPr>
          <w:rStyle w:val="normaltextrun"/>
          <w:rFonts w:eastAsia="Arial"/>
          <w:color w:val="000000" w:themeColor="text1"/>
          <w:sz w:val="22"/>
          <w:szCs w:val="22"/>
        </w:rPr>
        <w:t xml:space="preserve"> = $</w:t>
      </w:r>
      <w:r w:rsidR="00563648" w:rsidRPr="00053DF8">
        <w:rPr>
          <w:rStyle w:val="normaltextrun"/>
          <w:rFonts w:eastAsia="Arial"/>
          <w:color w:val="000000" w:themeColor="text1"/>
          <w:sz w:val="22"/>
          <w:szCs w:val="22"/>
        </w:rPr>
        <w:t>56.57</w:t>
      </w:r>
      <w:r w:rsidR="00047A10" w:rsidRPr="00053DF8">
        <w:rPr>
          <w:rStyle w:val="normaltextrun"/>
          <w:rFonts w:eastAsia="Arial"/>
          <w:color w:val="000000" w:themeColor="text1"/>
          <w:sz w:val="22"/>
          <w:szCs w:val="22"/>
        </w:rPr>
        <w:t xml:space="preserve"> (excluding GST)</w:t>
      </w:r>
      <w:r w:rsidR="00F66EDD" w:rsidRPr="00053DF8">
        <w:rPr>
          <w:rStyle w:val="normaltextrun"/>
          <w:rFonts w:eastAsia="Arial"/>
          <w:color w:val="000000" w:themeColor="text1"/>
          <w:sz w:val="22"/>
          <w:szCs w:val="22"/>
        </w:rPr>
        <w:t>.</w:t>
      </w:r>
    </w:p>
    <w:p w14:paraId="7E9DD6A7" w14:textId="1ED91C89" w:rsidR="0095417F" w:rsidRDefault="0095417F" w:rsidP="00C2196F">
      <w:pPr>
        <w:spacing w:after="0" w:line="240" w:lineRule="auto"/>
        <w:rPr>
          <w:rStyle w:val="normaltextrun"/>
          <w:rFonts w:eastAsia="Arial"/>
          <w:color w:val="000000" w:themeColor="text1"/>
          <w:sz w:val="22"/>
          <w:szCs w:val="22"/>
        </w:rPr>
      </w:pPr>
    </w:p>
    <w:p w14:paraId="6243194F" w14:textId="7EEADFA4" w:rsidR="001766EB" w:rsidRPr="0056431F" w:rsidRDefault="00B43886" w:rsidP="00823D75">
      <w:pPr>
        <w:spacing w:after="120" w:line="240" w:lineRule="auto"/>
        <w:rPr>
          <w:rStyle w:val="normaltextrun"/>
          <w:rFonts w:eastAsia="Arial"/>
          <w:b/>
          <w:bCs/>
          <w:color w:val="00A3AD"/>
          <w:sz w:val="22"/>
          <w:szCs w:val="22"/>
        </w:rPr>
      </w:pPr>
      <w:r w:rsidRPr="0056431F">
        <w:rPr>
          <w:rStyle w:val="normaltextrun"/>
          <w:rFonts w:eastAsia="Arial"/>
          <w:b/>
          <w:bCs/>
          <w:color w:val="00A3AD"/>
          <w:sz w:val="22"/>
          <w:szCs w:val="22"/>
        </w:rPr>
        <w:lastRenderedPageBreak/>
        <w:t>Re-establishing</w:t>
      </w:r>
      <w:r w:rsidR="001766EB" w:rsidRPr="0056431F">
        <w:rPr>
          <w:rStyle w:val="normaltextrun"/>
          <w:rFonts w:eastAsia="Arial"/>
          <w:b/>
          <w:bCs/>
          <w:color w:val="00A3AD"/>
          <w:sz w:val="22"/>
          <w:szCs w:val="22"/>
        </w:rPr>
        <w:t xml:space="preserve"> the </w:t>
      </w:r>
      <w:r w:rsidR="0056431F" w:rsidRPr="0056431F">
        <w:rPr>
          <w:rStyle w:val="normaltextrun"/>
          <w:rFonts w:eastAsia="Arial"/>
          <w:b/>
          <w:bCs/>
          <w:color w:val="00A3AD"/>
          <w:sz w:val="22"/>
          <w:szCs w:val="22"/>
        </w:rPr>
        <w:t>Pharmacy Services Expert Advisory Group</w:t>
      </w:r>
    </w:p>
    <w:p w14:paraId="03E71991" w14:textId="707278E7" w:rsidR="006219EA" w:rsidRPr="006219EA" w:rsidRDefault="006219EA" w:rsidP="006219EA">
      <w:pPr>
        <w:spacing w:after="0"/>
        <w:rPr>
          <w:rStyle w:val="normaltextrun"/>
          <w:rFonts w:eastAsia="Arial"/>
          <w:color w:val="000000" w:themeColor="text1"/>
          <w:sz w:val="22"/>
          <w:szCs w:val="22"/>
        </w:rPr>
      </w:pPr>
      <w:r w:rsidRPr="006219EA">
        <w:rPr>
          <w:rStyle w:val="normaltextrun"/>
          <w:rFonts w:eastAsia="Arial"/>
          <w:color w:val="000000" w:themeColor="text1"/>
          <w:sz w:val="22"/>
          <w:szCs w:val="22"/>
        </w:rPr>
        <w:t>Te Whatu Ora will re-establish the Pharmacy Services Expert Advisory Group (</w:t>
      </w:r>
      <w:r w:rsidRPr="006B0586">
        <w:rPr>
          <w:rStyle w:val="normaltextrun"/>
          <w:rFonts w:eastAsia="Arial"/>
          <w:b/>
          <w:bCs/>
          <w:color w:val="000000" w:themeColor="text1"/>
          <w:sz w:val="22"/>
          <w:szCs w:val="22"/>
        </w:rPr>
        <w:t>EAG</w:t>
      </w:r>
      <w:r w:rsidR="00F66EDD">
        <w:rPr>
          <w:rStyle w:val="normaltextrun"/>
          <w:rFonts w:eastAsia="Arial"/>
          <w:color w:val="000000" w:themeColor="text1"/>
          <w:sz w:val="22"/>
          <w:szCs w:val="22"/>
        </w:rPr>
        <w:t>)</w:t>
      </w:r>
      <w:r w:rsidRPr="006219EA">
        <w:rPr>
          <w:rStyle w:val="normaltextrun"/>
          <w:rFonts w:eastAsia="Arial"/>
          <w:color w:val="000000" w:themeColor="text1"/>
          <w:sz w:val="22"/>
          <w:szCs w:val="22"/>
        </w:rPr>
        <w:t>, before 29 February 2024.</w:t>
      </w:r>
    </w:p>
    <w:p w14:paraId="53CC7451" w14:textId="77777777" w:rsidR="006219EA" w:rsidRPr="006219EA" w:rsidRDefault="006219EA" w:rsidP="006219EA">
      <w:pPr>
        <w:spacing w:after="0"/>
        <w:rPr>
          <w:rStyle w:val="normaltextrun"/>
          <w:rFonts w:eastAsia="Arial"/>
          <w:color w:val="000000" w:themeColor="text1"/>
          <w:sz w:val="22"/>
          <w:szCs w:val="22"/>
        </w:rPr>
      </w:pPr>
    </w:p>
    <w:p w14:paraId="65971A72" w14:textId="4748C164" w:rsidR="006219EA" w:rsidRPr="006219EA" w:rsidRDefault="006219EA" w:rsidP="006219EA">
      <w:pPr>
        <w:spacing w:after="0"/>
        <w:rPr>
          <w:rStyle w:val="normaltextrun"/>
          <w:rFonts w:eastAsia="Arial"/>
          <w:color w:val="000000" w:themeColor="text1"/>
          <w:sz w:val="22"/>
          <w:szCs w:val="22"/>
        </w:rPr>
      </w:pPr>
      <w:r w:rsidRPr="006219EA">
        <w:rPr>
          <w:rStyle w:val="normaltextrun"/>
          <w:rFonts w:eastAsia="Arial"/>
          <w:color w:val="000000" w:themeColor="text1"/>
          <w:sz w:val="22"/>
          <w:szCs w:val="22"/>
        </w:rPr>
        <w:t>Te Whatu Ora will establish a subgroup of NAAR to review the terms of reference for the EAG</w:t>
      </w:r>
      <w:r w:rsidR="003173A2">
        <w:rPr>
          <w:rStyle w:val="normaltextrun"/>
          <w:rFonts w:eastAsia="Arial"/>
          <w:color w:val="000000" w:themeColor="text1"/>
          <w:sz w:val="22"/>
          <w:szCs w:val="22"/>
        </w:rPr>
        <w:t>.</w:t>
      </w:r>
      <w:r w:rsidRPr="006219EA">
        <w:rPr>
          <w:rStyle w:val="normaltextrun"/>
          <w:rFonts w:eastAsia="Arial"/>
          <w:color w:val="000000" w:themeColor="text1"/>
          <w:sz w:val="22"/>
          <w:szCs w:val="22"/>
        </w:rPr>
        <w:t xml:space="preserve"> Nominations for up to six NAAR provider representatives will</w:t>
      </w:r>
      <w:r w:rsidR="00764A5E">
        <w:rPr>
          <w:rStyle w:val="normaltextrun"/>
          <w:rFonts w:eastAsia="Arial"/>
          <w:color w:val="000000" w:themeColor="text1"/>
          <w:sz w:val="22"/>
          <w:szCs w:val="22"/>
        </w:rPr>
        <w:t xml:space="preserve"> be</w:t>
      </w:r>
      <w:r w:rsidRPr="006219EA">
        <w:rPr>
          <w:rStyle w:val="normaltextrun"/>
          <w:rFonts w:eastAsia="Arial"/>
          <w:color w:val="000000" w:themeColor="text1"/>
          <w:sz w:val="22"/>
          <w:szCs w:val="22"/>
        </w:rPr>
        <w:t xml:space="preserve"> invited before 31 October 2023 for this subgroup to lead participation on behalf of Providers.</w:t>
      </w:r>
      <w:r w:rsidR="001710E6">
        <w:rPr>
          <w:rStyle w:val="normaltextrun"/>
          <w:rFonts w:eastAsia="Arial"/>
          <w:color w:val="000000" w:themeColor="text1"/>
          <w:sz w:val="22"/>
          <w:szCs w:val="22"/>
        </w:rPr>
        <w:t xml:space="preserve"> </w:t>
      </w:r>
      <w:r w:rsidR="003173A2">
        <w:rPr>
          <w:rStyle w:val="normaltextrun"/>
          <w:rFonts w:eastAsia="Arial"/>
          <w:color w:val="000000" w:themeColor="text1"/>
          <w:sz w:val="22"/>
          <w:szCs w:val="22"/>
        </w:rPr>
        <w:t>Te Whatu Ora will</w:t>
      </w:r>
      <w:r w:rsidR="003173A2" w:rsidRPr="006219EA">
        <w:rPr>
          <w:rStyle w:val="normaltextrun"/>
          <w:rFonts w:eastAsia="Arial"/>
          <w:color w:val="000000" w:themeColor="text1"/>
          <w:sz w:val="22"/>
          <w:szCs w:val="22"/>
        </w:rPr>
        <w:t xml:space="preserve"> ensure the resourcing is adequate, and appropriate expertise is secured for a successful process.</w:t>
      </w:r>
      <w:r w:rsidR="00F66EDD">
        <w:rPr>
          <w:rStyle w:val="normaltextrun"/>
          <w:rFonts w:eastAsia="Arial"/>
          <w:color w:val="000000" w:themeColor="text1"/>
          <w:sz w:val="22"/>
          <w:szCs w:val="22"/>
        </w:rPr>
        <w:t xml:space="preserve"> In accordance with clause B.21 of the ICPSA, the EAG will include at least two provider representatives who are appointed on the basis of their expertise, one of whom must be a </w:t>
      </w:r>
      <w:r w:rsidR="00036FC8">
        <w:rPr>
          <w:rStyle w:val="normaltextrun"/>
          <w:rFonts w:eastAsia="Arial"/>
          <w:color w:val="000000" w:themeColor="text1"/>
          <w:sz w:val="22"/>
          <w:szCs w:val="22"/>
        </w:rPr>
        <w:t>p</w:t>
      </w:r>
      <w:r w:rsidR="00F66EDD">
        <w:rPr>
          <w:rStyle w:val="normaltextrun"/>
          <w:rFonts w:eastAsia="Arial"/>
          <w:color w:val="000000" w:themeColor="text1"/>
          <w:sz w:val="22"/>
          <w:szCs w:val="22"/>
        </w:rPr>
        <w:t>harmacist.</w:t>
      </w:r>
    </w:p>
    <w:p w14:paraId="70DE6B24" w14:textId="77777777" w:rsidR="006219EA" w:rsidRPr="006219EA" w:rsidRDefault="006219EA" w:rsidP="006219EA">
      <w:pPr>
        <w:spacing w:after="0"/>
        <w:rPr>
          <w:rStyle w:val="normaltextrun"/>
          <w:rFonts w:eastAsia="Arial"/>
          <w:color w:val="000000" w:themeColor="text1"/>
          <w:sz w:val="22"/>
          <w:szCs w:val="22"/>
        </w:rPr>
      </w:pPr>
    </w:p>
    <w:p w14:paraId="1FC13B37" w14:textId="1E1695EC" w:rsidR="006219EA" w:rsidRPr="006219EA" w:rsidRDefault="006219EA" w:rsidP="006219EA">
      <w:pPr>
        <w:spacing w:after="0"/>
        <w:rPr>
          <w:rStyle w:val="normaltextrun"/>
          <w:rFonts w:eastAsia="Arial"/>
          <w:color w:val="000000" w:themeColor="text1"/>
          <w:sz w:val="22"/>
          <w:szCs w:val="22"/>
        </w:rPr>
      </w:pPr>
      <w:r w:rsidRPr="006219EA">
        <w:rPr>
          <w:rStyle w:val="normaltextrun"/>
          <w:rFonts w:eastAsia="Arial"/>
          <w:color w:val="000000" w:themeColor="text1"/>
          <w:sz w:val="22"/>
          <w:szCs w:val="22"/>
        </w:rPr>
        <w:t xml:space="preserve">The areas for service review will be confirmed </w:t>
      </w:r>
      <w:r w:rsidR="005817BF">
        <w:rPr>
          <w:rStyle w:val="normaltextrun"/>
          <w:rFonts w:eastAsia="Arial"/>
          <w:color w:val="000000" w:themeColor="text1"/>
          <w:sz w:val="22"/>
          <w:szCs w:val="22"/>
        </w:rPr>
        <w:t xml:space="preserve">by the NAAR </w:t>
      </w:r>
      <w:r w:rsidRPr="006219EA">
        <w:rPr>
          <w:rStyle w:val="normaltextrun"/>
          <w:rFonts w:eastAsia="Arial"/>
          <w:color w:val="000000" w:themeColor="text1"/>
          <w:sz w:val="22"/>
          <w:szCs w:val="22"/>
        </w:rPr>
        <w:t>once the EAG terms of reference and resourcing are confirmed</w:t>
      </w:r>
      <w:r w:rsidR="006B0586">
        <w:rPr>
          <w:rStyle w:val="normaltextrun"/>
          <w:rFonts w:eastAsia="Arial"/>
          <w:color w:val="000000" w:themeColor="text1"/>
          <w:sz w:val="22"/>
          <w:szCs w:val="22"/>
        </w:rPr>
        <w:t>.</w:t>
      </w:r>
    </w:p>
    <w:p w14:paraId="2128DA3D" w14:textId="77777777" w:rsidR="006219EA" w:rsidRPr="006219EA" w:rsidRDefault="006219EA" w:rsidP="006219EA">
      <w:pPr>
        <w:spacing w:after="0"/>
        <w:rPr>
          <w:rStyle w:val="normaltextrun"/>
          <w:rFonts w:eastAsia="Arial"/>
          <w:color w:val="000000" w:themeColor="text1"/>
          <w:sz w:val="22"/>
          <w:szCs w:val="22"/>
        </w:rPr>
      </w:pPr>
    </w:p>
    <w:p w14:paraId="37491AB8" w14:textId="27E27540" w:rsidR="006219EA" w:rsidRPr="006219EA" w:rsidRDefault="006219EA" w:rsidP="006219EA">
      <w:pPr>
        <w:spacing w:after="0"/>
        <w:rPr>
          <w:rStyle w:val="normaltextrun"/>
          <w:rFonts w:eastAsia="Arial"/>
          <w:color w:val="000000" w:themeColor="text1"/>
          <w:sz w:val="22"/>
          <w:szCs w:val="22"/>
        </w:rPr>
      </w:pPr>
      <w:r w:rsidRPr="006219EA">
        <w:rPr>
          <w:rStyle w:val="normaltextrun"/>
          <w:rFonts w:eastAsia="Arial"/>
          <w:color w:val="000000" w:themeColor="text1"/>
          <w:sz w:val="22"/>
          <w:szCs w:val="22"/>
        </w:rPr>
        <w:t xml:space="preserve">Te Whatu Ora will work with NAAR to undertake the </w:t>
      </w:r>
      <w:r w:rsidR="004601FD">
        <w:rPr>
          <w:rStyle w:val="normaltextrun"/>
          <w:rFonts w:eastAsia="Arial"/>
          <w:color w:val="000000" w:themeColor="text1"/>
          <w:sz w:val="22"/>
          <w:szCs w:val="22"/>
        </w:rPr>
        <w:t xml:space="preserve">agreed </w:t>
      </w:r>
      <w:r w:rsidRPr="006219EA">
        <w:rPr>
          <w:rStyle w:val="normaltextrun"/>
          <w:rFonts w:eastAsia="Arial"/>
          <w:color w:val="000000" w:themeColor="text1"/>
          <w:sz w:val="22"/>
          <w:szCs w:val="22"/>
        </w:rPr>
        <w:t>service reviews through the EAG</w:t>
      </w:r>
      <w:r w:rsidR="005817BF">
        <w:rPr>
          <w:rStyle w:val="normaltextrun"/>
          <w:rFonts w:eastAsia="Arial"/>
          <w:color w:val="000000" w:themeColor="text1"/>
          <w:sz w:val="22"/>
          <w:szCs w:val="22"/>
        </w:rPr>
        <w:t xml:space="preserve"> over the next nine months</w:t>
      </w:r>
      <w:r w:rsidRPr="006219EA">
        <w:rPr>
          <w:rStyle w:val="normaltextrun"/>
          <w:rFonts w:eastAsia="Arial"/>
          <w:color w:val="000000" w:themeColor="text1"/>
          <w:sz w:val="22"/>
          <w:szCs w:val="22"/>
        </w:rPr>
        <w:t>.</w:t>
      </w:r>
    </w:p>
    <w:p w14:paraId="1ED0C5FB" w14:textId="13B39542" w:rsidR="0042542A" w:rsidRDefault="0042542A" w:rsidP="006B310F">
      <w:pPr>
        <w:spacing w:after="0" w:line="240" w:lineRule="auto"/>
        <w:rPr>
          <w:rStyle w:val="normaltextrun"/>
          <w:rFonts w:eastAsia="Arial"/>
          <w:color w:val="000000" w:themeColor="text1"/>
          <w:sz w:val="22"/>
          <w:szCs w:val="22"/>
        </w:rPr>
      </w:pPr>
    </w:p>
    <w:p w14:paraId="1395A132" w14:textId="77777777" w:rsidR="001029F7" w:rsidRPr="001029F7" w:rsidRDefault="001029F7" w:rsidP="001029F7">
      <w:pPr>
        <w:spacing w:after="120" w:line="240" w:lineRule="auto"/>
        <w:rPr>
          <w:rStyle w:val="normaltextrun"/>
          <w:rFonts w:eastAsia="Arial"/>
          <w:b/>
          <w:bCs/>
          <w:color w:val="00A3AD"/>
          <w:sz w:val="22"/>
          <w:szCs w:val="22"/>
        </w:rPr>
      </w:pPr>
      <w:r w:rsidRPr="001029F7">
        <w:rPr>
          <w:rStyle w:val="normaltextrun"/>
          <w:rFonts w:eastAsia="Arial"/>
          <w:b/>
          <w:bCs/>
          <w:color w:val="00A3AD"/>
          <w:sz w:val="22"/>
          <w:szCs w:val="22"/>
        </w:rPr>
        <w:t>Future engagement</w:t>
      </w:r>
    </w:p>
    <w:p w14:paraId="08C12CF6" w14:textId="138C46A4" w:rsidR="00000A28" w:rsidRPr="0090545A" w:rsidRDefault="00000A28" w:rsidP="00000A28">
      <w:pPr>
        <w:spacing w:after="0" w:line="240" w:lineRule="auto"/>
        <w:rPr>
          <w:rStyle w:val="normaltextrun"/>
          <w:rFonts w:eastAsia="Arial"/>
          <w:color w:val="000000" w:themeColor="text1"/>
          <w:sz w:val="22"/>
          <w:szCs w:val="22"/>
        </w:rPr>
      </w:pPr>
      <w:r w:rsidRPr="0090545A">
        <w:rPr>
          <w:rStyle w:val="normaltextrun"/>
          <w:rFonts w:eastAsia="Arial"/>
          <w:color w:val="000000" w:themeColor="text1"/>
          <w:sz w:val="22"/>
          <w:szCs w:val="22"/>
        </w:rPr>
        <w:t xml:space="preserve">Te Whatu Ora’s National Commissioning operating </w:t>
      </w:r>
      <w:r w:rsidR="0087294C">
        <w:rPr>
          <w:rStyle w:val="normaltextrun"/>
          <w:rFonts w:eastAsia="Arial"/>
          <w:color w:val="000000" w:themeColor="text1"/>
          <w:sz w:val="22"/>
          <w:szCs w:val="22"/>
        </w:rPr>
        <w:t>structure</w:t>
      </w:r>
      <w:r w:rsidRPr="0090545A">
        <w:rPr>
          <w:rStyle w:val="normaltextrun"/>
          <w:rFonts w:eastAsia="Arial"/>
          <w:color w:val="000000" w:themeColor="text1"/>
          <w:sz w:val="22"/>
          <w:szCs w:val="22"/>
        </w:rPr>
        <w:t xml:space="preserve"> was announced (July 2023) with the </w:t>
      </w:r>
      <w:r w:rsidR="00DD5505">
        <w:rPr>
          <w:rStyle w:val="normaltextrun"/>
          <w:rFonts w:eastAsia="Arial"/>
          <w:color w:val="000000" w:themeColor="text1"/>
          <w:sz w:val="22"/>
          <w:szCs w:val="22"/>
        </w:rPr>
        <w:t>n</w:t>
      </w:r>
      <w:r w:rsidRPr="0090545A">
        <w:rPr>
          <w:rStyle w:val="normaltextrun"/>
          <w:rFonts w:eastAsia="Arial"/>
          <w:color w:val="000000" w:themeColor="text1"/>
          <w:sz w:val="22"/>
          <w:szCs w:val="22"/>
        </w:rPr>
        <w:t xml:space="preserve">ational Pharmacy Commissioning </w:t>
      </w:r>
      <w:r w:rsidR="00DD5505">
        <w:rPr>
          <w:rStyle w:val="normaltextrun"/>
          <w:rFonts w:eastAsia="Arial"/>
          <w:color w:val="000000" w:themeColor="text1"/>
          <w:sz w:val="22"/>
          <w:szCs w:val="22"/>
        </w:rPr>
        <w:t>t</w:t>
      </w:r>
      <w:r w:rsidRPr="0090545A">
        <w:rPr>
          <w:rStyle w:val="normaltextrun"/>
          <w:rFonts w:eastAsia="Arial"/>
          <w:color w:val="000000" w:themeColor="text1"/>
          <w:sz w:val="22"/>
          <w:szCs w:val="22"/>
        </w:rPr>
        <w:t>eam sitting within the Living Well system design team.</w:t>
      </w:r>
    </w:p>
    <w:p w14:paraId="75E6918F" w14:textId="77777777" w:rsidR="00000A28" w:rsidRPr="0090545A" w:rsidRDefault="00000A28" w:rsidP="00000A28">
      <w:pPr>
        <w:spacing w:after="0" w:line="240" w:lineRule="auto"/>
        <w:rPr>
          <w:rStyle w:val="normaltextrun"/>
          <w:rFonts w:eastAsia="Arial"/>
          <w:color w:val="000000" w:themeColor="text1"/>
          <w:sz w:val="22"/>
          <w:szCs w:val="22"/>
        </w:rPr>
      </w:pPr>
    </w:p>
    <w:p w14:paraId="296B23FF" w14:textId="6AF3A0FE" w:rsidR="00000A28" w:rsidRPr="0090545A" w:rsidRDefault="003A2D18" w:rsidP="00000A28">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T</w:t>
      </w:r>
      <w:r w:rsidR="00000A28" w:rsidRPr="0090545A">
        <w:rPr>
          <w:rStyle w:val="normaltextrun"/>
          <w:rFonts w:eastAsia="Arial"/>
          <w:color w:val="000000" w:themeColor="text1"/>
          <w:sz w:val="22"/>
          <w:szCs w:val="22"/>
        </w:rPr>
        <w:t>he Commissioning team’s national system design work will be guided by</w:t>
      </w:r>
      <w:r>
        <w:rPr>
          <w:rStyle w:val="normaltextrun"/>
          <w:rFonts w:eastAsia="Arial"/>
          <w:color w:val="000000" w:themeColor="text1"/>
          <w:sz w:val="22"/>
          <w:szCs w:val="22"/>
        </w:rPr>
        <w:t xml:space="preserve"> groups</w:t>
      </w:r>
      <w:r w:rsidR="00000A28" w:rsidRPr="0090545A">
        <w:rPr>
          <w:rStyle w:val="normaltextrun"/>
          <w:rFonts w:eastAsia="Arial"/>
          <w:color w:val="000000" w:themeColor="text1"/>
          <w:sz w:val="22"/>
          <w:szCs w:val="22"/>
        </w:rPr>
        <w:t xml:space="preserve"> </w:t>
      </w:r>
      <w:r w:rsidR="00EF7139">
        <w:rPr>
          <w:rStyle w:val="normaltextrun"/>
          <w:rFonts w:eastAsia="Arial"/>
          <w:color w:val="000000" w:themeColor="text1"/>
          <w:sz w:val="22"/>
          <w:szCs w:val="22"/>
        </w:rPr>
        <w:t>(</w:t>
      </w:r>
      <w:r w:rsidR="00000A28" w:rsidRPr="0090545A">
        <w:rPr>
          <w:rStyle w:val="normaltextrun"/>
          <w:rFonts w:eastAsia="Arial"/>
          <w:color w:val="000000" w:themeColor="text1"/>
          <w:sz w:val="22"/>
          <w:szCs w:val="22"/>
        </w:rPr>
        <w:t>Strategic Design Networks</w:t>
      </w:r>
      <w:r w:rsidR="00EF7139">
        <w:rPr>
          <w:rStyle w:val="normaltextrun"/>
          <w:rFonts w:eastAsia="Arial"/>
          <w:color w:val="000000" w:themeColor="text1"/>
          <w:sz w:val="22"/>
          <w:szCs w:val="22"/>
        </w:rPr>
        <w:t>)</w:t>
      </w:r>
      <w:r w:rsidR="00000A28" w:rsidRPr="0090545A">
        <w:rPr>
          <w:rStyle w:val="normaltextrun"/>
          <w:rFonts w:eastAsia="Arial"/>
          <w:color w:val="000000" w:themeColor="text1"/>
          <w:sz w:val="22"/>
          <w:szCs w:val="22"/>
        </w:rPr>
        <w:t xml:space="preserve"> that </w:t>
      </w:r>
      <w:r w:rsidR="00EF7139">
        <w:rPr>
          <w:rStyle w:val="normaltextrun"/>
          <w:rFonts w:eastAsia="Arial"/>
          <w:color w:val="000000" w:themeColor="text1"/>
          <w:sz w:val="22"/>
          <w:szCs w:val="22"/>
        </w:rPr>
        <w:t xml:space="preserve">will </w:t>
      </w:r>
      <w:r w:rsidR="00000A28" w:rsidRPr="0090545A">
        <w:rPr>
          <w:rStyle w:val="normaltextrun"/>
          <w:rFonts w:eastAsia="Arial"/>
          <w:color w:val="000000" w:themeColor="text1"/>
          <w:sz w:val="22"/>
          <w:szCs w:val="22"/>
        </w:rPr>
        <w:t>include a range of sector leaders, clinicians, providers, people with lived experience, diverse voices and community members and their whānau.</w:t>
      </w:r>
      <w:r w:rsidR="008D2A8E">
        <w:rPr>
          <w:rStyle w:val="normaltextrun"/>
          <w:rFonts w:eastAsia="Arial"/>
          <w:color w:val="000000" w:themeColor="text1"/>
          <w:sz w:val="22"/>
          <w:szCs w:val="22"/>
        </w:rPr>
        <w:t xml:space="preserve"> </w:t>
      </w:r>
      <w:r w:rsidR="008D2A8E" w:rsidRPr="008D2A8E">
        <w:rPr>
          <w:rStyle w:val="normaltextrun"/>
          <w:rFonts w:eastAsia="Arial"/>
          <w:color w:val="000000" w:themeColor="text1"/>
          <w:sz w:val="22"/>
          <w:szCs w:val="22"/>
        </w:rPr>
        <w:t>It is anticipated that the Strategic Design Networks will be established over 2024.</w:t>
      </w:r>
    </w:p>
    <w:p w14:paraId="0E50A9A8" w14:textId="77777777" w:rsidR="00000A28" w:rsidRPr="0090545A" w:rsidRDefault="00000A28" w:rsidP="00000A28">
      <w:pPr>
        <w:spacing w:after="0" w:line="240" w:lineRule="auto"/>
        <w:rPr>
          <w:rStyle w:val="normaltextrun"/>
          <w:rFonts w:eastAsia="Arial"/>
          <w:color w:val="000000" w:themeColor="text1"/>
          <w:sz w:val="22"/>
          <w:szCs w:val="22"/>
        </w:rPr>
      </w:pPr>
    </w:p>
    <w:p w14:paraId="47895877" w14:textId="6883694B" w:rsidR="00000A28" w:rsidRPr="0090545A" w:rsidRDefault="00000A28" w:rsidP="00000A28">
      <w:pPr>
        <w:spacing w:after="0" w:line="240" w:lineRule="auto"/>
        <w:rPr>
          <w:rStyle w:val="normaltextrun"/>
          <w:rFonts w:eastAsia="Arial"/>
          <w:color w:val="000000" w:themeColor="text1"/>
          <w:sz w:val="22"/>
          <w:szCs w:val="22"/>
        </w:rPr>
      </w:pPr>
      <w:r w:rsidRPr="0090545A">
        <w:rPr>
          <w:rStyle w:val="normaltextrun"/>
          <w:rFonts w:eastAsia="Arial"/>
          <w:color w:val="000000" w:themeColor="text1"/>
          <w:sz w:val="22"/>
          <w:szCs w:val="22"/>
        </w:rPr>
        <w:t xml:space="preserve">These groups </w:t>
      </w:r>
      <w:r w:rsidR="008D2A8E">
        <w:rPr>
          <w:rStyle w:val="normaltextrun"/>
          <w:rFonts w:eastAsia="Arial"/>
          <w:color w:val="000000" w:themeColor="text1"/>
          <w:sz w:val="22"/>
          <w:szCs w:val="22"/>
        </w:rPr>
        <w:t>will be</w:t>
      </w:r>
      <w:r w:rsidR="008D2A8E" w:rsidRPr="0090545A">
        <w:rPr>
          <w:rStyle w:val="normaltextrun"/>
          <w:rFonts w:eastAsia="Arial"/>
          <w:color w:val="000000" w:themeColor="text1"/>
          <w:sz w:val="22"/>
          <w:szCs w:val="22"/>
        </w:rPr>
        <w:t xml:space="preserve"> </w:t>
      </w:r>
      <w:r w:rsidRPr="0090545A">
        <w:rPr>
          <w:rStyle w:val="normaltextrun"/>
          <w:rFonts w:eastAsia="Arial"/>
          <w:color w:val="000000" w:themeColor="text1"/>
          <w:sz w:val="22"/>
          <w:szCs w:val="22"/>
        </w:rPr>
        <w:t>time limited and will come together to inform the development of long</w:t>
      </w:r>
      <w:r w:rsidR="00563648" w:rsidRPr="0090545A">
        <w:rPr>
          <w:rStyle w:val="normaltextrun"/>
          <w:rFonts w:eastAsia="Arial"/>
          <w:color w:val="000000" w:themeColor="text1"/>
          <w:sz w:val="22"/>
          <w:szCs w:val="22"/>
        </w:rPr>
        <w:t>-</w:t>
      </w:r>
      <w:r w:rsidRPr="0090545A">
        <w:rPr>
          <w:rStyle w:val="normaltextrun"/>
          <w:rFonts w:eastAsia="Arial"/>
          <w:color w:val="000000" w:themeColor="text1"/>
          <w:sz w:val="22"/>
          <w:szCs w:val="22"/>
        </w:rPr>
        <w:t xml:space="preserve">term </w:t>
      </w:r>
      <w:r w:rsidR="00256A83">
        <w:rPr>
          <w:rStyle w:val="normaltextrun"/>
          <w:rFonts w:eastAsia="Arial"/>
          <w:color w:val="000000" w:themeColor="text1"/>
          <w:sz w:val="22"/>
          <w:szCs w:val="22"/>
        </w:rPr>
        <w:t>planning</w:t>
      </w:r>
      <w:r w:rsidRPr="0090545A">
        <w:rPr>
          <w:rStyle w:val="normaltextrun"/>
          <w:rFonts w:eastAsia="Arial"/>
          <w:color w:val="000000" w:themeColor="text1"/>
          <w:sz w:val="22"/>
          <w:szCs w:val="22"/>
        </w:rPr>
        <w:t xml:space="preserve"> for Manatū Hauora’s policy settings and for Te Whatu Ora’s funding and service design decisions.</w:t>
      </w:r>
    </w:p>
    <w:p w14:paraId="667214A7" w14:textId="77777777" w:rsidR="00240FD1" w:rsidRPr="00240FD1" w:rsidRDefault="00240FD1" w:rsidP="00240FD1">
      <w:pPr>
        <w:spacing w:after="0" w:line="240" w:lineRule="auto"/>
        <w:rPr>
          <w:rStyle w:val="normaltextrun"/>
          <w:rFonts w:eastAsia="Arial"/>
          <w:color w:val="000000" w:themeColor="text1"/>
          <w:sz w:val="22"/>
          <w:szCs w:val="22"/>
        </w:rPr>
      </w:pPr>
    </w:p>
    <w:p w14:paraId="418F348B" w14:textId="77777777" w:rsidR="00240FD1" w:rsidRPr="00240FD1" w:rsidRDefault="00240FD1" w:rsidP="00240FD1">
      <w:pPr>
        <w:spacing w:after="0" w:line="240" w:lineRule="auto"/>
        <w:rPr>
          <w:rStyle w:val="normaltextrun"/>
          <w:rFonts w:eastAsia="Arial"/>
          <w:color w:val="000000" w:themeColor="text1"/>
          <w:sz w:val="22"/>
          <w:szCs w:val="22"/>
        </w:rPr>
      </w:pPr>
      <w:r w:rsidRPr="00240FD1">
        <w:rPr>
          <w:rStyle w:val="normaltextrun"/>
          <w:rFonts w:eastAsia="Arial"/>
          <w:color w:val="000000" w:themeColor="text1"/>
          <w:sz w:val="22"/>
          <w:szCs w:val="22"/>
        </w:rPr>
        <w:t>Te Whatu Ora acknowledges that the community pharmacy sector has much to contribute to the health reforms, system redesign, the approach to funding sustainable pharmacy services, the prevention and management of chronic conditions, and the provision of pharmacy services that are accessible, culturally safe, appropriate, and whānau-centred.</w:t>
      </w:r>
    </w:p>
    <w:p w14:paraId="2DDF8539" w14:textId="77777777" w:rsidR="00240FD1" w:rsidRPr="00240FD1" w:rsidRDefault="00240FD1" w:rsidP="00240FD1">
      <w:pPr>
        <w:spacing w:after="0" w:line="240" w:lineRule="auto"/>
        <w:rPr>
          <w:rStyle w:val="normaltextrun"/>
          <w:rFonts w:eastAsia="Arial"/>
          <w:color w:val="000000" w:themeColor="text1"/>
          <w:sz w:val="22"/>
          <w:szCs w:val="22"/>
        </w:rPr>
      </w:pPr>
    </w:p>
    <w:p w14:paraId="7306B58B" w14:textId="6CCE6EFD" w:rsidR="00240FD1" w:rsidRPr="00240FD1" w:rsidRDefault="00240FD1" w:rsidP="00240FD1">
      <w:pPr>
        <w:spacing w:after="0" w:line="240" w:lineRule="auto"/>
        <w:rPr>
          <w:rStyle w:val="normaltextrun"/>
          <w:rFonts w:eastAsia="Arial"/>
          <w:color w:val="000000" w:themeColor="text1"/>
          <w:sz w:val="22"/>
          <w:szCs w:val="22"/>
        </w:rPr>
      </w:pPr>
      <w:r w:rsidRPr="00240FD1">
        <w:rPr>
          <w:rStyle w:val="normaltextrun"/>
          <w:rFonts w:eastAsia="Arial"/>
          <w:color w:val="000000" w:themeColor="text1"/>
          <w:sz w:val="22"/>
          <w:szCs w:val="22"/>
        </w:rPr>
        <w:t xml:space="preserve">Te Whatu Ora undertakes to involve the community pharmacy sector in work beyond NAAR into 2024 and 2025. </w:t>
      </w:r>
      <w:bookmarkStart w:id="0" w:name="_Hlk146293239"/>
      <w:r w:rsidRPr="00240FD1">
        <w:rPr>
          <w:rStyle w:val="normaltextrun"/>
          <w:rFonts w:eastAsia="Arial"/>
          <w:color w:val="000000" w:themeColor="text1"/>
          <w:sz w:val="22"/>
          <w:szCs w:val="22"/>
        </w:rPr>
        <w:t>Work that has been undertaken to date</w:t>
      </w:r>
      <w:r w:rsidR="00522564">
        <w:rPr>
          <w:rStyle w:val="normaltextrun"/>
          <w:rFonts w:eastAsia="Arial"/>
          <w:color w:val="000000" w:themeColor="text1"/>
          <w:sz w:val="22"/>
          <w:szCs w:val="22"/>
        </w:rPr>
        <w:t>,</w:t>
      </w:r>
      <w:r w:rsidR="00522564">
        <w:rPr>
          <w:rStyle w:val="FootnoteReference"/>
        </w:rPr>
        <w:footnoteReference w:id="3"/>
      </w:r>
      <w:r w:rsidR="00522564" w:rsidRPr="00C601E2">
        <w:rPr>
          <w:rStyle w:val="ui-provider"/>
          <w:vertAlign w:val="superscript"/>
        </w:rPr>
        <w:t>,</w:t>
      </w:r>
      <w:r w:rsidR="00522564">
        <w:rPr>
          <w:rStyle w:val="FootnoteReference"/>
        </w:rPr>
        <w:footnoteReference w:id="4"/>
      </w:r>
      <w:r w:rsidRPr="00240FD1">
        <w:rPr>
          <w:rStyle w:val="normaltextrun"/>
          <w:rFonts w:eastAsia="Arial"/>
          <w:color w:val="000000" w:themeColor="text1"/>
          <w:sz w:val="22"/>
          <w:szCs w:val="22"/>
        </w:rPr>
        <w:t xml:space="preserve"> will </w:t>
      </w:r>
      <w:r w:rsidR="00FB173B" w:rsidRPr="00FB173B">
        <w:rPr>
          <w:rStyle w:val="normaltextrun"/>
          <w:rFonts w:eastAsia="Arial"/>
          <w:color w:val="000000" w:themeColor="text1"/>
          <w:sz w:val="22"/>
          <w:szCs w:val="22"/>
        </w:rPr>
        <w:t xml:space="preserve">be used to inform the </w:t>
      </w:r>
      <w:r w:rsidR="00967DB2">
        <w:rPr>
          <w:rStyle w:val="normaltextrun"/>
          <w:rFonts w:eastAsia="Arial"/>
          <w:color w:val="000000" w:themeColor="text1"/>
          <w:sz w:val="22"/>
          <w:szCs w:val="22"/>
        </w:rPr>
        <w:t>co-</w:t>
      </w:r>
      <w:r w:rsidR="00FB173B" w:rsidRPr="00FB173B">
        <w:rPr>
          <w:rStyle w:val="normaltextrun"/>
          <w:rFonts w:eastAsia="Arial"/>
          <w:color w:val="000000" w:themeColor="text1"/>
          <w:sz w:val="22"/>
          <w:szCs w:val="22"/>
        </w:rPr>
        <w:t>development of a community pharmacy services agreement that is aligned with the priorit</w:t>
      </w:r>
      <w:r w:rsidR="00FB173B">
        <w:rPr>
          <w:rStyle w:val="normaltextrun"/>
          <w:rFonts w:eastAsia="Arial"/>
          <w:color w:val="000000" w:themeColor="text1"/>
          <w:sz w:val="22"/>
          <w:szCs w:val="22"/>
        </w:rPr>
        <w:t>y actions</w:t>
      </w:r>
      <w:r w:rsidR="00FB173B" w:rsidRPr="00FB173B">
        <w:rPr>
          <w:rStyle w:val="normaltextrun"/>
          <w:rFonts w:eastAsia="Arial"/>
          <w:color w:val="000000" w:themeColor="text1"/>
          <w:sz w:val="22"/>
          <w:szCs w:val="22"/>
        </w:rPr>
        <w:t xml:space="preserve"> in Te Pae Tata, which include keeping people well in their communities and supporting a financially sustainable health system</w:t>
      </w:r>
      <w:r w:rsidR="00FB173B">
        <w:rPr>
          <w:rStyle w:val="normaltextrun"/>
          <w:rFonts w:eastAsia="Arial"/>
          <w:color w:val="000000" w:themeColor="text1"/>
          <w:sz w:val="22"/>
          <w:szCs w:val="22"/>
        </w:rPr>
        <w:t xml:space="preserve">. </w:t>
      </w:r>
      <w:bookmarkEnd w:id="0"/>
    </w:p>
    <w:p w14:paraId="61E537D2" w14:textId="77777777" w:rsidR="00E25960" w:rsidRDefault="00E25960" w:rsidP="006B310F">
      <w:pPr>
        <w:spacing w:after="0" w:line="240" w:lineRule="auto"/>
        <w:rPr>
          <w:rStyle w:val="normaltextrun"/>
          <w:rFonts w:eastAsia="Arial"/>
          <w:b/>
          <w:bCs/>
          <w:color w:val="00A3AD"/>
          <w:sz w:val="22"/>
          <w:szCs w:val="22"/>
        </w:rPr>
      </w:pPr>
    </w:p>
    <w:p w14:paraId="737A85CB" w14:textId="4A34AD32" w:rsidR="0074792C" w:rsidRDefault="0074792C" w:rsidP="006B310F">
      <w:pPr>
        <w:spacing w:after="0" w:line="240" w:lineRule="auto"/>
        <w:rPr>
          <w:rStyle w:val="normaltextrun"/>
          <w:rFonts w:eastAsia="Arial"/>
          <w:b/>
          <w:bCs/>
          <w:color w:val="00A3AD"/>
          <w:sz w:val="22"/>
          <w:szCs w:val="22"/>
        </w:rPr>
      </w:pPr>
      <w:r>
        <w:rPr>
          <w:rStyle w:val="normaltextrun"/>
          <w:rFonts w:eastAsia="Arial"/>
          <w:b/>
          <w:bCs/>
          <w:color w:val="00A3AD"/>
          <w:sz w:val="22"/>
          <w:szCs w:val="22"/>
        </w:rPr>
        <w:t>When</w:t>
      </w:r>
      <w:r w:rsidR="00F66EDD">
        <w:rPr>
          <w:rStyle w:val="normaltextrun"/>
          <w:rFonts w:eastAsia="Arial"/>
          <w:b/>
          <w:bCs/>
          <w:color w:val="00A3AD"/>
          <w:sz w:val="22"/>
          <w:szCs w:val="22"/>
        </w:rPr>
        <w:t xml:space="preserve"> </w:t>
      </w:r>
      <w:r>
        <w:rPr>
          <w:rStyle w:val="normaltextrun"/>
          <w:rFonts w:eastAsia="Arial"/>
          <w:b/>
          <w:bCs/>
          <w:color w:val="00A3AD"/>
          <w:sz w:val="22"/>
          <w:szCs w:val="22"/>
        </w:rPr>
        <w:t xml:space="preserve">Variation </w:t>
      </w:r>
      <w:r w:rsidR="00F66EDD">
        <w:rPr>
          <w:rStyle w:val="normaltextrun"/>
          <w:rFonts w:eastAsia="Arial"/>
          <w:b/>
          <w:bCs/>
          <w:color w:val="00A3AD"/>
          <w:sz w:val="22"/>
          <w:szCs w:val="22"/>
        </w:rPr>
        <w:t xml:space="preserve">5 </w:t>
      </w:r>
      <w:r>
        <w:rPr>
          <w:rStyle w:val="normaltextrun"/>
          <w:rFonts w:eastAsia="Arial"/>
          <w:b/>
          <w:bCs/>
          <w:color w:val="00A3AD"/>
          <w:sz w:val="22"/>
          <w:szCs w:val="22"/>
        </w:rPr>
        <w:t>will take effect</w:t>
      </w:r>
    </w:p>
    <w:p w14:paraId="005B72D4" w14:textId="77777777" w:rsidR="0074792C" w:rsidRPr="00E06C49" w:rsidRDefault="0074792C" w:rsidP="006B310F">
      <w:pPr>
        <w:spacing w:after="0" w:line="240" w:lineRule="auto"/>
        <w:rPr>
          <w:rStyle w:val="normaltextrun"/>
          <w:rFonts w:eastAsia="Arial"/>
          <w:color w:val="000000" w:themeColor="text1"/>
          <w:sz w:val="22"/>
          <w:szCs w:val="22"/>
        </w:rPr>
      </w:pPr>
    </w:p>
    <w:p w14:paraId="1FAD990D" w14:textId="6FE92EB9" w:rsidR="004C6A0D" w:rsidRDefault="004C6A0D" w:rsidP="0074792C">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The ICPSA contract year determines how some payments are calculated (eg, the Case Mix Service Fee and APAS payments), the timeframe</w:t>
      </w:r>
      <w:r w:rsidR="00ED5347">
        <w:rPr>
          <w:rStyle w:val="normaltextrun"/>
          <w:rFonts w:eastAsia="Arial"/>
          <w:color w:val="000000" w:themeColor="text1"/>
          <w:sz w:val="22"/>
          <w:szCs w:val="22"/>
        </w:rPr>
        <w:t>s</w:t>
      </w:r>
      <w:r>
        <w:rPr>
          <w:rStyle w:val="normaltextrun"/>
          <w:rFonts w:eastAsia="Arial"/>
          <w:color w:val="000000" w:themeColor="text1"/>
          <w:sz w:val="22"/>
          <w:szCs w:val="22"/>
        </w:rPr>
        <w:t xml:space="preserve"> for some reporting requirements, and when variations following the NAAR process come into effect. The ICPSA contract year is currently 1 October – 30 September, meaning </w:t>
      </w:r>
      <w:r w:rsidR="00567716">
        <w:rPr>
          <w:rStyle w:val="normaltextrun"/>
          <w:rFonts w:eastAsia="Arial"/>
          <w:color w:val="000000" w:themeColor="text1"/>
          <w:sz w:val="22"/>
          <w:szCs w:val="22"/>
        </w:rPr>
        <w:t xml:space="preserve">most </w:t>
      </w:r>
      <w:r>
        <w:rPr>
          <w:rStyle w:val="normaltextrun"/>
          <w:rFonts w:eastAsia="Arial"/>
          <w:color w:val="000000" w:themeColor="text1"/>
          <w:sz w:val="22"/>
          <w:szCs w:val="22"/>
        </w:rPr>
        <w:t>price increases and other changes generally come into effect on 1 October of each year.</w:t>
      </w:r>
    </w:p>
    <w:p w14:paraId="4DBC3927" w14:textId="77777777" w:rsidR="004C6A0D" w:rsidRDefault="004C6A0D" w:rsidP="0074792C">
      <w:pPr>
        <w:spacing w:after="0" w:line="240" w:lineRule="auto"/>
        <w:rPr>
          <w:rStyle w:val="normaltextrun"/>
          <w:rFonts w:eastAsia="Arial"/>
          <w:color w:val="000000" w:themeColor="text1"/>
          <w:sz w:val="22"/>
          <w:szCs w:val="22"/>
        </w:rPr>
      </w:pPr>
    </w:p>
    <w:p w14:paraId="1DB38AFF" w14:textId="35C744E5" w:rsidR="004C6A0D" w:rsidRDefault="0074792C" w:rsidP="0074792C">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lastRenderedPageBreak/>
        <w:t>As part of the recent NAAR discussions about this Variation</w:t>
      </w:r>
      <w:r w:rsidRPr="00CE29BD">
        <w:rPr>
          <w:rStyle w:val="normaltextrun"/>
          <w:rFonts w:eastAsia="Arial"/>
          <w:color w:val="000000" w:themeColor="text1"/>
          <w:sz w:val="22"/>
          <w:szCs w:val="22"/>
        </w:rPr>
        <w:t xml:space="preserve">, </w:t>
      </w:r>
      <w:r w:rsidR="00A14DAE" w:rsidRPr="00CE29BD">
        <w:rPr>
          <w:rStyle w:val="normaltextrun"/>
          <w:rFonts w:eastAsia="Arial"/>
          <w:color w:val="000000" w:themeColor="text1"/>
          <w:sz w:val="22"/>
          <w:szCs w:val="22"/>
        </w:rPr>
        <w:t xml:space="preserve">all </w:t>
      </w:r>
      <w:r w:rsidR="00904680" w:rsidRPr="00CE29BD">
        <w:rPr>
          <w:rStyle w:val="normaltextrun"/>
          <w:rFonts w:eastAsia="Arial"/>
          <w:color w:val="000000" w:themeColor="text1"/>
          <w:sz w:val="22"/>
          <w:szCs w:val="22"/>
        </w:rPr>
        <w:t xml:space="preserve">participants </w:t>
      </w:r>
      <w:r w:rsidRPr="00CE29BD">
        <w:rPr>
          <w:rStyle w:val="normaltextrun"/>
          <w:rFonts w:eastAsia="Arial"/>
          <w:color w:val="000000" w:themeColor="text1"/>
          <w:sz w:val="22"/>
          <w:szCs w:val="22"/>
        </w:rPr>
        <w:t>agreed</w:t>
      </w:r>
      <w:r>
        <w:rPr>
          <w:rStyle w:val="normaltextrun"/>
          <w:rFonts w:eastAsia="Arial"/>
          <w:color w:val="000000" w:themeColor="text1"/>
          <w:sz w:val="22"/>
          <w:szCs w:val="22"/>
        </w:rPr>
        <w:t xml:space="preserve"> that it would be desirable to change the ICPSA contract year to 1 July – 30 June.</w:t>
      </w:r>
      <w:r w:rsidR="004C6A0D">
        <w:rPr>
          <w:rStyle w:val="normaltextrun"/>
          <w:rFonts w:eastAsia="Arial"/>
          <w:color w:val="000000" w:themeColor="text1"/>
          <w:sz w:val="22"/>
          <w:szCs w:val="22"/>
        </w:rPr>
        <w:t xml:space="preserve"> </w:t>
      </w:r>
      <w:r>
        <w:rPr>
          <w:rStyle w:val="normaltextrun"/>
          <w:rFonts w:eastAsia="Arial"/>
          <w:color w:val="000000" w:themeColor="text1"/>
          <w:sz w:val="22"/>
          <w:szCs w:val="22"/>
        </w:rPr>
        <w:t>Th</w:t>
      </w:r>
      <w:r w:rsidR="004C6A0D">
        <w:rPr>
          <w:rStyle w:val="normaltextrun"/>
          <w:rFonts w:eastAsia="Arial"/>
          <w:color w:val="000000" w:themeColor="text1"/>
          <w:sz w:val="22"/>
          <w:szCs w:val="22"/>
        </w:rPr>
        <w:t>at</w:t>
      </w:r>
      <w:r>
        <w:rPr>
          <w:rStyle w:val="normaltextrun"/>
          <w:rFonts w:eastAsia="Arial"/>
          <w:color w:val="000000" w:themeColor="text1"/>
          <w:sz w:val="22"/>
          <w:szCs w:val="22"/>
        </w:rPr>
        <w:t xml:space="preserve"> change would better align the ICPSA with </w:t>
      </w:r>
      <w:r w:rsidR="00604C3F">
        <w:rPr>
          <w:rStyle w:val="normaltextrun"/>
          <w:rFonts w:eastAsia="Arial"/>
          <w:color w:val="000000" w:themeColor="text1"/>
          <w:sz w:val="22"/>
          <w:szCs w:val="22"/>
        </w:rPr>
        <w:t xml:space="preserve">the contract period of </w:t>
      </w:r>
      <w:r>
        <w:rPr>
          <w:rStyle w:val="normaltextrun"/>
          <w:rFonts w:eastAsia="Arial"/>
          <w:color w:val="000000" w:themeColor="text1"/>
          <w:sz w:val="22"/>
          <w:szCs w:val="22"/>
        </w:rPr>
        <w:t>other national agreements</w:t>
      </w:r>
      <w:r w:rsidR="004C6A0D">
        <w:rPr>
          <w:rStyle w:val="normaltextrun"/>
          <w:rFonts w:eastAsia="Arial"/>
          <w:color w:val="000000" w:themeColor="text1"/>
          <w:sz w:val="22"/>
          <w:szCs w:val="22"/>
        </w:rPr>
        <w:t>.</w:t>
      </w:r>
    </w:p>
    <w:p w14:paraId="1D860036" w14:textId="77777777" w:rsidR="004C6A0D" w:rsidRDefault="004C6A0D" w:rsidP="0074792C">
      <w:pPr>
        <w:spacing w:after="0" w:line="240" w:lineRule="auto"/>
        <w:rPr>
          <w:rStyle w:val="normaltextrun"/>
          <w:rFonts w:eastAsia="Arial"/>
          <w:color w:val="000000" w:themeColor="text1"/>
          <w:sz w:val="22"/>
          <w:szCs w:val="22"/>
        </w:rPr>
      </w:pPr>
    </w:p>
    <w:p w14:paraId="09613C8A" w14:textId="6085C991" w:rsidR="0074792C" w:rsidRDefault="004C6A0D" w:rsidP="0074792C">
      <w:pPr>
        <w:spacing w:after="0" w:line="240" w:lineRule="auto"/>
        <w:rPr>
          <w:rStyle w:val="normaltextrun"/>
          <w:rFonts w:eastAsia="Arial"/>
          <w:color w:val="000000" w:themeColor="text1"/>
          <w:sz w:val="22"/>
          <w:szCs w:val="22"/>
        </w:rPr>
      </w:pPr>
      <w:r w:rsidRPr="5622BB30">
        <w:rPr>
          <w:rStyle w:val="normaltextrun"/>
          <w:rFonts w:eastAsia="Arial"/>
          <w:color w:val="000000" w:themeColor="text1"/>
          <w:sz w:val="22"/>
          <w:szCs w:val="22"/>
        </w:rPr>
        <w:t>Importantly for</w:t>
      </w:r>
      <w:r w:rsidR="00F66EDD" w:rsidRPr="5622BB30">
        <w:rPr>
          <w:rStyle w:val="normaltextrun"/>
          <w:rFonts w:eastAsia="Arial"/>
          <w:color w:val="000000" w:themeColor="text1"/>
          <w:sz w:val="22"/>
          <w:szCs w:val="22"/>
        </w:rPr>
        <w:t xml:space="preserve"> </w:t>
      </w:r>
      <w:r w:rsidRPr="5622BB30">
        <w:rPr>
          <w:rStyle w:val="normaltextrun"/>
          <w:rFonts w:eastAsia="Arial"/>
          <w:color w:val="000000" w:themeColor="text1"/>
          <w:sz w:val="22"/>
          <w:szCs w:val="22"/>
        </w:rPr>
        <w:t>Variation</w:t>
      </w:r>
      <w:r w:rsidR="00F66EDD" w:rsidRPr="5622BB30">
        <w:rPr>
          <w:rStyle w:val="normaltextrun"/>
          <w:rFonts w:eastAsia="Arial"/>
          <w:color w:val="000000" w:themeColor="text1"/>
          <w:sz w:val="22"/>
          <w:szCs w:val="22"/>
        </w:rPr>
        <w:t xml:space="preserve"> 5</w:t>
      </w:r>
      <w:r w:rsidRPr="5622BB30">
        <w:rPr>
          <w:rStyle w:val="normaltextrun"/>
          <w:rFonts w:eastAsia="Arial"/>
          <w:color w:val="000000" w:themeColor="text1"/>
          <w:sz w:val="22"/>
          <w:szCs w:val="22"/>
        </w:rPr>
        <w:t xml:space="preserve">, changing the contract year would also </w:t>
      </w:r>
      <w:r w:rsidR="0074792C" w:rsidRPr="5622BB30">
        <w:rPr>
          <w:rStyle w:val="normaltextrun"/>
          <w:rFonts w:eastAsia="Arial"/>
          <w:color w:val="000000" w:themeColor="text1"/>
          <w:sz w:val="22"/>
          <w:szCs w:val="22"/>
        </w:rPr>
        <w:t xml:space="preserve">mean that all of the </w:t>
      </w:r>
      <w:r w:rsidR="00710718" w:rsidRPr="5622BB30">
        <w:rPr>
          <w:rStyle w:val="normaltextrun"/>
          <w:rFonts w:eastAsia="Arial"/>
          <w:color w:val="000000" w:themeColor="text1"/>
          <w:sz w:val="22"/>
          <w:szCs w:val="22"/>
        </w:rPr>
        <w:t xml:space="preserve">Funding </w:t>
      </w:r>
      <w:r w:rsidR="0074792C" w:rsidRPr="5622BB30">
        <w:rPr>
          <w:rStyle w:val="normaltextrun"/>
          <w:rFonts w:eastAsia="Arial"/>
          <w:color w:val="000000" w:themeColor="text1"/>
          <w:sz w:val="22"/>
          <w:szCs w:val="22"/>
        </w:rPr>
        <w:t xml:space="preserve">Changes described </w:t>
      </w:r>
      <w:r w:rsidR="00F66EDD" w:rsidRPr="5622BB30">
        <w:rPr>
          <w:rStyle w:val="normaltextrun"/>
          <w:rFonts w:eastAsia="Arial"/>
          <w:color w:val="000000" w:themeColor="text1"/>
          <w:sz w:val="22"/>
          <w:szCs w:val="22"/>
        </w:rPr>
        <w:t>above</w:t>
      </w:r>
      <w:r w:rsidR="0074792C" w:rsidRPr="5622BB30">
        <w:rPr>
          <w:rStyle w:val="normaltextrun"/>
          <w:rFonts w:eastAsia="Arial"/>
          <w:color w:val="000000" w:themeColor="text1"/>
          <w:sz w:val="22"/>
          <w:szCs w:val="22"/>
        </w:rPr>
        <w:t xml:space="preserve"> </w:t>
      </w:r>
      <w:r w:rsidR="00457B01">
        <w:rPr>
          <w:rStyle w:val="normaltextrun"/>
          <w:rFonts w:eastAsia="Arial"/>
          <w:color w:val="000000" w:themeColor="text1"/>
          <w:sz w:val="22"/>
          <w:szCs w:val="22"/>
        </w:rPr>
        <w:t>w</w:t>
      </w:r>
      <w:r w:rsidR="0074792C" w:rsidRPr="5622BB30">
        <w:rPr>
          <w:rStyle w:val="normaltextrun"/>
          <w:rFonts w:eastAsia="Arial"/>
          <w:color w:val="000000" w:themeColor="text1"/>
          <w:sz w:val="22"/>
          <w:szCs w:val="22"/>
        </w:rPr>
        <w:t>ould be backdated to 1 July 2023.</w:t>
      </w:r>
      <w:r w:rsidRPr="5622BB30">
        <w:rPr>
          <w:rStyle w:val="normaltextrun"/>
          <w:rFonts w:eastAsia="Arial"/>
          <w:color w:val="000000" w:themeColor="text1"/>
          <w:sz w:val="22"/>
          <w:szCs w:val="22"/>
        </w:rPr>
        <w:t xml:space="preserve"> </w:t>
      </w:r>
      <w:r w:rsidR="00604C3F" w:rsidRPr="5622BB30">
        <w:rPr>
          <w:rStyle w:val="normaltextrun"/>
          <w:rFonts w:eastAsia="Arial"/>
          <w:color w:val="000000" w:themeColor="text1"/>
          <w:sz w:val="22"/>
          <w:szCs w:val="22"/>
        </w:rPr>
        <w:t xml:space="preserve">Without </w:t>
      </w:r>
      <w:r w:rsidRPr="5622BB30">
        <w:rPr>
          <w:rStyle w:val="normaltextrun"/>
          <w:rFonts w:eastAsia="Arial"/>
          <w:color w:val="000000" w:themeColor="text1"/>
          <w:sz w:val="22"/>
          <w:szCs w:val="22"/>
        </w:rPr>
        <w:t xml:space="preserve">that </w:t>
      </w:r>
      <w:r w:rsidR="00604C3F" w:rsidRPr="5622BB30">
        <w:rPr>
          <w:rStyle w:val="normaltextrun"/>
          <w:rFonts w:eastAsia="Arial"/>
          <w:color w:val="000000" w:themeColor="text1"/>
          <w:sz w:val="22"/>
          <w:szCs w:val="22"/>
        </w:rPr>
        <w:t xml:space="preserve">change, only the </w:t>
      </w:r>
      <w:r w:rsidR="00F66EDD" w:rsidRPr="5622BB30">
        <w:rPr>
          <w:rStyle w:val="normaltextrun"/>
          <w:rFonts w:eastAsia="Arial"/>
          <w:color w:val="000000" w:themeColor="text1"/>
          <w:sz w:val="22"/>
          <w:szCs w:val="22"/>
        </w:rPr>
        <w:t>changes to the</w:t>
      </w:r>
      <w:r w:rsidR="00604C3F" w:rsidRPr="5622BB30">
        <w:rPr>
          <w:rStyle w:val="normaltextrun"/>
          <w:rFonts w:eastAsia="Arial"/>
          <w:color w:val="000000" w:themeColor="text1"/>
          <w:sz w:val="22"/>
          <w:szCs w:val="22"/>
        </w:rPr>
        <w:t xml:space="preserve"> immunisation </w:t>
      </w:r>
      <w:r w:rsidR="00F66EDD" w:rsidRPr="5622BB30">
        <w:rPr>
          <w:rStyle w:val="normaltextrun"/>
          <w:rFonts w:eastAsia="Arial"/>
          <w:color w:val="000000" w:themeColor="text1"/>
          <w:sz w:val="22"/>
          <w:szCs w:val="22"/>
        </w:rPr>
        <w:t xml:space="preserve">service schedule </w:t>
      </w:r>
      <w:r w:rsidR="00604C3F" w:rsidRPr="5622BB30">
        <w:rPr>
          <w:rStyle w:val="normaltextrun"/>
          <w:rFonts w:eastAsia="Arial"/>
          <w:color w:val="000000" w:themeColor="text1"/>
          <w:sz w:val="22"/>
          <w:szCs w:val="22"/>
        </w:rPr>
        <w:t xml:space="preserve">would apply from 1 July 2023 (for those ICPSA holders who accept Variation </w:t>
      </w:r>
      <w:r w:rsidR="00F66EDD" w:rsidRPr="5622BB30">
        <w:rPr>
          <w:rStyle w:val="normaltextrun"/>
          <w:rFonts w:eastAsia="Arial"/>
          <w:color w:val="000000" w:themeColor="text1"/>
          <w:sz w:val="22"/>
          <w:szCs w:val="22"/>
        </w:rPr>
        <w:t xml:space="preserve">5 </w:t>
      </w:r>
      <w:r w:rsidR="00604C3F" w:rsidRPr="5622BB30">
        <w:rPr>
          <w:rStyle w:val="normaltextrun"/>
          <w:rFonts w:eastAsia="Arial"/>
          <w:color w:val="000000" w:themeColor="text1"/>
          <w:sz w:val="22"/>
          <w:szCs w:val="22"/>
        </w:rPr>
        <w:t>by the Acceptance Date).</w:t>
      </w:r>
    </w:p>
    <w:p w14:paraId="725C42F6" w14:textId="77777777" w:rsidR="0074792C" w:rsidRDefault="0074792C" w:rsidP="0074792C">
      <w:pPr>
        <w:spacing w:after="0" w:line="240" w:lineRule="auto"/>
        <w:rPr>
          <w:rStyle w:val="normaltextrun"/>
          <w:rFonts w:eastAsia="Arial"/>
          <w:color w:val="000000" w:themeColor="text1"/>
          <w:sz w:val="22"/>
          <w:szCs w:val="22"/>
        </w:rPr>
      </w:pPr>
    </w:p>
    <w:p w14:paraId="5881DD7A" w14:textId="1F38C1E2" w:rsidR="0074792C" w:rsidRDefault="004C6A0D" w:rsidP="0074792C">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 xml:space="preserve">However, </w:t>
      </w:r>
      <w:r w:rsidR="00710718">
        <w:rPr>
          <w:rStyle w:val="normaltextrun"/>
          <w:rFonts w:eastAsia="Arial"/>
          <w:color w:val="000000" w:themeColor="text1"/>
          <w:sz w:val="22"/>
          <w:szCs w:val="22"/>
        </w:rPr>
        <w:t>changing the</w:t>
      </w:r>
      <w:r w:rsidR="002708F6">
        <w:rPr>
          <w:rStyle w:val="normaltextrun"/>
          <w:rFonts w:eastAsia="Arial"/>
          <w:color w:val="000000" w:themeColor="text1"/>
          <w:sz w:val="22"/>
          <w:szCs w:val="22"/>
        </w:rPr>
        <w:t xml:space="preserve"> </w:t>
      </w:r>
      <w:r>
        <w:rPr>
          <w:rStyle w:val="normaltextrun"/>
          <w:rFonts w:eastAsia="Arial"/>
          <w:color w:val="000000" w:themeColor="text1"/>
          <w:sz w:val="22"/>
          <w:szCs w:val="22"/>
        </w:rPr>
        <w:t xml:space="preserve">ICPSA </w:t>
      </w:r>
      <w:r w:rsidR="002708F6">
        <w:rPr>
          <w:rStyle w:val="normaltextrun"/>
          <w:rFonts w:eastAsia="Arial"/>
          <w:color w:val="000000" w:themeColor="text1"/>
          <w:sz w:val="22"/>
          <w:szCs w:val="22"/>
        </w:rPr>
        <w:t>contract year to 1 July – 30 June</w:t>
      </w:r>
      <w:r w:rsidR="00710718">
        <w:rPr>
          <w:rStyle w:val="normaltextrun"/>
          <w:rFonts w:eastAsia="Arial"/>
          <w:color w:val="000000" w:themeColor="text1"/>
          <w:sz w:val="22"/>
          <w:szCs w:val="22"/>
        </w:rPr>
        <w:t xml:space="preserve"> is conditional on </w:t>
      </w:r>
      <w:r w:rsidR="0074792C">
        <w:rPr>
          <w:rStyle w:val="normaltextrun"/>
          <w:rFonts w:eastAsia="Arial"/>
          <w:color w:val="000000" w:themeColor="text1"/>
          <w:sz w:val="22"/>
          <w:szCs w:val="22"/>
        </w:rPr>
        <w:t xml:space="preserve">all ICPSA holders </w:t>
      </w:r>
      <w:r>
        <w:rPr>
          <w:rStyle w:val="normaltextrun"/>
          <w:rFonts w:eastAsia="Arial"/>
          <w:color w:val="000000" w:themeColor="text1"/>
          <w:sz w:val="22"/>
          <w:szCs w:val="22"/>
        </w:rPr>
        <w:t>agree</w:t>
      </w:r>
      <w:r w:rsidR="00710718">
        <w:rPr>
          <w:rStyle w:val="normaltextrun"/>
          <w:rFonts w:eastAsia="Arial"/>
          <w:color w:val="000000" w:themeColor="text1"/>
          <w:sz w:val="22"/>
          <w:szCs w:val="22"/>
        </w:rPr>
        <w:t>ing</w:t>
      </w:r>
      <w:r>
        <w:rPr>
          <w:rStyle w:val="normaltextrun"/>
          <w:rFonts w:eastAsia="Arial"/>
          <w:color w:val="000000" w:themeColor="text1"/>
          <w:sz w:val="22"/>
          <w:szCs w:val="22"/>
        </w:rPr>
        <w:t xml:space="preserve"> to</w:t>
      </w:r>
      <w:r w:rsidR="0074792C">
        <w:rPr>
          <w:rStyle w:val="normaltextrun"/>
          <w:rFonts w:eastAsia="Arial"/>
          <w:color w:val="000000" w:themeColor="text1"/>
          <w:sz w:val="22"/>
          <w:szCs w:val="22"/>
        </w:rPr>
        <w:t xml:space="preserve"> </w:t>
      </w:r>
      <w:r w:rsidR="002708F6">
        <w:rPr>
          <w:rStyle w:val="normaltextrun"/>
          <w:rFonts w:eastAsia="Arial"/>
          <w:color w:val="000000" w:themeColor="text1"/>
          <w:sz w:val="22"/>
          <w:szCs w:val="22"/>
        </w:rPr>
        <w:t xml:space="preserve">that </w:t>
      </w:r>
      <w:r w:rsidR="0074792C">
        <w:rPr>
          <w:rStyle w:val="normaltextrun"/>
          <w:rFonts w:eastAsia="Arial"/>
          <w:color w:val="000000" w:themeColor="text1"/>
          <w:sz w:val="22"/>
          <w:szCs w:val="22"/>
        </w:rPr>
        <w:t>change</w:t>
      </w:r>
      <w:r>
        <w:rPr>
          <w:rStyle w:val="normaltextrun"/>
          <w:rFonts w:eastAsia="Arial"/>
          <w:color w:val="000000" w:themeColor="text1"/>
          <w:sz w:val="22"/>
          <w:szCs w:val="22"/>
        </w:rPr>
        <w:t xml:space="preserve">, </w:t>
      </w:r>
      <w:r w:rsidR="002708F6">
        <w:rPr>
          <w:rStyle w:val="normaltextrun"/>
          <w:rFonts w:eastAsia="Arial"/>
          <w:color w:val="000000" w:themeColor="text1"/>
          <w:sz w:val="22"/>
          <w:szCs w:val="22"/>
        </w:rPr>
        <w:t>by accepting Variation</w:t>
      </w:r>
      <w:r w:rsidR="003C17F8">
        <w:rPr>
          <w:rStyle w:val="normaltextrun"/>
          <w:rFonts w:eastAsia="Arial"/>
          <w:color w:val="000000" w:themeColor="text1"/>
          <w:sz w:val="22"/>
          <w:szCs w:val="22"/>
        </w:rPr>
        <w:t xml:space="preserve"> </w:t>
      </w:r>
      <w:r w:rsidR="00F66EDD">
        <w:rPr>
          <w:rStyle w:val="normaltextrun"/>
          <w:rFonts w:eastAsia="Arial"/>
          <w:color w:val="000000" w:themeColor="text1"/>
          <w:sz w:val="22"/>
          <w:szCs w:val="22"/>
        </w:rPr>
        <w:t xml:space="preserve">5 </w:t>
      </w:r>
      <w:r w:rsidR="003C17F8">
        <w:rPr>
          <w:rStyle w:val="normaltextrun"/>
          <w:rFonts w:eastAsia="Arial"/>
          <w:color w:val="000000" w:themeColor="text1"/>
          <w:sz w:val="22"/>
          <w:szCs w:val="22"/>
        </w:rPr>
        <w:t>by the Acceptance Date</w:t>
      </w:r>
      <w:r w:rsidR="00710718">
        <w:rPr>
          <w:rStyle w:val="normaltextrun"/>
          <w:rFonts w:eastAsia="Arial"/>
          <w:color w:val="000000" w:themeColor="text1"/>
          <w:sz w:val="22"/>
          <w:szCs w:val="22"/>
        </w:rPr>
        <w:t xml:space="preserve"> (</w:t>
      </w:r>
      <w:r w:rsidR="00710718" w:rsidRPr="006B0586">
        <w:rPr>
          <w:rStyle w:val="normaltextrun"/>
          <w:rFonts w:eastAsia="Arial"/>
          <w:b/>
          <w:bCs/>
          <w:color w:val="000000" w:themeColor="text1"/>
          <w:sz w:val="22"/>
          <w:szCs w:val="22"/>
        </w:rPr>
        <w:t>Condition</w:t>
      </w:r>
      <w:r w:rsidR="00710718">
        <w:rPr>
          <w:rStyle w:val="normaltextrun"/>
          <w:rFonts w:eastAsia="Arial"/>
          <w:color w:val="000000" w:themeColor="text1"/>
          <w:sz w:val="22"/>
          <w:szCs w:val="22"/>
        </w:rPr>
        <w:t>)</w:t>
      </w:r>
      <w:r w:rsidR="0074792C">
        <w:rPr>
          <w:rStyle w:val="normaltextrun"/>
          <w:rFonts w:eastAsia="Arial"/>
          <w:color w:val="000000" w:themeColor="text1"/>
          <w:sz w:val="22"/>
          <w:szCs w:val="22"/>
        </w:rPr>
        <w:t xml:space="preserve">. That is because it is not possible for Te Whatu Ora to calculate and make payments to </w:t>
      </w:r>
      <w:r w:rsidR="00567716">
        <w:rPr>
          <w:rStyle w:val="normaltextrun"/>
          <w:rFonts w:eastAsia="Arial"/>
          <w:color w:val="000000" w:themeColor="text1"/>
          <w:sz w:val="22"/>
          <w:szCs w:val="22"/>
        </w:rPr>
        <w:t xml:space="preserve">all </w:t>
      </w:r>
      <w:r w:rsidR="001D665D">
        <w:t xml:space="preserve">ICPSA holders </w:t>
      </w:r>
      <w:r w:rsidR="0074792C">
        <w:rPr>
          <w:rStyle w:val="normaltextrun"/>
          <w:rFonts w:eastAsia="Arial"/>
          <w:color w:val="000000" w:themeColor="text1"/>
          <w:sz w:val="22"/>
          <w:szCs w:val="22"/>
        </w:rPr>
        <w:t>on the basis of different contract years.</w:t>
      </w:r>
    </w:p>
    <w:p w14:paraId="091A87A3" w14:textId="77777777" w:rsidR="0074792C" w:rsidRPr="00F416EC" w:rsidRDefault="0074792C" w:rsidP="0074792C">
      <w:pPr>
        <w:spacing w:after="0" w:line="240" w:lineRule="auto"/>
        <w:rPr>
          <w:rStyle w:val="normaltextrun"/>
          <w:rFonts w:eastAsia="Arial"/>
          <w:color w:val="000000" w:themeColor="text1"/>
          <w:sz w:val="22"/>
          <w:szCs w:val="22"/>
        </w:rPr>
      </w:pPr>
    </w:p>
    <w:p w14:paraId="59D2246C" w14:textId="0792BB3C" w:rsidR="0074792C" w:rsidRDefault="00C37720" w:rsidP="0074792C">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As set out earlier in this letter, c</w:t>
      </w:r>
      <w:r w:rsidR="0074792C">
        <w:rPr>
          <w:rStyle w:val="normaltextrun"/>
          <w:rFonts w:eastAsia="Arial"/>
          <w:color w:val="000000" w:themeColor="text1"/>
          <w:sz w:val="22"/>
          <w:szCs w:val="22"/>
        </w:rPr>
        <w:t>ould you please advise Te Whatu Ora whether y</w:t>
      </w:r>
      <w:r w:rsidR="0074792C" w:rsidRPr="00F416EC">
        <w:rPr>
          <w:rStyle w:val="normaltextrun"/>
          <w:rFonts w:eastAsia="Arial"/>
          <w:color w:val="000000" w:themeColor="text1"/>
          <w:sz w:val="22"/>
          <w:szCs w:val="22"/>
        </w:rPr>
        <w:t>ou accept</w:t>
      </w:r>
      <w:r w:rsidR="0074792C">
        <w:rPr>
          <w:rStyle w:val="normaltextrun"/>
          <w:rFonts w:eastAsia="Arial"/>
          <w:color w:val="000000" w:themeColor="text1"/>
          <w:sz w:val="22"/>
          <w:szCs w:val="22"/>
        </w:rPr>
        <w:t xml:space="preserve"> V</w:t>
      </w:r>
      <w:r w:rsidR="0074792C" w:rsidRPr="00F416EC">
        <w:rPr>
          <w:rStyle w:val="normaltextrun"/>
          <w:rFonts w:eastAsia="Arial"/>
          <w:color w:val="000000" w:themeColor="text1"/>
          <w:sz w:val="22"/>
          <w:szCs w:val="22"/>
        </w:rPr>
        <w:t xml:space="preserve">ariation </w:t>
      </w:r>
      <w:r w:rsidR="00F66EDD">
        <w:rPr>
          <w:rStyle w:val="normaltextrun"/>
          <w:rFonts w:eastAsia="Arial"/>
          <w:color w:val="000000" w:themeColor="text1"/>
          <w:sz w:val="22"/>
          <w:szCs w:val="22"/>
        </w:rPr>
        <w:t xml:space="preserve">5 </w:t>
      </w:r>
      <w:r w:rsidR="0074792C" w:rsidRPr="00F416EC">
        <w:rPr>
          <w:rStyle w:val="normaltextrun"/>
          <w:rFonts w:eastAsia="Arial"/>
          <w:color w:val="000000" w:themeColor="text1"/>
          <w:sz w:val="22"/>
          <w:szCs w:val="22"/>
        </w:rPr>
        <w:t xml:space="preserve">by </w:t>
      </w:r>
      <w:r>
        <w:rPr>
          <w:rStyle w:val="normaltextrun"/>
          <w:rFonts w:eastAsia="Arial"/>
          <w:color w:val="000000" w:themeColor="text1"/>
          <w:sz w:val="22"/>
          <w:szCs w:val="22"/>
        </w:rPr>
        <w:t xml:space="preserve">the Acceptance Date of </w:t>
      </w:r>
      <w:r w:rsidR="0074792C" w:rsidRPr="00BD525B">
        <w:rPr>
          <w:rStyle w:val="normaltextrun"/>
          <w:rFonts w:eastAsia="Arial"/>
          <w:color w:val="000000" w:themeColor="text1"/>
          <w:sz w:val="22"/>
          <w:szCs w:val="22"/>
        </w:rPr>
        <w:t xml:space="preserve">5:00 pm, </w:t>
      </w:r>
      <w:r w:rsidR="00837CB8">
        <w:rPr>
          <w:rStyle w:val="normaltextrun"/>
          <w:rFonts w:eastAsia="Arial"/>
          <w:color w:val="000000" w:themeColor="text1"/>
          <w:sz w:val="22"/>
          <w:szCs w:val="22"/>
        </w:rPr>
        <w:t>20 November</w:t>
      </w:r>
      <w:r w:rsidR="0074792C" w:rsidRPr="00BD525B">
        <w:rPr>
          <w:rStyle w:val="normaltextrun"/>
          <w:rFonts w:eastAsia="Arial"/>
          <w:color w:val="000000" w:themeColor="text1"/>
          <w:sz w:val="22"/>
          <w:szCs w:val="22"/>
        </w:rPr>
        <w:t xml:space="preserve"> 2023</w:t>
      </w:r>
      <w:r w:rsidRPr="00BD525B">
        <w:rPr>
          <w:rStyle w:val="normaltextrun"/>
          <w:rFonts w:eastAsia="Arial"/>
          <w:color w:val="000000" w:themeColor="text1"/>
          <w:sz w:val="22"/>
          <w:szCs w:val="22"/>
        </w:rPr>
        <w:t>.</w:t>
      </w:r>
      <w:r w:rsidR="003C17F8">
        <w:rPr>
          <w:rStyle w:val="normaltextrun"/>
          <w:rFonts w:eastAsia="Arial"/>
          <w:color w:val="000000" w:themeColor="text1"/>
          <w:sz w:val="22"/>
          <w:szCs w:val="22"/>
        </w:rPr>
        <w:t xml:space="preserve"> If you accept this Variation by then, the effective date of the </w:t>
      </w:r>
      <w:r w:rsidR="00710718">
        <w:rPr>
          <w:rStyle w:val="normaltextrun"/>
          <w:rFonts w:eastAsia="Arial"/>
          <w:color w:val="000000" w:themeColor="text1"/>
          <w:sz w:val="22"/>
          <w:szCs w:val="22"/>
        </w:rPr>
        <w:t xml:space="preserve">Funding </w:t>
      </w:r>
      <w:r w:rsidR="003C17F8">
        <w:rPr>
          <w:rStyle w:val="normaltextrun"/>
          <w:rFonts w:eastAsia="Arial"/>
          <w:color w:val="000000" w:themeColor="text1"/>
          <w:sz w:val="22"/>
          <w:szCs w:val="22"/>
        </w:rPr>
        <w:t xml:space="preserve">Changes will depend on whether </w:t>
      </w:r>
      <w:r w:rsidR="00A71A6D">
        <w:rPr>
          <w:rStyle w:val="normaltextrun"/>
          <w:rFonts w:eastAsia="Arial"/>
          <w:color w:val="000000" w:themeColor="text1"/>
          <w:sz w:val="22"/>
          <w:szCs w:val="22"/>
        </w:rPr>
        <w:t xml:space="preserve">all </w:t>
      </w:r>
      <w:r w:rsidR="003C17F8">
        <w:rPr>
          <w:rStyle w:val="normaltextrun"/>
          <w:rFonts w:eastAsia="Arial"/>
          <w:color w:val="000000" w:themeColor="text1"/>
          <w:sz w:val="22"/>
          <w:szCs w:val="22"/>
        </w:rPr>
        <w:t>other ICPSA holders also accept this Variation.</w:t>
      </w:r>
    </w:p>
    <w:p w14:paraId="6DCC2384" w14:textId="77777777" w:rsidR="0074792C" w:rsidRDefault="0074792C" w:rsidP="0074792C">
      <w:pPr>
        <w:spacing w:after="0" w:line="240" w:lineRule="auto"/>
        <w:rPr>
          <w:rStyle w:val="normaltextrun"/>
          <w:rFonts w:eastAsia="Arial"/>
          <w:color w:val="000000" w:themeColor="text1"/>
          <w:sz w:val="22"/>
          <w:szCs w:val="22"/>
        </w:rPr>
      </w:pPr>
    </w:p>
    <w:p w14:paraId="50F14D8C" w14:textId="68F8691C" w:rsidR="0074792C" w:rsidRDefault="002708F6" w:rsidP="00053DF8">
      <w:pPr>
        <w:pStyle w:val="ListParagraph"/>
        <w:numPr>
          <w:ilvl w:val="0"/>
          <w:numId w:val="22"/>
        </w:numPr>
        <w:ind w:left="567" w:hanging="567"/>
        <w:rPr>
          <w:rStyle w:val="normaltextrun"/>
          <w:rFonts w:eastAsia="Arial"/>
          <w:color w:val="000000" w:themeColor="text1"/>
          <w:sz w:val="22"/>
          <w:szCs w:val="22"/>
        </w:rPr>
      </w:pPr>
      <w:r w:rsidRPr="003C17F8">
        <w:rPr>
          <w:rStyle w:val="normaltextrun"/>
          <w:rFonts w:eastAsia="Arial"/>
          <w:color w:val="000000" w:themeColor="text1"/>
          <w:sz w:val="22"/>
          <w:szCs w:val="22"/>
        </w:rPr>
        <w:t xml:space="preserve">If </w:t>
      </w:r>
      <w:r w:rsidR="00710718">
        <w:rPr>
          <w:rStyle w:val="normaltextrun"/>
          <w:rFonts w:eastAsia="Arial"/>
          <w:color w:val="000000" w:themeColor="text1"/>
          <w:sz w:val="22"/>
          <w:szCs w:val="22"/>
        </w:rPr>
        <w:t>the Condition is met</w:t>
      </w:r>
      <w:r w:rsidR="0074792C" w:rsidRPr="003C17F8">
        <w:rPr>
          <w:rStyle w:val="normaltextrun"/>
          <w:rFonts w:eastAsia="Arial"/>
          <w:color w:val="000000" w:themeColor="text1"/>
          <w:sz w:val="22"/>
          <w:szCs w:val="22"/>
        </w:rPr>
        <w:t xml:space="preserve">, </w:t>
      </w:r>
      <w:r w:rsidR="00C37720" w:rsidRPr="003C17F8">
        <w:rPr>
          <w:rStyle w:val="normaltextrun"/>
          <w:rFonts w:eastAsia="Arial"/>
          <w:color w:val="000000" w:themeColor="text1"/>
          <w:sz w:val="22"/>
          <w:szCs w:val="22"/>
        </w:rPr>
        <w:t xml:space="preserve">the ICPSA contract year will change to 1 July </w:t>
      </w:r>
      <w:r w:rsidR="00C37720" w:rsidRPr="00DD3357">
        <w:rPr>
          <w:rStyle w:val="normaltextrun"/>
          <w:rFonts w:eastAsia="Arial"/>
          <w:color w:val="000000" w:themeColor="text1"/>
          <w:sz w:val="22"/>
          <w:szCs w:val="22"/>
        </w:rPr>
        <w:t xml:space="preserve">– 30 June, </w:t>
      </w:r>
      <w:r w:rsidR="006B0586" w:rsidRPr="00DD3357">
        <w:rPr>
          <w:rStyle w:val="normaltextrun"/>
          <w:rFonts w:eastAsia="Arial"/>
          <w:color w:val="000000" w:themeColor="text1"/>
          <w:sz w:val="22"/>
          <w:szCs w:val="22"/>
        </w:rPr>
        <w:t xml:space="preserve">and </w:t>
      </w:r>
      <w:r w:rsidR="00710718" w:rsidRPr="00DD3357">
        <w:rPr>
          <w:rStyle w:val="normaltextrun"/>
          <w:rFonts w:eastAsia="Arial"/>
          <w:color w:val="000000" w:themeColor="text1"/>
          <w:sz w:val="22"/>
          <w:szCs w:val="22"/>
        </w:rPr>
        <w:t>the</w:t>
      </w:r>
      <w:r w:rsidR="00710718">
        <w:rPr>
          <w:rStyle w:val="normaltextrun"/>
          <w:rFonts w:eastAsia="Arial"/>
          <w:color w:val="000000" w:themeColor="text1"/>
          <w:sz w:val="22"/>
          <w:szCs w:val="22"/>
        </w:rPr>
        <w:t xml:space="preserve"> Funding Changes</w:t>
      </w:r>
      <w:r w:rsidR="0074792C" w:rsidRPr="003C17F8">
        <w:rPr>
          <w:rStyle w:val="normaltextrun"/>
          <w:rFonts w:eastAsia="Arial"/>
          <w:color w:val="000000" w:themeColor="text1"/>
          <w:sz w:val="22"/>
          <w:szCs w:val="22"/>
        </w:rPr>
        <w:t xml:space="preserve"> will </w:t>
      </w:r>
      <w:r w:rsidR="00C37720" w:rsidRPr="003C17F8">
        <w:rPr>
          <w:rStyle w:val="normaltextrun"/>
          <w:rFonts w:eastAsia="Arial"/>
          <w:color w:val="000000" w:themeColor="text1"/>
          <w:sz w:val="22"/>
          <w:szCs w:val="22"/>
        </w:rPr>
        <w:t>come into effect on</w:t>
      </w:r>
      <w:r w:rsidR="0074792C" w:rsidRPr="003C17F8">
        <w:rPr>
          <w:rStyle w:val="normaltextrun"/>
          <w:rFonts w:eastAsia="Arial"/>
          <w:color w:val="000000" w:themeColor="text1"/>
          <w:sz w:val="22"/>
          <w:szCs w:val="22"/>
        </w:rPr>
        <w:t xml:space="preserve"> 1 July 2023</w:t>
      </w:r>
      <w:r w:rsidR="00710718">
        <w:rPr>
          <w:rStyle w:val="normaltextrun"/>
          <w:rFonts w:eastAsia="Arial"/>
          <w:color w:val="000000" w:themeColor="text1"/>
          <w:sz w:val="22"/>
          <w:szCs w:val="22"/>
        </w:rPr>
        <w:t>.</w:t>
      </w:r>
      <w:r w:rsidR="006434C9">
        <w:rPr>
          <w:rStyle w:val="normaltextrun"/>
          <w:rFonts w:eastAsia="Arial"/>
          <w:color w:val="000000" w:themeColor="text1"/>
          <w:sz w:val="22"/>
          <w:szCs w:val="22"/>
        </w:rPr>
        <w:t xml:space="preserve"> The changes to the ICPSA set out in Part B of the Variation, and the conditional changes set out in Part C of the Variation, will all come into effect from that date.  </w:t>
      </w:r>
    </w:p>
    <w:p w14:paraId="7351138D" w14:textId="77777777" w:rsidR="003C17F8" w:rsidRDefault="003C17F8" w:rsidP="00053DF8">
      <w:pPr>
        <w:pStyle w:val="ListParagraph"/>
        <w:numPr>
          <w:ilvl w:val="0"/>
          <w:numId w:val="0"/>
        </w:numPr>
        <w:ind w:left="567" w:hanging="567"/>
        <w:rPr>
          <w:rStyle w:val="normaltextrun"/>
          <w:rFonts w:eastAsia="Arial"/>
          <w:color w:val="000000" w:themeColor="text1"/>
          <w:sz w:val="22"/>
          <w:szCs w:val="22"/>
        </w:rPr>
      </w:pPr>
    </w:p>
    <w:p w14:paraId="0E822F6A" w14:textId="1CE536B5" w:rsidR="00710718" w:rsidRDefault="002708F6" w:rsidP="00053DF8">
      <w:pPr>
        <w:pStyle w:val="ListParagraph"/>
        <w:numPr>
          <w:ilvl w:val="0"/>
          <w:numId w:val="22"/>
        </w:numPr>
        <w:ind w:left="567" w:hanging="567"/>
        <w:rPr>
          <w:rStyle w:val="normaltextrun"/>
          <w:rFonts w:eastAsia="Arial"/>
          <w:color w:val="000000" w:themeColor="text1"/>
          <w:sz w:val="22"/>
          <w:szCs w:val="22"/>
        </w:rPr>
      </w:pPr>
      <w:r w:rsidRPr="003C17F8">
        <w:rPr>
          <w:rStyle w:val="normaltextrun"/>
          <w:rFonts w:eastAsia="Arial"/>
          <w:color w:val="000000" w:themeColor="text1"/>
          <w:sz w:val="22"/>
          <w:szCs w:val="22"/>
        </w:rPr>
        <w:t xml:space="preserve">However, </w:t>
      </w:r>
      <w:r w:rsidR="00710718">
        <w:rPr>
          <w:rStyle w:val="normaltextrun"/>
          <w:rFonts w:eastAsia="Arial"/>
          <w:color w:val="000000" w:themeColor="text1"/>
          <w:sz w:val="22"/>
          <w:szCs w:val="22"/>
        </w:rPr>
        <w:t>if the Condition is not met</w:t>
      </w:r>
      <w:r w:rsidR="006434C9">
        <w:rPr>
          <w:rStyle w:val="normaltextrun"/>
          <w:rFonts w:eastAsia="Arial"/>
          <w:color w:val="000000" w:themeColor="text1"/>
          <w:sz w:val="22"/>
          <w:szCs w:val="22"/>
        </w:rPr>
        <w:t>, only those changes in Part B of the Variation will come into effect, and the conditional changes in Part C will not have effect. In summary, that means</w:t>
      </w:r>
      <w:r w:rsidR="00710718">
        <w:rPr>
          <w:rStyle w:val="normaltextrun"/>
          <w:rFonts w:eastAsia="Arial"/>
          <w:color w:val="000000" w:themeColor="text1"/>
          <w:sz w:val="22"/>
          <w:szCs w:val="22"/>
        </w:rPr>
        <w:t>:</w:t>
      </w:r>
    </w:p>
    <w:p w14:paraId="35F2A84E" w14:textId="5966D18A" w:rsidR="00710718" w:rsidRDefault="0074792C" w:rsidP="00053DF8">
      <w:pPr>
        <w:pStyle w:val="ListParagraph"/>
        <w:numPr>
          <w:ilvl w:val="1"/>
          <w:numId w:val="33"/>
        </w:numPr>
        <w:ind w:left="1134" w:hanging="567"/>
        <w:rPr>
          <w:rStyle w:val="normaltextrun"/>
          <w:rFonts w:eastAsia="Arial"/>
          <w:color w:val="000000" w:themeColor="text1"/>
          <w:sz w:val="22"/>
          <w:szCs w:val="22"/>
        </w:rPr>
      </w:pPr>
      <w:r w:rsidRPr="003C17F8">
        <w:rPr>
          <w:rStyle w:val="normaltextrun"/>
          <w:rFonts w:eastAsia="Arial"/>
          <w:color w:val="000000" w:themeColor="text1"/>
          <w:sz w:val="22"/>
          <w:szCs w:val="22"/>
        </w:rPr>
        <w:t>the</w:t>
      </w:r>
      <w:r w:rsidR="004C6A0D">
        <w:rPr>
          <w:rStyle w:val="normaltextrun"/>
          <w:rFonts w:eastAsia="Arial"/>
          <w:color w:val="000000" w:themeColor="text1"/>
          <w:sz w:val="22"/>
          <w:szCs w:val="22"/>
        </w:rPr>
        <w:t xml:space="preserve"> ICPSA contract year will continue to be 1 October – 30 September</w:t>
      </w:r>
    </w:p>
    <w:p w14:paraId="68DF6A44" w14:textId="5B7E6F63" w:rsidR="00710718" w:rsidRDefault="00710718" w:rsidP="00053DF8">
      <w:pPr>
        <w:pStyle w:val="ListParagraph"/>
        <w:numPr>
          <w:ilvl w:val="1"/>
          <w:numId w:val="33"/>
        </w:numPr>
        <w:ind w:left="1134" w:hanging="567"/>
        <w:rPr>
          <w:rStyle w:val="normaltextrun"/>
          <w:rFonts w:eastAsia="Arial"/>
          <w:color w:val="000000" w:themeColor="text1"/>
          <w:sz w:val="22"/>
          <w:szCs w:val="22"/>
        </w:rPr>
      </w:pPr>
      <w:r>
        <w:rPr>
          <w:rStyle w:val="normaltextrun"/>
          <w:rFonts w:eastAsia="Arial"/>
          <w:color w:val="000000" w:themeColor="text1"/>
          <w:sz w:val="22"/>
          <w:szCs w:val="22"/>
        </w:rPr>
        <w:t xml:space="preserve">the increase to the immunisation administration fee </w:t>
      </w:r>
      <w:r w:rsidR="00F66EDD">
        <w:rPr>
          <w:rStyle w:val="normaltextrun"/>
          <w:rFonts w:eastAsia="Arial"/>
          <w:color w:val="000000" w:themeColor="text1"/>
          <w:sz w:val="22"/>
          <w:szCs w:val="22"/>
        </w:rPr>
        <w:t>and the new immunisation co-</w:t>
      </w:r>
      <w:r w:rsidR="00786C49">
        <w:rPr>
          <w:sz w:val="22"/>
          <w:szCs w:val="22"/>
        </w:rPr>
        <w:t>a</w:t>
      </w:r>
      <w:r w:rsidR="00F66EDD">
        <w:rPr>
          <w:rStyle w:val="normaltextrun"/>
          <w:rFonts w:eastAsia="Arial"/>
          <w:color w:val="000000" w:themeColor="text1"/>
          <w:sz w:val="22"/>
          <w:szCs w:val="22"/>
        </w:rPr>
        <w:t xml:space="preserve">dministration fee </w:t>
      </w:r>
      <w:r w:rsidR="00786C49">
        <w:rPr>
          <w:rStyle w:val="normaltextrun"/>
          <w:rFonts w:eastAsia="Arial"/>
          <w:color w:val="000000" w:themeColor="text1"/>
          <w:sz w:val="22"/>
          <w:szCs w:val="22"/>
        </w:rPr>
        <w:t>will</w:t>
      </w:r>
      <w:r>
        <w:rPr>
          <w:rStyle w:val="normaltextrun"/>
          <w:rFonts w:eastAsia="Arial"/>
          <w:color w:val="000000" w:themeColor="text1"/>
          <w:sz w:val="22"/>
          <w:szCs w:val="22"/>
        </w:rPr>
        <w:t xml:space="preserve"> apply from 1 July 2023</w:t>
      </w:r>
    </w:p>
    <w:p w14:paraId="1C3BAB7C" w14:textId="09A8BD84" w:rsidR="006434C9" w:rsidRDefault="00A714BF" w:rsidP="00053DF8">
      <w:pPr>
        <w:pStyle w:val="ListParagraph"/>
        <w:numPr>
          <w:ilvl w:val="1"/>
          <w:numId w:val="33"/>
        </w:numPr>
        <w:ind w:left="1134" w:hanging="567"/>
        <w:rPr>
          <w:rStyle w:val="normaltextrun"/>
          <w:rFonts w:eastAsia="Arial"/>
          <w:color w:val="000000" w:themeColor="text1"/>
          <w:sz w:val="22"/>
          <w:szCs w:val="22"/>
        </w:rPr>
      </w:pPr>
      <w:r>
        <w:rPr>
          <w:rStyle w:val="normaltextrun"/>
          <w:rFonts w:eastAsia="Arial"/>
          <w:color w:val="000000" w:themeColor="text1"/>
          <w:sz w:val="22"/>
          <w:szCs w:val="22"/>
        </w:rPr>
        <w:t xml:space="preserve">the remaining Funding Changes </w:t>
      </w:r>
      <w:r w:rsidR="0074792C" w:rsidRPr="003C17F8">
        <w:rPr>
          <w:rStyle w:val="normaltextrun"/>
          <w:rFonts w:eastAsia="Arial"/>
          <w:color w:val="000000" w:themeColor="text1"/>
          <w:sz w:val="22"/>
          <w:szCs w:val="22"/>
        </w:rPr>
        <w:t xml:space="preserve">will </w:t>
      </w:r>
      <w:r w:rsidR="00C37720" w:rsidRPr="003C17F8">
        <w:rPr>
          <w:rStyle w:val="normaltextrun"/>
          <w:rFonts w:eastAsia="Arial"/>
          <w:color w:val="000000" w:themeColor="text1"/>
          <w:sz w:val="22"/>
          <w:szCs w:val="22"/>
        </w:rPr>
        <w:t>come into effect on</w:t>
      </w:r>
      <w:r w:rsidR="0074792C" w:rsidRPr="003C17F8">
        <w:rPr>
          <w:rStyle w:val="normaltextrun"/>
          <w:rFonts w:eastAsia="Arial"/>
          <w:color w:val="000000" w:themeColor="text1"/>
          <w:sz w:val="22"/>
          <w:szCs w:val="22"/>
        </w:rPr>
        <w:t xml:space="preserve"> 1 October 2023</w:t>
      </w:r>
      <w:r w:rsidR="008D2B9A">
        <w:rPr>
          <w:rStyle w:val="normaltextrun"/>
          <w:rFonts w:eastAsia="Arial"/>
          <w:color w:val="000000" w:themeColor="text1"/>
          <w:sz w:val="22"/>
          <w:szCs w:val="22"/>
        </w:rPr>
        <w:t>.</w:t>
      </w:r>
    </w:p>
    <w:p w14:paraId="246B845A" w14:textId="5FA5A353" w:rsidR="0074792C" w:rsidRPr="00786C49" w:rsidRDefault="0074792C" w:rsidP="00786C49">
      <w:pPr>
        <w:spacing w:after="0" w:line="240" w:lineRule="auto"/>
        <w:ind w:left="357" w:hanging="357"/>
        <w:rPr>
          <w:rStyle w:val="normaltextrun"/>
          <w:rFonts w:eastAsia="Arial"/>
          <w:color w:val="000000" w:themeColor="text1"/>
          <w:sz w:val="22"/>
          <w:szCs w:val="22"/>
        </w:rPr>
      </w:pPr>
    </w:p>
    <w:p w14:paraId="78B0FED6" w14:textId="181BAEEC" w:rsidR="00D60CC5" w:rsidRDefault="00CE65EF" w:rsidP="006B310F">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 xml:space="preserve">As soon as possible after the Acceptance Date, Te Whatu Ora will advise you, and all ICPSA holders, whether </w:t>
      </w:r>
      <w:r w:rsidR="00A714BF">
        <w:rPr>
          <w:rStyle w:val="normaltextrun"/>
          <w:rFonts w:eastAsia="Arial"/>
          <w:color w:val="000000" w:themeColor="text1"/>
          <w:sz w:val="22"/>
          <w:szCs w:val="22"/>
        </w:rPr>
        <w:t>the Condition has been met</w:t>
      </w:r>
      <w:r w:rsidR="002708F6">
        <w:rPr>
          <w:rStyle w:val="normaltextrun"/>
          <w:rFonts w:eastAsia="Arial"/>
          <w:color w:val="000000" w:themeColor="text1"/>
          <w:sz w:val="22"/>
          <w:szCs w:val="22"/>
        </w:rPr>
        <w:t>,</w:t>
      </w:r>
      <w:r>
        <w:rPr>
          <w:rStyle w:val="normaltextrun"/>
          <w:rFonts w:eastAsia="Arial"/>
          <w:color w:val="000000" w:themeColor="text1"/>
          <w:sz w:val="22"/>
          <w:szCs w:val="22"/>
        </w:rPr>
        <w:t xml:space="preserve"> and </w:t>
      </w:r>
      <w:r w:rsidR="002708F6">
        <w:rPr>
          <w:rStyle w:val="normaltextrun"/>
          <w:rFonts w:eastAsia="Arial"/>
          <w:color w:val="000000" w:themeColor="text1"/>
          <w:sz w:val="22"/>
          <w:szCs w:val="22"/>
        </w:rPr>
        <w:t xml:space="preserve">whether the contract year will </w:t>
      </w:r>
      <w:r w:rsidR="00943B9F">
        <w:rPr>
          <w:rStyle w:val="normaltextrun"/>
          <w:rFonts w:eastAsia="Arial"/>
          <w:color w:val="000000" w:themeColor="text1"/>
          <w:sz w:val="22"/>
          <w:szCs w:val="22"/>
        </w:rPr>
        <w:t xml:space="preserve">therefore </w:t>
      </w:r>
      <w:r w:rsidR="002708F6">
        <w:rPr>
          <w:rStyle w:val="normaltextrun"/>
          <w:rFonts w:eastAsia="Arial"/>
          <w:color w:val="000000" w:themeColor="text1"/>
          <w:sz w:val="22"/>
          <w:szCs w:val="22"/>
        </w:rPr>
        <w:t>change to 1 July – 30 June</w:t>
      </w:r>
      <w:r w:rsidR="00D60CC5">
        <w:rPr>
          <w:rStyle w:val="normaltextrun"/>
          <w:rFonts w:eastAsia="Arial"/>
          <w:color w:val="000000" w:themeColor="text1"/>
          <w:sz w:val="22"/>
          <w:szCs w:val="22"/>
        </w:rPr>
        <w:t>.</w:t>
      </w:r>
    </w:p>
    <w:p w14:paraId="32ECC1FA" w14:textId="77777777" w:rsidR="00D60CC5" w:rsidRDefault="00D60CC5" w:rsidP="006B310F">
      <w:pPr>
        <w:spacing w:after="0" w:line="240" w:lineRule="auto"/>
        <w:rPr>
          <w:rStyle w:val="normaltextrun"/>
          <w:rFonts w:eastAsia="Arial"/>
          <w:color w:val="000000" w:themeColor="text1"/>
          <w:sz w:val="22"/>
          <w:szCs w:val="22"/>
        </w:rPr>
      </w:pPr>
    </w:p>
    <w:p w14:paraId="218B18EE" w14:textId="4FC97731" w:rsidR="00C37720" w:rsidRDefault="00C37720" w:rsidP="006B310F">
      <w:pPr>
        <w:spacing w:after="0" w:line="240" w:lineRule="auto"/>
        <w:rPr>
          <w:rStyle w:val="normaltextrun"/>
          <w:rFonts w:eastAsia="Arial"/>
          <w:color w:val="000000" w:themeColor="text1"/>
          <w:sz w:val="22"/>
          <w:szCs w:val="22"/>
        </w:rPr>
      </w:pPr>
      <w:r>
        <w:rPr>
          <w:rStyle w:val="normaltextrun"/>
          <w:rFonts w:eastAsia="Arial"/>
          <w:color w:val="000000" w:themeColor="text1"/>
          <w:sz w:val="22"/>
          <w:szCs w:val="22"/>
        </w:rPr>
        <w:t>If you accept V</w:t>
      </w:r>
      <w:r w:rsidRPr="006962C0">
        <w:rPr>
          <w:rStyle w:val="normaltextrun"/>
          <w:rFonts w:eastAsia="Arial"/>
          <w:color w:val="000000" w:themeColor="text1"/>
          <w:sz w:val="22"/>
          <w:szCs w:val="22"/>
        </w:rPr>
        <w:t>ariation</w:t>
      </w:r>
      <w:r>
        <w:rPr>
          <w:rStyle w:val="normaltextrun"/>
          <w:rFonts w:eastAsia="Arial"/>
          <w:color w:val="000000" w:themeColor="text1"/>
          <w:sz w:val="22"/>
          <w:szCs w:val="22"/>
        </w:rPr>
        <w:t xml:space="preserve"> </w:t>
      </w:r>
      <w:r w:rsidR="00F66EDD">
        <w:rPr>
          <w:rStyle w:val="normaltextrun"/>
          <w:rFonts w:eastAsia="Arial"/>
          <w:color w:val="000000" w:themeColor="text1"/>
          <w:sz w:val="22"/>
          <w:szCs w:val="22"/>
        </w:rPr>
        <w:t xml:space="preserve">5 </w:t>
      </w:r>
      <w:r>
        <w:rPr>
          <w:rStyle w:val="normaltextrun"/>
          <w:rFonts w:eastAsia="Arial"/>
          <w:color w:val="000000" w:themeColor="text1"/>
          <w:sz w:val="22"/>
          <w:szCs w:val="22"/>
        </w:rPr>
        <w:t xml:space="preserve">after the Acceptance Date, </w:t>
      </w:r>
      <w:r w:rsidR="003173A2">
        <w:rPr>
          <w:rStyle w:val="normaltextrun"/>
          <w:rFonts w:eastAsia="Arial"/>
          <w:color w:val="000000" w:themeColor="text1"/>
          <w:sz w:val="22"/>
          <w:szCs w:val="22"/>
        </w:rPr>
        <w:t xml:space="preserve">your </w:t>
      </w:r>
      <w:r>
        <w:rPr>
          <w:rStyle w:val="normaltextrun"/>
          <w:rFonts w:eastAsia="Arial"/>
          <w:color w:val="000000" w:themeColor="text1"/>
          <w:sz w:val="22"/>
          <w:szCs w:val="22"/>
        </w:rPr>
        <w:t>Variation</w:t>
      </w:r>
      <w:r w:rsidRPr="006962C0">
        <w:rPr>
          <w:rStyle w:val="normaltextrun"/>
          <w:rFonts w:eastAsia="Arial"/>
          <w:color w:val="000000" w:themeColor="text1"/>
          <w:sz w:val="22"/>
          <w:szCs w:val="22"/>
        </w:rPr>
        <w:t xml:space="preserve"> will be accepte</w:t>
      </w:r>
      <w:r w:rsidR="002708F6">
        <w:rPr>
          <w:rStyle w:val="normaltextrun"/>
          <w:rFonts w:eastAsia="Arial"/>
          <w:color w:val="000000" w:themeColor="text1"/>
          <w:sz w:val="22"/>
          <w:szCs w:val="22"/>
        </w:rPr>
        <w:t>d by Te Whatu Ora. H</w:t>
      </w:r>
      <w:r w:rsidRPr="006962C0">
        <w:rPr>
          <w:rStyle w:val="normaltextrun"/>
          <w:rFonts w:eastAsia="Arial"/>
          <w:color w:val="000000" w:themeColor="text1"/>
          <w:sz w:val="22"/>
          <w:szCs w:val="22"/>
        </w:rPr>
        <w:t>owever</w:t>
      </w:r>
      <w:r w:rsidR="002708F6">
        <w:rPr>
          <w:rStyle w:val="normaltextrun"/>
          <w:rFonts w:eastAsia="Arial"/>
          <w:color w:val="000000" w:themeColor="text1"/>
          <w:sz w:val="22"/>
          <w:szCs w:val="22"/>
        </w:rPr>
        <w:t>, the</w:t>
      </w:r>
      <w:r w:rsidRPr="006962C0">
        <w:rPr>
          <w:rStyle w:val="normaltextrun"/>
          <w:rFonts w:eastAsia="Arial"/>
          <w:color w:val="000000" w:themeColor="text1"/>
          <w:sz w:val="22"/>
          <w:szCs w:val="22"/>
        </w:rPr>
        <w:t xml:space="preserve"> </w:t>
      </w:r>
      <w:r w:rsidR="003173A2">
        <w:rPr>
          <w:rStyle w:val="normaltextrun"/>
          <w:rFonts w:eastAsia="Arial"/>
          <w:color w:val="000000" w:themeColor="text1"/>
          <w:sz w:val="22"/>
          <w:szCs w:val="22"/>
        </w:rPr>
        <w:t xml:space="preserve">contract year will </w:t>
      </w:r>
      <w:r w:rsidR="003173A2" w:rsidRPr="00CE29BD">
        <w:rPr>
          <w:rStyle w:val="normaltextrun"/>
          <w:rFonts w:eastAsia="Arial"/>
          <w:color w:val="000000" w:themeColor="text1"/>
          <w:sz w:val="22"/>
          <w:szCs w:val="22"/>
        </w:rPr>
        <w:t>remai</w:t>
      </w:r>
      <w:r w:rsidR="00904680" w:rsidRPr="00CE29BD">
        <w:rPr>
          <w:rStyle w:val="normaltextrun"/>
          <w:rFonts w:eastAsia="Arial"/>
          <w:color w:val="000000" w:themeColor="text1"/>
          <w:sz w:val="22"/>
          <w:szCs w:val="22"/>
        </w:rPr>
        <w:t>n</w:t>
      </w:r>
      <w:r w:rsidR="003173A2" w:rsidRPr="00CE29BD">
        <w:rPr>
          <w:rStyle w:val="normaltextrun"/>
          <w:rFonts w:eastAsia="Arial"/>
          <w:color w:val="000000" w:themeColor="text1"/>
          <w:sz w:val="22"/>
          <w:szCs w:val="22"/>
        </w:rPr>
        <w:t xml:space="preserve"> 1 October</w:t>
      </w:r>
      <w:r w:rsidR="003173A2">
        <w:rPr>
          <w:rStyle w:val="normaltextrun"/>
          <w:rFonts w:eastAsia="Arial"/>
          <w:color w:val="000000" w:themeColor="text1"/>
          <w:sz w:val="22"/>
          <w:szCs w:val="22"/>
        </w:rPr>
        <w:t xml:space="preserve"> for you and all other providers, and your </w:t>
      </w:r>
      <w:r w:rsidRPr="006962C0">
        <w:rPr>
          <w:rStyle w:val="normaltextrun"/>
          <w:rFonts w:eastAsia="Arial"/>
          <w:color w:val="000000" w:themeColor="text1"/>
          <w:sz w:val="22"/>
          <w:szCs w:val="22"/>
        </w:rPr>
        <w:t>funding increases will be delayed until the following relevant quarter.</w:t>
      </w:r>
      <w:r>
        <w:rPr>
          <w:rStyle w:val="normaltextrun"/>
          <w:rFonts w:eastAsia="Arial"/>
          <w:color w:val="000000" w:themeColor="text1"/>
          <w:sz w:val="22"/>
          <w:szCs w:val="22"/>
        </w:rPr>
        <w:t xml:space="preserve"> </w:t>
      </w:r>
      <w:r w:rsidRPr="006962C0">
        <w:rPr>
          <w:rStyle w:val="normaltextrun"/>
          <w:rFonts w:eastAsia="Arial"/>
          <w:color w:val="000000" w:themeColor="text1"/>
          <w:sz w:val="22"/>
          <w:szCs w:val="22"/>
        </w:rPr>
        <w:t xml:space="preserve">Please refer to </w:t>
      </w:r>
      <w:r w:rsidR="00DD3357" w:rsidRPr="00244713">
        <w:rPr>
          <w:rStyle w:val="normaltextrun"/>
          <w:rFonts w:eastAsia="Arial"/>
          <w:color w:val="000000" w:themeColor="text1"/>
          <w:sz w:val="22"/>
          <w:szCs w:val="22"/>
        </w:rPr>
        <w:t>cl</w:t>
      </w:r>
      <w:r w:rsidRPr="00244713">
        <w:rPr>
          <w:rStyle w:val="normaltextrun"/>
          <w:rFonts w:eastAsia="Arial"/>
          <w:color w:val="000000" w:themeColor="text1"/>
          <w:sz w:val="22"/>
          <w:szCs w:val="22"/>
        </w:rPr>
        <w:t xml:space="preserve">ause </w:t>
      </w:r>
      <w:r w:rsidR="00A714BF" w:rsidRPr="00244713">
        <w:rPr>
          <w:rStyle w:val="normaltextrun"/>
          <w:rFonts w:eastAsia="Arial"/>
          <w:color w:val="000000" w:themeColor="text1"/>
          <w:sz w:val="22"/>
          <w:szCs w:val="22"/>
        </w:rPr>
        <w:t>A3.3</w:t>
      </w:r>
      <w:r w:rsidRPr="00244713">
        <w:rPr>
          <w:rStyle w:val="normaltextrun"/>
          <w:rFonts w:eastAsia="Arial"/>
          <w:color w:val="000000" w:themeColor="text1"/>
          <w:sz w:val="22"/>
          <w:szCs w:val="22"/>
        </w:rPr>
        <w:t xml:space="preserve"> Commencement of Variation 5</w:t>
      </w:r>
      <w:r w:rsidRPr="006962C0">
        <w:rPr>
          <w:rStyle w:val="normaltextrun"/>
          <w:rFonts w:eastAsia="Arial"/>
          <w:color w:val="000000" w:themeColor="text1"/>
          <w:sz w:val="22"/>
          <w:szCs w:val="22"/>
        </w:rPr>
        <w:t xml:space="preserve"> for details on this.</w:t>
      </w:r>
    </w:p>
    <w:p w14:paraId="79D03A15" w14:textId="77777777" w:rsidR="00587491" w:rsidRDefault="00587491" w:rsidP="006B310F">
      <w:pPr>
        <w:spacing w:after="0" w:line="240" w:lineRule="auto"/>
        <w:rPr>
          <w:rStyle w:val="normaltextrun"/>
          <w:rFonts w:eastAsia="Arial"/>
          <w:color w:val="000000" w:themeColor="text1"/>
          <w:sz w:val="22"/>
          <w:szCs w:val="22"/>
        </w:rPr>
      </w:pPr>
    </w:p>
    <w:p w14:paraId="13353A58" w14:textId="5654EB8A" w:rsidR="006E7BA1" w:rsidRDefault="006E7BA1" w:rsidP="006E7BA1">
      <w:pPr>
        <w:spacing w:after="0" w:line="240" w:lineRule="auto"/>
      </w:pPr>
      <w:r>
        <w:rPr>
          <w:rStyle w:val="normaltextrun"/>
          <w:rFonts w:eastAsia="Arial"/>
          <w:color w:val="000000" w:themeColor="text1"/>
          <w:sz w:val="22"/>
          <w:szCs w:val="22"/>
        </w:rPr>
        <w:t>Appendi</w:t>
      </w:r>
      <w:r w:rsidR="00FB173B">
        <w:rPr>
          <w:rStyle w:val="normaltextrun"/>
          <w:rFonts w:eastAsia="Arial"/>
          <w:color w:val="000000" w:themeColor="text1"/>
          <w:sz w:val="22"/>
          <w:szCs w:val="22"/>
        </w:rPr>
        <w:t>ces</w:t>
      </w:r>
      <w:r>
        <w:rPr>
          <w:rStyle w:val="normaltextrun"/>
          <w:rFonts w:eastAsia="Arial"/>
          <w:color w:val="000000" w:themeColor="text1"/>
          <w:sz w:val="22"/>
          <w:szCs w:val="22"/>
        </w:rPr>
        <w:t xml:space="preserve"> 2 </w:t>
      </w:r>
      <w:r w:rsidR="00FB173B">
        <w:rPr>
          <w:rStyle w:val="normaltextrun"/>
          <w:rFonts w:eastAsia="Arial"/>
          <w:color w:val="000000" w:themeColor="text1"/>
          <w:sz w:val="22"/>
          <w:szCs w:val="22"/>
        </w:rPr>
        <w:t xml:space="preserve">and 3 </w:t>
      </w:r>
      <w:r>
        <w:rPr>
          <w:rStyle w:val="normaltextrun"/>
          <w:rFonts w:eastAsia="Arial"/>
          <w:color w:val="000000" w:themeColor="text1"/>
          <w:sz w:val="22"/>
          <w:szCs w:val="22"/>
        </w:rPr>
        <w:t xml:space="preserve">to this letter set out how washups and back payments </w:t>
      </w:r>
      <w:r w:rsidRPr="00587491">
        <w:rPr>
          <w:sz w:val="22"/>
          <w:szCs w:val="22"/>
        </w:rPr>
        <w:t xml:space="preserve">in respect of the </w:t>
      </w:r>
      <w:r>
        <w:rPr>
          <w:sz w:val="22"/>
          <w:szCs w:val="22"/>
        </w:rPr>
        <w:t>f</w:t>
      </w:r>
      <w:r w:rsidRPr="00587491">
        <w:rPr>
          <w:sz w:val="22"/>
          <w:szCs w:val="22"/>
        </w:rPr>
        <w:t xml:space="preserve">unding </w:t>
      </w:r>
      <w:r>
        <w:rPr>
          <w:sz w:val="22"/>
          <w:szCs w:val="22"/>
        </w:rPr>
        <w:t>c</w:t>
      </w:r>
      <w:r w:rsidRPr="00587491">
        <w:rPr>
          <w:sz w:val="22"/>
          <w:szCs w:val="22"/>
        </w:rPr>
        <w:t>hanges</w:t>
      </w:r>
      <w:r>
        <w:rPr>
          <w:sz w:val="22"/>
          <w:szCs w:val="22"/>
        </w:rPr>
        <w:t xml:space="preserve"> will be determined and paid, including if there is a change to the contract year.  </w:t>
      </w:r>
      <w:r w:rsidRPr="00587491">
        <w:rPr>
          <w:sz w:val="22"/>
          <w:szCs w:val="22"/>
        </w:rPr>
        <w:t xml:space="preserve"> </w:t>
      </w:r>
    </w:p>
    <w:p w14:paraId="49B22453" w14:textId="77777777" w:rsidR="00943B9F" w:rsidRDefault="00943B9F" w:rsidP="006B310F">
      <w:pPr>
        <w:spacing w:after="0" w:line="240" w:lineRule="auto"/>
        <w:rPr>
          <w:rStyle w:val="normaltextrun"/>
          <w:rFonts w:eastAsia="Arial"/>
          <w:color w:val="000000" w:themeColor="text1"/>
          <w:sz w:val="22"/>
          <w:szCs w:val="22"/>
        </w:rPr>
      </w:pPr>
    </w:p>
    <w:p w14:paraId="721D4110" w14:textId="3CE8B665" w:rsidR="00986471" w:rsidRPr="006962C0" w:rsidRDefault="001D1B87" w:rsidP="006B310F">
      <w:pPr>
        <w:spacing w:after="0" w:line="240" w:lineRule="auto"/>
        <w:rPr>
          <w:rStyle w:val="normaltextrun"/>
          <w:rFonts w:eastAsia="Arial"/>
          <w:color w:val="000000" w:themeColor="text1"/>
          <w:sz w:val="22"/>
          <w:szCs w:val="22"/>
        </w:rPr>
      </w:pPr>
      <w:r w:rsidRPr="0042542A">
        <w:rPr>
          <w:rStyle w:val="normaltextrun"/>
          <w:rFonts w:eastAsia="Arial"/>
          <w:b/>
          <w:bCs/>
          <w:color w:val="00A3AD"/>
          <w:sz w:val="22"/>
          <w:szCs w:val="22"/>
        </w:rPr>
        <w:t>Accepting the Offer</w:t>
      </w:r>
    </w:p>
    <w:p w14:paraId="48B7D9E8" w14:textId="161709ED" w:rsidR="001D1B87" w:rsidRPr="006962C0" w:rsidRDefault="001D1B87" w:rsidP="006B310F">
      <w:pPr>
        <w:spacing w:after="0" w:line="240" w:lineRule="auto"/>
        <w:rPr>
          <w:rStyle w:val="normaltextrun"/>
          <w:rFonts w:eastAsia="Arial"/>
          <w:color w:val="000000" w:themeColor="text1"/>
          <w:sz w:val="22"/>
          <w:szCs w:val="22"/>
        </w:rPr>
      </w:pPr>
      <w:r w:rsidRPr="006962C0">
        <w:rPr>
          <w:rStyle w:val="normaltextrun"/>
          <w:rFonts w:eastAsia="Arial"/>
          <w:color w:val="000000" w:themeColor="text1"/>
          <w:sz w:val="22"/>
          <w:szCs w:val="22"/>
        </w:rPr>
        <w:t xml:space="preserve">By signing Variation </w:t>
      </w:r>
      <w:r w:rsidR="006B3248" w:rsidRPr="006962C0">
        <w:rPr>
          <w:rStyle w:val="normaltextrun"/>
          <w:rFonts w:eastAsia="Arial"/>
          <w:color w:val="000000" w:themeColor="text1"/>
          <w:sz w:val="22"/>
          <w:szCs w:val="22"/>
        </w:rPr>
        <w:t>5</w:t>
      </w:r>
      <w:r w:rsidRPr="006962C0">
        <w:rPr>
          <w:rStyle w:val="normaltextrun"/>
          <w:rFonts w:eastAsia="Arial"/>
          <w:color w:val="000000" w:themeColor="text1"/>
          <w:sz w:val="22"/>
          <w:szCs w:val="22"/>
        </w:rPr>
        <w:t>, you are agreeing to the terms set out within it</w:t>
      </w:r>
      <w:r w:rsidR="002708F6">
        <w:rPr>
          <w:rStyle w:val="normaltextrun"/>
          <w:rFonts w:eastAsia="Arial"/>
          <w:color w:val="000000" w:themeColor="text1"/>
          <w:sz w:val="22"/>
          <w:szCs w:val="22"/>
        </w:rPr>
        <w:t>.</w:t>
      </w:r>
    </w:p>
    <w:p w14:paraId="4539702F" w14:textId="77777777" w:rsidR="0061677C" w:rsidRPr="006962C0" w:rsidRDefault="0061677C" w:rsidP="006B310F">
      <w:pPr>
        <w:spacing w:after="0" w:line="240" w:lineRule="auto"/>
        <w:rPr>
          <w:rStyle w:val="normaltextrun"/>
          <w:rFonts w:eastAsia="Arial"/>
          <w:color w:val="000000" w:themeColor="text1"/>
          <w:sz w:val="22"/>
          <w:szCs w:val="22"/>
        </w:rPr>
      </w:pPr>
    </w:p>
    <w:p w14:paraId="502F72D2" w14:textId="00E68EEF" w:rsidR="001D1B87" w:rsidRPr="006962C0" w:rsidRDefault="001D1B87" w:rsidP="006B310F">
      <w:pPr>
        <w:spacing w:after="0" w:line="240" w:lineRule="auto"/>
        <w:rPr>
          <w:rStyle w:val="normaltextrun"/>
          <w:rFonts w:eastAsia="Arial"/>
          <w:color w:val="000000" w:themeColor="text1"/>
          <w:sz w:val="22"/>
          <w:szCs w:val="22"/>
        </w:rPr>
      </w:pPr>
      <w:r w:rsidRPr="006962C0">
        <w:rPr>
          <w:rStyle w:val="normaltextrun"/>
          <w:rFonts w:eastAsia="Arial"/>
          <w:color w:val="000000" w:themeColor="text1"/>
          <w:sz w:val="22"/>
          <w:szCs w:val="22"/>
        </w:rPr>
        <w:t xml:space="preserve">The signatory page is on page </w:t>
      </w:r>
      <w:r w:rsidRPr="00126894">
        <w:rPr>
          <w:rStyle w:val="normaltextrun"/>
          <w:rFonts w:eastAsia="Arial"/>
          <w:color w:val="000000" w:themeColor="text1"/>
          <w:sz w:val="22"/>
          <w:szCs w:val="22"/>
        </w:rPr>
        <w:t>4</w:t>
      </w:r>
      <w:r w:rsidRPr="006962C0">
        <w:rPr>
          <w:rStyle w:val="normaltextrun"/>
          <w:rFonts w:eastAsia="Arial"/>
          <w:color w:val="000000" w:themeColor="text1"/>
          <w:sz w:val="22"/>
          <w:szCs w:val="22"/>
        </w:rPr>
        <w:t xml:space="preserve"> of the Variation. Please ensure:</w:t>
      </w:r>
    </w:p>
    <w:p w14:paraId="191B2BA7" w14:textId="7C4DE8BD" w:rsidR="001D1B87" w:rsidRPr="006962C0" w:rsidRDefault="001D1B87" w:rsidP="00A11B1A">
      <w:pPr>
        <w:pStyle w:val="ListParagraph"/>
        <w:numPr>
          <w:ilvl w:val="0"/>
          <w:numId w:val="10"/>
        </w:numPr>
        <w:ind w:left="357" w:hanging="357"/>
        <w:rPr>
          <w:rStyle w:val="normaltextrun"/>
          <w:rFonts w:eastAsia="Arial"/>
          <w:color w:val="000000" w:themeColor="text1"/>
          <w:sz w:val="22"/>
          <w:szCs w:val="22"/>
        </w:rPr>
      </w:pPr>
      <w:r w:rsidRPr="006962C0">
        <w:rPr>
          <w:rStyle w:val="normaltextrun"/>
          <w:rFonts w:eastAsia="Arial"/>
          <w:color w:val="000000" w:themeColor="text1"/>
          <w:sz w:val="22"/>
          <w:szCs w:val="22"/>
        </w:rPr>
        <w:t>your signatory signs the section headed with your provider name and includes their name,</w:t>
      </w:r>
      <w:r w:rsidR="00A11B1A" w:rsidRPr="006962C0">
        <w:rPr>
          <w:rStyle w:val="normaltextrun"/>
          <w:rFonts w:eastAsia="Arial"/>
          <w:color w:val="000000" w:themeColor="text1"/>
          <w:sz w:val="22"/>
          <w:szCs w:val="22"/>
        </w:rPr>
        <w:t xml:space="preserve"> </w:t>
      </w:r>
      <w:r w:rsidRPr="006962C0">
        <w:rPr>
          <w:rStyle w:val="normaltextrun"/>
          <w:rFonts w:eastAsia="Arial"/>
          <w:color w:val="000000" w:themeColor="text1"/>
          <w:sz w:val="22"/>
          <w:szCs w:val="22"/>
        </w:rPr>
        <w:t>position and date of signing; and</w:t>
      </w:r>
    </w:p>
    <w:p w14:paraId="42667265" w14:textId="6BE4F2AA" w:rsidR="001D1B87" w:rsidRPr="006962C0" w:rsidRDefault="001D1B87" w:rsidP="00A11B1A">
      <w:pPr>
        <w:pStyle w:val="ListParagraph"/>
        <w:numPr>
          <w:ilvl w:val="0"/>
          <w:numId w:val="10"/>
        </w:numPr>
        <w:ind w:left="357" w:hanging="357"/>
        <w:rPr>
          <w:rStyle w:val="normaltextrun"/>
          <w:rFonts w:eastAsia="Arial"/>
          <w:color w:val="000000" w:themeColor="text1"/>
          <w:sz w:val="22"/>
          <w:szCs w:val="22"/>
        </w:rPr>
      </w:pPr>
      <w:r w:rsidRPr="006962C0">
        <w:rPr>
          <w:rStyle w:val="normaltextrun"/>
          <w:rFonts w:eastAsia="Arial"/>
          <w:color w:val="000000" w:themeColor="text1"/>
          <w:sz w:val="22"/>
          <w:szCs w:val="22"/>
        </w:rPr>
        <w:t>the signing is witnessed, and the witness details are completed.</w:t>
      </w:r>
    </w:p>
    <w:p w14:paraId="4ED318FF" w14:textId="77777777" w:rsidR="00A11B1A" w:rsidRPr="006962C0" w:rsidRDefault="00A11B1A" w:rsidP="006B310F">
      <w:pPr>
        <w:spacing w:after="0" w:line="240" w:lineRule="auto"/>
        <w:rPr>
          <w:rStyle w:val="normaltextrun"/>
          <w:rFonts w:eastAsia="Arial"/>
          <w:color w:val="000000" w:themeColor="text1"/>
          <w:sz w:val="22"/>
          <w:szCs w:val="22"/>
        </w:rPr>
      </w:pPr>
    </w:p>
    <w:p w14:paraId="6E4D4113" w14:textId="6B81F460" w:rsidR="001D1B87" w:rsidRPr="006962C0" w:rsidRDefault="001D1B87" w:rsidP="00540091">
      <w:pPr>
        <w:keepNext/>
        <w:keepLines/>
        <w:spacing w:after="0" w:line="240" w:lineRule="auto"/>
        <w:rPr>
          <w:rStyle w:val="normaltextrun"/>
          <w:rFonts w:eastAsia="Arial"/>
          <w:color w:val="000000" w:themeColor="text1"/>
          <w:sz w:val="22"/>
          <w:szCs w:val="22"/>
        </w:rPr>
      </w:pPr>
      <w:r w:rsidRPr="006962C0">
        <w:rPr>
          <w:rStyle w:val="normaltextrun"/>
          <w:rFonts w:eastAsia="Arial"/>
          <w:color w:val="000000" w:themeColor="text1"/>
          <w:sz w:val="22"/>
          <w:szCs w:val="22"/>
        </w:rPr>
        <w:lastRenderedPageBreak/>
        <w:t>Please sign, scan and email the signed variation to &lt;</w:t>
      </w:r>
      <w:r w:rsidR="005E3303" w:rsidRPr="005E3303">
        <w:rPr>
          <w:rStyle w:val="normaltextrun"/>
          <w:rFonts w:eastAsia="Arial"/>
          <w:color w:val="000000" w:themeColor="text1"/>
          <w:sz w:val="22"/>
          <w:szCs w:val="22"/>
          <w:highlight w:val="yellow"/>
        </w:rPr>
        <w:t xml:space="preserve">Local Te Whatu Ora </w:t>
      </w:r>
      <w:r w:rsidRPr="005E3303">
        <w:rPr>
          <w:rStyle w:val="normaltextrun"/>
          <w:rFonts w:eastAsia="Arial"/>
          <w:color w:val="000000" w:themeColor="text1"/>
          <w:sz w:val="22"/>
          <w:szCs w:val="22"/>
          <w:highlight w:val="yellow"/>
        </w:rPr>
        <w:t>Email</w:t>
      </w:r>
      <w:r w:rsidRPr="006962C0">
        <w:rPr>
          <w:rStyle w:val="normaltextrun"/>
          <w:rFonts w:eastAsia="Arial"/>
          <w:color w:val="000000" w:themeColor="text1"/>
          <w:sz w:val="22"/>
          <w:szCs w:val="22"/>
        </w:rPr>
        <w:t xml:space="preserve">&gt; by </w:t>
      </w:r>
      <w:r w:rsidRPr="003C508F">
        <w:rPr>
          <w:rStyle w:val="normaltextrun"/>
          <w:rFonts w:eastAsia="Arial"/>
          <w:color w:val="000000" w:themeColor="text1"/>
          <w:sz w:val="22"/>
          <w:szCs w:val="22"/>
        </w:rPr>
        <w:t>5</w:t>
      </w:r>
      <w:r w:rsidR="006B6740" w:rsidRPr="003C508F">
        <w:rPr>
          <w:rStyle w:val="normaltextrun"/>
          <w:rFonts w:eastAsia="Arial"/>
          <w:color w:val="000000" w:themeColor="text1"/>
          <w:sz w:val="22"/>
          <w:szCs w:val="22"/>
        </w:rPr>
        <w:t>:00</w:t>
      </w:r>
      <w:r w:rsidR="001205F9" w:rsidRPr="003C508F">
        <w:rPr>
          <w:rStyle w:val="normaltextrun"/>
          <w:rFonts w:eastAsia="Arial"/>
          <w:color w:val="000000" w:themeColor="text1"/>
          <w:sz w:val="22"/>
          <w:szCs w:val="22"/>
        </w:rPr>
        <w:t xml:space="preserve"> </w:t>
      </w:r>
      <w:r w:rsidRPr="003C508F">
        <w:rPr>
          <w:rStyle w:val="normaltextrun"/>
          <w:rFonts w:eastAsia="Arial"/>
          <w:color w:val="000000" w:themeColor="text1"/>
          <w:sz w:val="22"/>
          <w:szCs w:val="22"/>
        </w:rPr>
        <w:t>pm</w:t>
      </w:r>
      <w:r w:rsidR="00B65123" w:rsidRPr="003C508F">
        <w:rPr>
          <w:rStyle w:val="normaltextrun"/>
          <w:rFonts w:eastAsia="Arial"/>
          <w:color w:val="000000" w:themeColor="text1"/>
          <w:sz w:val="22"/>
          <w:szCs w:val="22"/>
        </w:rPr>
        <w:t xml:space="preserve">, </w:t>
      </w:r>
      <w:r w:rsidR="00837CB8">
        <w:rPr>
          <w:rStyle w:val="normaltextrun"/>
          <w:rFonts w:eastAsia="Arial"/>
          <w:color w:val="000000" w:themeColor="text1"/>
          <w:sz w:val="22"/>
          <w:szCs w:val="22"/>
        </w:rPr>
        <w:t>20 November</w:t>
      </w:r>
      <w:r w:rsidR="00B65123" w:rsidRPr="003C508F">
        <w:rPr>
          <w:rStyle w:val="normaltextrun"/>
          <w:rFonts w:eastAsia="Arial"/>
          <w:color w:val="000000" w:themeColor="text1"/>
          <w:sz w:val="22"/>
          <w:szCs w:val="22"/>
        </w:rPr>
        <w:t xml:space="preserve"> 2023</w:t>
      </w:r>
      <w:r w:rsidRPr="006962C0">
        <w:rPr>
          <w:rStyle w:val="normaltextrun"/>
          <w:rFonts w:eastAsia="Arial"/>
          <w:color w:val="000000" w:themeColor="text1"/>
          <w:sz w:val="22"/>
          <w:szCs w:val="22"/>
        </w:rPr>
        <w:t>. We will</w:t>
      </w:r>
      <w:r w:rsidR="00786C49">
        <w:rPr>
          <w:rStyle w:val="normaltextrun"/>
          <w:rFonts w:eastAsia="Arial"/>
          <w:color w:val="000000" w:themeColor="text1"/>
          <w:sz w:val="22"/>
          <w:szCs w:val="22"/>
        </w:rPr>
        <w:t xml:space="preserve"> </w:t>
      </w:r>
      <w:r w:rsidRPr="006962C0">
        <w:rPr>
          <w:rStyle w:val="normaltextrun"/>
          <w:rFonts w:eastAsia="Arial"/>
          <w:color w:val="000000" w:themeColor="text1"/>
          <w:sz w:val="22"/>
          <w:szCs w:val="22"/>
        </w:rPr>
        <w:t>then sign it and return a completed copy for your records.</w:t>
      </w:r>
    </w:p>
    <w:p w14:paraId="301B8D6D" w14:textId="223025B0" w:rsidR="00046CC9" w:rsidRDefault="00046CC9" w:rsidP="00540091">
      <w:pPr>
        <w:keepNext/>
        <w:keepLines/>
        <w:spacing w:after="0" w:line="240" w:lineRule="auto"/>
        <w:rPr>
          <w:rStyle w:val="normaltextrun"/>
          <w:rFonts w:eastAsia="Arial"/>
          <w:color w:val="000000" w:themeColor="text1"/>
          <w:sz w:val="22"/>
          <w:szCs w:val="22"/>
        </w:rPr>
      </w:pPr>
    </w:p>
    <w:p w14:paraId="2C22A768" w14:textId="77777777" w:rsidR="00EB2667" w:rsidRPr="006962C0" w:rsidRDefault="00EB2667" w:rsidP="00540091">
      <w:pPr>
        <w:keepNext/>
        <w:keepLines/>
        <w:spacing w:after="0" w:line="240" w:lineRule="auto"/>
        <w:rPr>
          <w:rStyle w:val="normaltextrun"/>
          <w:rFonts w:eastAsia="Arial"/>
          <w:color w:val="000000" w:themeColor="text1"/>
          <w:sz w:val="22"/>
          <w:szCs w:val="22"/>
        </w:rPr>
      </w:pPr>
    </w:p>
    <w:p w14:paraId="22A63C11" w14:textId="2C0D58EE" w:rsidR="001D1B87" w:rsidRPr="001D1B87" w:rsidRDefault="001D1B87" w:rsidP="00540091">
      <w:pPr>
        <w:keepNext/>
        <w:keepLines/>
        <w:spacing w:after="0" w:line="240" w:lineRule="auto"/>
        <w:rPr>
          <w:rStyle w:val="normaltextrun"/>
          <w:rFonts w:eastAsia="Arial"/>
          <w:sz w:val="22"/>
          <w:szCs w:val="22"/>
        </w:rPr>
      </w:pPr>
      <w:r w:rsidRPr="001D1B87">
        <w:rPr>
          <w:rStyle w:val="normaltextrun"/>
          <w:rFonts w:eastAsia="Arial"/>
          <w:sz w:val="22"/>
          <w:szCs w:val="22"/>
        </w:rPr>
        <w:t>Ngā mihi</w:t>
      </w:r>
    </w:p>
    <w:p w14:paraId="43169D72" w14:textId="11EDE2B6" w:rsidR="00046CC9" w:rsidRDefault="00046CC9" w:rsidP="00540091">
      <w:pPr>
        <w:keepNext/>
        <w:keepLines/>
        <w:spacing w:after="0" w:line="240" w:lineRule="auto"/>
        <w:rPr>
          <w:rStyle w:val="normaltextrun"/>
          <w:rFonts w:eastAsia="Arial"/>
          <w:sz w:val="22"/>
          <w:szCs w:val="22"/>
        </w:rPr>
      </w:pPr>
    </w:p>
    <w:p w14:paraId="6E1F2BCB" w14:textId="77777777" w:rsidR="00540091" w:rsidRDefault="00540091" w:rsidP="00540091">
      <w:pPr>
        <w:keepNext/>
        <w:keepLines/>
        <w:spacing w:after="0" w:line="240" w:lineRule="auto"/>
        <w:rPr>
          <w:rStyle w:val="normaltextrun"/>
          <w:rFonts w:eastAsia="Arial"/>
          <w:sz w:val="22"/>
          <w:szCs w:val="22"/>
        </w:rPr>
      </w:pPr>
    </w:p>
    <w:p w14:paraId="7150FBA5" w14:textId="7B4B8C07" w:rsidR="003642DC" w:rsidRPr="00540091" w:rsidRDefault="00EB2667" w:rsidP="00DE483A">
      <w:pPr>
        <w:spacing w:before="100" w:beforeAutospacing="1" w:after="0" w:line="240" w:lineRule="auto"/>
        <w:rPr>
          <w:b/>
          <w:bCs/>
          <w:color w:val="4AB9B8"/>
          <w:sz w:val="28"/>
          <w:szCs w:val="28"/>
          <w:lang w:eastAsia="en-NZ"/>
        </w:rPr>
      </w:pPr>
      <w:r>
        <w:rPr>
          <w:b/>
          <w:bCs/>
          <w:color w:val="4AB9B8"/>
          <w:sz w:val="28"/>
          <w:szCs w:val="28"/>
          <w:lang w:eastAsia="en-NZ"/>
        </w:rPr>
        <w:t>&lt;Portfolio Manager or other signatory&gt;</w:t>
      </w:r>
    </w:p>
    <w:p w14:paraId="7807107B" w14:textId="77777777" w:rsidR="00EB2667" w:rsidRDefault="00EB2667" w:rsidP="00CE29BD">
      <w:pPr>
        <w:spacing w:after="0" w:line="240" w:lineRule="auto"/>
        <w:rPr>
          <w:b/>
          <w:bCs/>
          <w:color w:val="1F3864" w:themeColor="accent1" w:themeShade="80"/>
          <w:sz w:val="20"/>
          <w:szCs w:val="20"/>
        </w:rPr>
      </w:pPr>
      <w:r>
        <w:rPr>
          <w:b/>
          <w:bCs/>
          <w:color w:val="1F3864" w:themeColor="accent1" w:themeShade="80"/>
          <w:sz w:val="20"/>
          <w:szCs w:val="20"/>
        </w:rPr>
        <w:t>&lt;Position title&gt;</w:t>
      </w:r>
    </w:p>
    <w:p w14:paraId="27F05E15" w14:textId="1C77276C" w:rsidR="007B13BC" w:rsidRPr="00CE29BD" w:rsidRDefault="00EB2667" w:rsidP="00CE29BD">
      <w:pPr>
        <w:spacing w:after="0" w:line="240" w:lineRule="auto"/>
        <w:rPr>
          <w:sz w:val="22"/>
          <w:szCs w:val="22"/>
        </w:rPr>
      </w:pPr>
      <w:r>
        <w:rPr>
          <w:b/>
          <w:bCs/>
          <w:color w:val="1F3864" w:themeColor="accent1" w:themeShade="80"/>
          <w:sz w:val="20"/>
          <w:szCs w:val="20"/>
        </w:rPr>
        <w:t>&lt;District&gt;</w:t>
      </w:r>
      <w:r w:rsidR="007B13BC">
        <w:rPr>
          <w:b/>
          <w:bCs/>
          <w:color w:val="00A3AD"/>
        </w:rPr>
        <w:br w:type="page"/>
      </w:r>
    </w:p>
    <w:p w14:paraId="77DD8650" w14:textId="490EE679" w:rsidR="00BE1F70" w:rsidRDefault="00BE1F70" w:rsidP="00540091">
      <w:pPr>
        <w:pStyle w:val="Heading1"/>
      </w:pPr>
      <w:r w:rsidRPr="004B173B">
        <w:lastRenderedPageBreak/>
        <w:t>Appendix 1</w:t>
      </w:r>
    </w:p>
    <w:p w14:paraId="5BAC93C3" w14:textId="77777777" w:rsidR="00D10BA0" w:rsidRPr="00D10BA0" w:rsidRDefault="00D10BA0" w:rsidP="00D10BA0"/>
    <w:p w14:paraId="02618431" w14:textId="49B410A6" w:rsidR="0046654B" w:rsidRPr="004B173B" w:rsidRDefault="00042E41" w:rsidP="006B310F">
      <w:pPr>
        <w:spacing w:after="0" w:line="240" w:lineRule="auto"/>
        <w:rPr>
          <w:b/>
          <w:bCs/>
          <w:color w:val="00A3AD"/>
        </w:rPr>
      </w:pPr>
      <w:r w:rsidRPr="004B173B">
        <w:rPr>
          <w:b/>
          <w:bCs/>
          <w:color w:val="00A3AD"/>
        </w:rPr>
        <w:t>Modelling for the application of the 5% price uplift</w:t>
      </w:r>
      <w:r w:rsidR="003515BF">
        <w:rPr>
          <w:b/>
          <w:bCs/>
          <w:color w:val="00A3AD"/>
        </w:rPr>
        <w:t xml:space="preserve"> and redistribution of APAS funding</w:t>
      </w:r>
    </w:p>
    <w:p w14:paraId="43C9BB2F" w14:textId="37006048" w:rsidR="0046654B" w:rsidRDefault="0046654B" w:rsidP="006B310F">
      <w:pPr>
        <w:spacing w:after="0" w:line="240" w:lineRule="auto"/>
        <w:rPr>
          <w:sz w:val="22"/>
          <w:szCs w:val="22"/>
        </w:rPr>
      </w:pPr>
    </w:p>
    <w:p w14:paraId="247A86B2" w14:textId="4BE3A7D5" w:rsidR="009D0442" w:rsidRDefault="00D26E9D" w:rsidP="006B310F">
      <w:pPr>
        <w:spacing w:after="0" w:line="240" w:lineRule="auto"/>
        <w:rPr>
          <w:sz w:val="22"/>
          <w:szCs w:val="22"/>
        </w:rPr>
      </w:pPr>
      <w:r>
        <w:rPr>
          <w:sz w:val="22"/>
          <w:szCs w:val="22"/>
        </w:rPr>
        <w:t>Please n</w:t>
      </w:r>
      <w:r w:rsidR="009D0442">
        <w:rPr>
          <w:sz w:val="22"/>
          <w:szCs w:val="22"/>
        </w:rPr>
        <w:t xml:space="preserve">ote that this modelling is based on </w:t>
      </w:r>
      <w:r w:rsidR="005F16A5">
        <w:rPr>
          <w:sz w:val="22"/>
          <w:szCs w:val="22"/>
        </w:rPr>
        <w:t>pharmacies</w:t>
      </w:r>
      <w:r w:rsidR="00E25960">
        <w:rPr>
          <w:sz w:val="22"/>
          <w:szCs w:val="22"/>
        </w:rPr>
        <w:t>'</w:t>
      </w:r>
      <w:r w:rsidR="00E47403">
        <w:rPr>
          <w:sz w:val="22"/>
          <w:szCs w:val="22"/>
        </w:rPr>
        <w:t xml:space="preserve"> </w:t>
      </w:r>
      <w:r w:rsidR="009D0442">
        <w:rPr>
          <w:sz w:val="22"/>
          <w:szCs w:val="22"/>
        </w:rPr>
        <w:t xml:space="preserve">past </w:t>
      </w:r>
      <w:r w:rsidR="00B8574A">
        <w:rPr>
          <w:sz w:val="22"/>
          <w:szCs w:val="22"/>
        </w:rPr>
        <w:t>dispensing v</w:t>
      </w:r>
      <w:r w:rsidR="00182932">
        <w:rPr>
          <w:sz w:val="22"/>
          <w:szCs w:val="22"/>
        </w:rPr>
        <w:t>olume</w:t>
      </w:r>
      <w:r w:rsidR="0076715A" w:rsidRPr="0076715A">
        <w:rPr>
          <w:sz w:val="22"/>
          <w:szCs w:val="22"/>
        </w:rPr>
        <w:t xml:space="preserve"> </w:t>
      </w:r>
      <w:r w:rsidR="0076715A">
        <w:rPr>
          <w:sz w:val="22"/>
          <w:szCs w:val="22"/>
        </w:rPr>
        <w:t>and is an estimate of the potential impact</w:t>
      </w:r>
      <w:r w:rsidR="00C3399C">
        <w:rPr>
          <w:sz w:val="22"/>
          <w:szCs w:val="22"/>
        </w:rPr>
        <w:t>.</w:t>
      </w:r>
    </w:p>
    <w:p w14:paraId="65A15727" w14:textId="77777777" w:rsidR="009D0442" w:rsidRDefault="009D0442" w:rsidP="006B310F">
      <w:pPr>
        <w:spacing w:after="0" w:line="240" w:lineRule="auto"/>
        <w:rPr>
          <w:sz w:val="22"/>
          <w:szCs w:val="22"/>
        </w:rPr>
      </w:pPr>
    </w:p>
    <w:p w14:paraId="11CE9407" w14:textId="39676FA5" w:rsidR="0046654B" w:rsidRDefault="00894B1E" w:rsidP="00BA2B4F">
      <w:pPr>
        <w:spacing w:after="120" w:line="240" w:lineRule="auto"/>
        <w:rPr>
          <w:sz w:val="22"/>
          <w:szCs w:val="22"/>
        </w:rPr>
      </w:pPr>
      <w:r>
        <w:rPr>
          <w:sz w:val="22"/>
          <w:szCs w:val="22"/>
        </w:rPr>
        <w:t xml:space="preserve">The </w:t>
      </w:r>
      <w:r w:rsidR="00632957">
        <w:rPr>
          <w:sz w:val="22"/>
          <w:szCs w:val="22"/>
        </w:rPr>
        <w:t xml:space="preserve">formula </w:t>
      </w:r>
      <w:r w:rsidR="00911EDD">
        <w:rPr>
          <w:sz w:val="22"/>
          <w:szCs w:val="22"/>
        </w:rPr>
        <w:t xml:space="preserve">was </w:t>
      </w:r>
      <w:r w:rsidR="00632957">
        <w:rPr>
          <w:sz w:val="22"/>
          <w:szCs w:val="22"/>
        </w:rPr>
        <w:t>built by the following steps:</w:t>
      </w:r>
    </w:p>
    <w:p w14:paraId="16BDAF63" w14:textId="3EF908D6" w:rsidR="0046654B" w:rsidRPr="00632957" w:rsidRDefault="0046654B" w:rsidP="00540091">
      <w:pPr>
        <w:pStyle w:val="ListParagraph"/>
        <w:numPr>
          <w:ilvl w:val="0"/>
          <w:numId w:val="14"/>
        </w:numPr>
        <w:tabs>
          <w:tab w:val="left" w:pos="567"/>
          <w:tab w:val="left" w:pos="1134"/>
        </w:tabs>
        <w:spacing w:after="120"/>
        <w:ind w:left="0" w:firstLine="0"/>
        <w:contextualSpacing w:val="0"/>
        <w:rPr>
          <w:sz w:val="22"/>
          <w:szCs w:val="22"/>
        </w:rPr>
      </w:pPr>
      <w:r w:rsidRPr="00632957">
        <w:rPr>
          <w:sz w:val="22"/>
          <w:szCs w:val="22"/>
        </w:rPr>
        <w:t>Acknowledg</w:t>
      </w:r>
      <w:r w:rsidR="00E505AA">
        <w:rPr>
          <w:sz w:val="22"/>
          <w:szCs w:val="22"/>
        </w:rPr>
        <w:t>ing</w:t>
      </w:r>
      <w:r w:rsidRPr="00632957">
        <w:rPr>
          <w:sz w:val="22"/>
          <w:szCs w:val="22"/>
        </w:rPr>
        <w:t xml:space="preserve"> volume increases as forecast by Te Whatu Ora’s June 2023 forecast.</w:t>
      </w:r>
    </w:p>
    <w:p w14:paraId="05FE1BD8" w14:textId="18A954F7" w:rsidR="0046654B" w:rsidRPr="00632957" w:rsidRDefault="00E505AA" w:rsidP="00540091">
      <w:pPr>
        <w:pStyle w:val="ListParagraph"/>
        <w:numPr>
          <w:ilvl w:val="0"/>
          <w:numId w:val="14"/>
        </w:numPr>
        <w:tabs>
          <w:tab w:val="left" w:pos="567"/>
          <w:tab w:val="left" w:pos="1134"/>
        </w:tabs>
        <w:spacing w:after="120"/>
        <w:ind w:left="0" w:firstLine="0"/>
        <w:contextualSpacing w:val="0"/>
        <w:rPr>
          <w:sz w:val="22"/>
          <w:szCs w:val="22"/>
        </w:rPr>
      </w:pPr>
      <w:r>
        <w:rPr>
          <w:sz w:val="22"/>
          <w:szCs w:val="22"/>
        </w:rPr>
        <w:t>Implementing</w:t>
      </w:r>
      <w:r w:rsidR="0046654B" w:rsidRPr="00632957">
        <w:rPr>
          <w:sz w:val="22"/>
          <w:szCs w:val="22"/>
        </w:rPr>
        <w:t xml:space="preserve"> a 5% price uplift </w:t>
      </w:r>
      <w:r w:rsidR="00B142A0">
        <w:rPr>
          <w:sz w:val="22"/>
          <w:szCs w:val="22"/>
        </w:rPr>
        <w:t xml:space="preserve">and redistribute APAS funding </w:t>
      </w:r>
      <w:r w:rsidR="0046654B" w:rsidRPr="00632957">
        <w:rPr>
          <w:sz w:val="22"/>
          <w:szCs w:val="22"/>
        </w:rPr>
        <w:t>by (in order):</w:t>
      </w:r>
    </w:p>
    <w:p w14:paraId="1D1C9030" w14:textId="3761196B" w:rsidR="0046654B" w:rsidRDefault="0046654B" w:rsidP="00540091">
      <w:pPr>
        <w:pStyle w:val="ListParagraph"/>
        <w:numPr>
          <w:ilvl w:val="0"/>
          <w:numId w:val="15"/>
        </w:numPr>
        <w:tabs>
          <w:tab w:val="left" w:pos="567"/>
          <w:tab w:val="left" w:pos="1134"/>
        </w:tabs>
        <w:spacing w:after="120"/>
        <w:ind w:left="1134" w:hanging="567"/>
        <w:contextualSpacing w:val="0"/>
        <w:rPr>
          <w:sz w:val="22"/>
          <w:szCs w:val="22"/>
        </w:rPr>
      </w:pPr>
      <w:r w:rsidRPr="00632957">
        <w:rPr>
          <w:sz w:val="22"/>
          <w:szCs w:val="22"/>
        </w:rPr>
        <w:t>Decreas</w:t>
      </w:r>
      <w:r w:rsidR="00E505AA">
        <w:rPr>
          <w:sz w:val="22"/>
          <w:szCs w:val="22"/>
        </w:rPr>
        <w:t>ing</w:t>
      </w:r>
      <w:r w:rsidRPr="00632957">
        <w:rPr>
          <w:sz w:val="22"/>
          <w:szCs w:val="22"/>
        </w:rPr>
        <w:t xml:space="preserve"> the quarterly </w:t>
      </w:r>
      <w:r w:rsidR="00F00B42">
        <w:rPr>
          <w:sz w:val="22"/>
          <w:szCs w:val="22"/>
        </w:rPr>
        <w:t xml:space="preserve">APAS </w:t>
      </w:r>
      <w:r w:rsidRPr="00632957">
        <w:rPr>
          <w:sz w:val="22"/>
          <w:szCs w:val="22"/>
        </w:rPr>
        <w:t>payment pool from $17.575 million to $12.150 million (a decrease of $21.70 million paid out per year, a reduction of 30.87%)</w:t>
      </w:r>
    </w:p>
    <w:p w14:paraId="4AD46A84" w14:textId="77777777" w:rsidR="0046654B" w:rsidRPr="00632957" w:rsidRDefault="0046654B" w:rsidP="00540091">
      <w:pPr>
        <w:pStyle w:val="ListParagraph"/>
        <w:numPr>
          <w:ilvl w:val="0"/>
          <w:numId w:val="13"/>
        </w:numPr>
        <w:tabs>
          <w:tab w:val="left" w:pos="567"/>
          <w:tab w:val="left" w:pos="1134"/>
        </w:tabs>
        <w:spacing w:after="120"/>
        <w:ind w:left="1134" w:hanging="567"/>
        <w:contextualSpacing w:val="0"/>
        <w:rPr>
          <w:sz w:val="22"/>
          <w:szCs w:val="22"/>
        </w:rPr>
      </w:pPr>
      <w:r w:rsidRPr="00632957">
        <w:rPr>
          <w:sz w:val="22"/>
          <w:szCs w:val="22"/>
        </w:rPr>
        <w:t>Increasing CPAMS monthly fee by 5%</w:t>
      </w:r>
    </w:p>
    <w:p w14:paraId="52071C4C" w14:textId="77777777" w:rsidR="0046654B" w:rsidRPr="00755BBB" w:rsidRDefault="0046654B" w:rsidP="00540091">
      <w:pPr>
        <w:pStyle w:val="ListParagraph"/>
        <w:numPr>
          <w:ilvl w:val="0"/>
          <w:numId w:val="13"/>
        </w:numPr>
        <w:tabs>
          <w:tab w:val="left" w:pos="567"/>
          <w:tab w:val="left" w:pos="1134"/>
        </w:tabs>
        <w:spacing w:after="120"/>
        <w:ind w:left="1134" w:hanging="567"/>
        <w:contextualSpacing w:val="0"/>
        <w:rPr>
          <w:sz w:val="22"/>
          <w:szCs w:val="22"/>
        </w:rPr>
      </w:pPr>
      <w:r w:rsidRPr="00755BBB">
        <w:rPr>
          <w:sz w:val="22"/>
          <w:szCs w:val="22"/>
        </w:rPr>
        <w:t xml:space="preserve">Increasing the Per Pack Fee such that the nominal extra </w:t>
      </w:r>
      <w:proofErr w:type="gramStart"/>
      <w:r w:rsidRPr="00755BBB">
        <w:rPr>
          <w:sz w:val="22"/>
          <w:szCs w:val="22"/>
        </w:rPr>
        <w:t>spend</w:t>
      </w:r>
      <w:proofErr w:type="gramEnd"/>
      <w:r w:rsidRPr="00755BBB">
        <w:rPr>
          <w:sz w:val="22"/>
          <w:szCs w:val="22"/>
        </w:rPr>
        <w:t xml:space="preserve"> on Per Pack Fees is close to 5% of the spend forecast for margins for the coming year</w:t>
      </w:r>
    </w:p>
    <w:p w14:paraId="75D58159" w14:textId="77777777" w:rsidR="0046654B" w:rsidRPr="00755BBB" w:rsidRDefault="0046654B" w:rsidP="00540091">
      <w:pPr>
        <w:pStyle w:val="ListParagraph"/>
        <w:numPr>
          <w:ilvl w:val="0"/>
          <w:numId w:val="13"/>
        </w:numPr>
        <w:tabs>
          <w:tab w:val="left" w:pos="567"/>
          <w:tab w:val="left" w:pos="1134"/>
        </w:tabs>
        <w:spacing w:after="120"/>
        <w:ind w:left="1134" w:hanging="567"/>
        <w:contextualSpacing w:val="0"/>
        <w:rPr>
          <w:sz w:val="22"/>
          <w:szCs w:val="22"/>
        </w:rPr>
      </w:pPr>
      <w:r w:rsidRPr="00755BBB">
        <w:rPr>
          <w:sz w:val="22"/>
          <w:szCs w:val="22"/>
        </w:rPr>
        <w:t>Increasing the Handling Fee, Case Mix initial service fee, and Case Mix repeat service fee by around 5%</w:t>
      </w:r>
    </w:p>
    <w:p w14:paraId="1AD02932" w14:textId="67AFCF87" w:rsidR="0046654B" w:rsidRPr="00755BBB" w:rsidRDefault="0046654B" w:rsidP="00540091">
      <w:pPr>
        <w:pStyle w:val="ListParagraph"/>
        <w:numPr>
          <w:ilvl w:val="0"/>
          <w:numId w:val="13"/>
        </w:numPr>
        <w:tabs>
          <w:tab w:val="left" w:pos="567"/>
          <w:tab w:val="left" w:pos="1134"/>
        </w:tabs>
        <w:spacing w:after="120"/>
        <w:ind w:left="1134" w:hanging="567"/>
        <w:contextualSpacing w:val="0"/>
        <w:rPr>
          <w:sz w:val="22"/>
          <w:szCs w:val="22"/>
        </w:rPr>
      </w:pPr>
      <w:r w:rsidRPr="00755BBB">
        <w:rPr>
          <w:sz w:val="22"/>
          <w:szCs w:val="22"/>
        </w:rPr>
        <w:t>Further increasing the Handling Fee, Case Mix initial service fee, and Case Mix repeat service fee, and adjust</w:t>
      </w:r>
      <w:r w:rsidR="00E64061">
        <w:rPr>
          <w:sz w:val="22"/>
          <w:szCs w:val="22"/>
        </w:rPr>
        <w:t>ing</w:t>
      </w:r>
      <w:r w:rsidRPr="00755BBB">
        <w:rPr>
          <w:sz w:val="22"/>
          <w:szCs w:val="22"/>
        </w:rPr>
        <w:t xml:space="preserve"> all figures, until the following goals are met:</w:t>
      </w:r>
    </w:p>
    <w:p w14:paraId="3EC9325D" w14:textId="749A8465" w:rsidR="0046654B" w:rsidRPr="00632957" w:rsidRDefault="006D6115" w:rsidP="00540091">
      <w:pPr>
        <w:pStyle w:val="ListParagraph"/>
        <w:numPr>
          <w:ilvl w:val="3"/>
          <w:numId w:val="34"/>
        </w:numPr>
        <w:tabs>
          <w:tab w:val="left" w:pos="567"/>
          <w:tab w:val="left" w:pos="1134"/>
          <w:tab w:val="left" w:pos="1701"/>
        </w:tabs>
        <w:spacing w:after="120"/>
        <w:ind w:left="1701" w:hanging="567"/>
        <w:rPr>
          <w:sz w:val="22"/>
          <w:szCs w:val="22"/>
        </w:rPr>
      </w:pPr>
      <w:r>
        <w:rPr>
          <w:sz w:val="22"/>
          <w:szCs w:val="22"/>
        </w:rPr>
        <w:t>t</w:t>
      </w:r>
      <w:r w:rsidR="0046654B" w:rsidRPr="00632957">
        <w:rPr>
          <w:sz w:val="22"/>
          <w:szCs w:val="22"/>
        </w:rPr>
        <w:t xml:space="preserve">he uplift of total service expenditure has been increased by at least 5.00% over the forecast figure before these </w:t>
      </w:r>
      <w:proofErr w:type="gramStart"/>
      <w:r w:rsidR="0046654B" w:rsidRPr="00632957">
        <w:rPr>
          <w:sz w:val="22"/>
          <w:szCs w:val="22"/>
        </w:rPr>
        <w:t>changes</w:t>
      </w:r>
      <w:proofErr w:type="gramEnd"/>
    </w:p>
    <w:p w14:paraId="479DF366" w14:textId="4E29834F" w:rsidR="0046654B" w:rsidRPr="00632957" w:rsidRDefault="006D6115" w:rsidP="00540091">
      <w:pPr>
        <w:pStyle w:val="ListParagraph"/>
        <w:numPr>
          <w:ilvl w:val="3"/>
          <w:numId w:val="34"/>
        </w:numPr>
        <w:tabs>
          <w:tab w:val="left" w:pos="567"/>
          <w:tab w:val="left" w:pos="1134"/>
          <w:tab w:val="left" w:pos="1701"/>
        </w:tabs>
        <w:spacing w:after="120"/>
        <w:ind w:left="1701" w:hanging="567"/>
        <w:rPr>
          <w:sz w:val="22"/>
          <w:szCs w:val="22"/>
        </w:rPr>
      </w:pPr>
      <w:r>
        <w:rPr>
          <w:sz w:val="22"/>
          <w:szCs w:val="22"/>
        </w:rPr>
        <w:t>t</w:t>
      </w:r>
      <w:r w:rsidR="0046654B" w:rsidRPr="00632957">
        <w:rPr>
          <w:sz w:val="22"/>
          <w:szCs w:val="22"/>
        </w:rPr>
        <w:t>hat the median uplift for individual pharmacies, as modelled in the model described in the next section, is close to 5.0%</w:t>
      </w:r>
    </w:p>
    <w:p w14:paraId="118F7330" w14:textId="393FFAF9" w:rsidR="0046654B" w:rsidRDefault="006D6115" w:rsidP="00540091">
      <w:pPr>
        <w:pStyle w:val="ListParagraph"/>
        <w:numPr>
          <w:ilvl w:val="3"/>
          <w:numId w:val="34"/>
        </w:numPr>
        <w:tabs>
          <w:tab w:val="left" w:pos="567"/>
          <w:tab w:val="left" w:pos="1134"/>
          <w:tab w:val="left" w:pos="1701"/>
        </w:tabs>
        <w:spacing w:after="120"/>
        <w:ind w:left="1701" w:hanging="567"/>
        <w:rPr>
          <w:sz w:val="22"/>
          <w:szCs w:val="22"/>
        </w:rPr>
      </w:pPr>
      <w:r>
        <w:rPr>
          <w:sz w:val="22"/>
          <w:szCs w:val="22"/>
        </w:rPr>
        <w:t>t</w:t>
      </w:r>
      <w:r w:rsidR="0046654B" w:rsidRPr="00632957">
        <w:rPr>
          <w:sz w:val="22"/>
          <w:szCs w:val="22"/>
        </w:rPr>
        <w:t>hat the lowest uplift faced by individual pharmacy (show in the modelling) is kept as high as possible.</w:t>
      </w:r>
    </w:p>
    <w:p w14:paraId="668BF806" w14:textId="69049E55" w:rsidR="00964A36" w:rsidRPr="00632957" w:rsidRDefault="00964A36" w:rsidP="00540091">
      <w:pPr>
        <w:pStyle w:val="ListParagraph"/>
        <w:numPr>
          <w:ilvl w:val="0"/>
          <w:numId w:val="13"/>
        </w:numPr>
        <w:tabs>
          <w:tab w:val="left" w:pos="1134"/>
        </w:tabs>
        <w:spacing w:after="120"/>
        <w:ind w:left="1134" w:hanging="567"/>
        <w:contextualSpacing w:val="0"/>
        <w:rPr>
          <w:sz w:val="22"/>
          <w:szCs w:val="22"/>
        </w:rPr>
      </w:pPr>
      <w:r w:rsidRPr="00964A36">
        <w:rPr>
          <w:sz w:val="22"/>
          <w:szCs w:val="22"/>
        </w:rPr>
        <w:t xml:space="preserve">The adjustments to Handling Fee, Case Mix </w:t>
      </w:r>
      <w:r>
        <w:rPr>
          <w:sz w:val="22"/>
          <w:szCs w:val="22"/>
        </w:rPr>
        <w:t>F</w:t>
      </w:r>
      <w:r w:rsidRPr="00964A36">
        <w:rPr>
          <w:sz w:val="22"/>
          <w:szCs w:val="22"/>
        </w:rPr>
        <w:t xml:space="preserve">ee, Per Pack </w:t>
      </w:r>
      <w:r>
        <w:rPr>
          <w:sz w:val="22"/>
          <w:szCs w:val="22"/>
        </w:rPr>
        <w:t>F</w:t>
      </w:r>
      <w:r w:rsidRPr="00964A36">
        <w:rPr>
          <w:sz w:val="22"/>
          <w:szCs w:val="22"/>
        </w:rPr>
        <w:t>ee, and CPAMS fee ensure that the overall service expenditure forecasts a 5% increase for the coming year.</w:t>
      </w:r>
    </w:p>
    <w:p w14:paraId="4742B7D4" w14:textId="2318E907" w:rsidR="0046654B" w:rsidRDefault="0046654B" w:rsidP="00540091">
      <w:pPr>
        <w:pStyle w:val="ListParagraph"/>
        <w:numPr>
          <w:ilvl w:val="0"/>
          <w:numId w:val="14"/>
        </w:numPr>
        <w:tabs>
          <w:tab w:val="left" w:pos="567"/>
          <w:tab w:val="left" w:pos="1134"/>
        </w:tabs>
        <w:spacing w:after="120"/>
        <w:ind w:left="0" w:firstLine="0"/>
        <w:contextualSpacing w:val="0"/>
        <w:rPr>
          <w:sz w:val="22"/>
          <w:szCs w:val="22"/>
        </w:rPr>
      </w:pPr>
      <w:r w:rsidRPr="00632957">
        <w:rPr>
          <w:sz w:val="22"/>
          <w:szCs w:val="22"/>
        </w:rPr>
        <w:t>Increas</w:t>
      </w:r>
      <w:r w:rsidR="00E505AA">
        <w:rPr>
          <w:sz w:val="22"/>
          <w:szCs w:val="22"/>
        </w:rPr>
        <w:t>ing</w:t>
      </w:r>
      <w:r w:rsidRPr="00632957">
        <w:rPr>
          <w:sz w:val="22"/>
          <w:szCs w:val="22"/>
        </w:rPr>
        <w:t xml:space="preserve"> Immunisation Service Fee to $36.05, backdated to 1 July 2023.</w:t>
      </w:r>
    </w:p>
    <w:p w14:paraId="5E3CB200" w14:textId="77777777" w:rsidR="00976538" w:rsidRPr="00632957" w:rsidRDefault="00976538" w:rsidP="00F327A4">
      <w:pPr>
        <w:pStyle w:val="ListParagraph"/>
        <w:numPr>
          <w:ilvl w:val="0"/>
          <w:numId w:val="0"/>
        </w:numPr>
        <w:tabs>
          <w:tab w:val="left" w:pos="357"/>
        </w:tabs>
        <w:contextualSpacing w:val="0"/>
        <w:rPr>
          <w:sz w:val="22"/>
          <w:szCs w:val="22"/>
        </w:rPr>
      </w:pPr>
    </w:p>
    <w:p w14:paraId="3983341A" w14:textId="7316ACCC" w:rsidR="007B13BC" w:rsidRDefault="007B13BC" w:rsidP="00EB2467">
      <w:pPr>
        <w:spacing w:after="0" w:line="240" w:lineRule="auto"/>
        <w:rPr>
          <w:rStyle w:val="normaltextrun"/>
          <w:rFonts w:eastAsia="Arial"/>
          <w:b/>
          <w:bCs/>
          <w:color w:val="00A3AD"/>
          <w:sz w:val="22"/>
          <w:szCs w:val="22"/>
        </w:rPr>
      </w:pPr>
      <w:r w:rsidRPr="00EB2467">
        <w:rPr>
          <w:rStyle w:val="normaltextrun"/>
          <w:rFonts w:eastAsia="Arial"/>
          <w:b/>
          <w:bCs/>
          <w:color w:val="00A3AD"/>
          <w:sz w:val="22"/>
          <w:szCs w:val="22"/>
        </w:rPr>
        <w:t>Table</w:t>
      </w:r>
      <w:r w:rsidR="00976538">
        <w:rPr>
          <w:rStyle w:val="normaltextrun"/>
          <w:rFonts w:eastAsia="Arial"/>
          <w:b/>
          <w:bCs/>
          <w:color w:val="00A3AD"/>
          <w:sz w:val="22"/>
          <w:szCs w:val="22"/>
        </w:rPr>
        <w:t xml:space="preserve">. </w:t>
      </w:r>
      <w:r w:rsidRPr="00EB2467">
        <w:rPr>
          <w:rStyle w:val="normaltextrun"/>
          <w:rFonts w:eastAsia="Arial"/>
          <w:b/>
          <w:bCs/>
          <w:color w:val="00A3AD"/>
          <w:sz w:val="22"/>
          <w:szCs w:val="22"/>
        </w:rPr>
        <w:t>Changes to the ICPSA</w:t>
      </w:r>
    </w:p>
    <w:p w14:paraId="2CE3DA5C" w14:textId="77777777" w:rsidR="00EB2467" w:rsidRPr="004F7A87" w:rsidRDefault="00EB2467" w:rsidP="00EB2467">
      <w:pPr>
        <w:spacing w:after="0" w:line="240" w:lineRule="auto"/>
        <w:rPr>
          <w:rStyle w:val="normaltextrun"/>
          <w:rFonts w:eastAsia="Arial"/>
          <w:color w:val="00A3AD"/>
          <w:sz w:val="10"/>
          <w:szCs w:val="10"/>
        </w:rPr>
      </w:pPr>
    </w:p>
    <w:tbl>
      <w:tblPr>
        <w:tblStyle w:val="PlainTable1"/>
        <w:tblW w:w="9634" w:type="dxa"/>
        <w:tblLook w:val="04A0" w:firstRow="1" w:lastRow="0" w:firstColumn="1" w:lastColumn="0" w:noHBand="0" w:noVBand="1"/>
      </w:tblPr>
      <w:tblGrid>
        <w:gridCol w:w="3823"/>
        <w:gridCol w:w="2693"/>
        <w:gridCol w:w="3118"/>
      </w:tblGrid>
      <w:tr w:rsidR="007B13BC" w:rsidRPr="00207FF5" w14:paraId="5B2CC69E" w14:textId="77777777" w:rsidTr="00540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14:paraId="797289CE" w14:textId="77777777" w:rsidR="007B13BC" w:rsidRPr="00367A0D" w:rsidRDefault="007B13BC" w:rsidP="00540091">
            <w:pPr>
              <w:pStyle w:val="TableHeadingsBlack"/>
              <w:spacing w:line="240" w:lineRule="auto"/>
              <w:rPr>
                <w:sz w:val="20"/>
                <w:szCs w:val="20"/>
              </w:rPr>
            </w:pPr>
            <w:r w:rsidRPr="00367A0D">
              <w:rPr>
                <w:sz w:val="20"/>
                <w:szCs w:val="20"/>
              </w:rPr>
              <w:t>Item or input</w:t>
            </w:r>
          </w:p>
        </w:tc>
        <w:tc>
          <w:tcPr>
            <w:tcW w:w="2693" w:type="dxa"/>
            <w:shd w:val="clear" w:color="auto" w:fill="BFBFBF" w:themeFill="background1" w:themeFillShade="BF"/>
            <w:vAlign w:val="center"/>
          </w:tcPr>
          <w:p w14:paraId="3A1DA52A" w14:textId="77777777" w:rsidR="007B13BC" w:rsidRPr="00367A0D" w:rsidRDefault="007B13BC" w:rsidP="00540091">
            <w:pPr>
              <w:pStyle w:val="TableHeadingsBlack"/>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67A0D">
              <w:rPr>
                <w:sz w:val="20"/>
                <w:szCs w:val="20"/>
              </w:rPr>
              <w:t>Current</w:t>
            </w:r>
          </w:p>
        </w:tc>
        <w:tc>
          <w:tcPr>
            <w:tcW w:w="3118" w:type="dxa"/>
            <w:shd w:val="clear" w:color="auto" w:fill="BFBFBF" w:themeFill="background1" w:themeFillShade="BF"/>
            <w:vAlign w:val="center"/>
          </w:tcPr>
          <w:p w14:paraId="64D1AED3" w14:textId="60041515" w:rsidR="007B13BC" w:rsidRPr="00367A0D" w:rsidRDefault="007B13BC" w:rsidP="00540091">
            <w:pPr>
              <w:pStyle w:val="TableHeadingsBlack"/>
              <w:spacing w:line="240" w:lineRule="auto"/>
              <w:cnfStyle w:val="100000000000" w:firstRow="1" w:lastRow="0" w:firstColumn="0" w:lastColumn="0" w:oddVBand="0" w:evenVBand="0" w:oddHBand="0" w:evenHBand="0" w:firstRowFirstColumn="0" w:firstRowLastColumn="0" w:lastRowFirstColumn="0" w:lastRowLastColumn="0"/>
              <w:rPr>
                <w:bCs/>
                <w:sz w:val="20"/>
                <w:szCs w:val="20"/>
              </w:rPr>
            </w:pPr>
            <w:r w:rsidRPr="00367A0D">
              <w:rPr>
                <w:sz w:val="20"/>
                <w:szCs w:val="20"/>
              </w:rPr>
              <w:t>Proposed new figure</w:t>
            </w:r>
            <w:r w:rsidR="00540091">
              <w:rPr>
                <w:sz w:val="20"/>
                <w:szCs w:val="20"/>
              </w:rPr>
              <w:t xml:space="preserve"> </w:t>
            </w:r>
            <w:r w:rsidRPr="00367A0D">
              <w:rPr>
                <w:sz w:val="20"/>
                <w:szCs w:val="20"/>
              </w:rPr>
              <w:t>(percentage difference)</w:t>
            </w:r>
          </w:p>
        </w:tc>
      </w:tr>
      <w:tr w:rsidR="007B13BC" w:rsidRPr="00207FF5" w14:paraId="3E222F87"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5FCC7FCD"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Handling Fee</w:t>
            </w:r>
          </w:p>
        </w:tc>
        <w:tc>
          <w:tcPr>
            <w:tcW w:w="2693" w:type="dxa"/>
            <w:vAlign w:val="center"/>
          </w:tcPr>
          <w:p w14:paraId="434FC499" w14:textId="77777777"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$1.01</w:t>
            </w:r>
          </w:p>
        </w:tc>
        <w:tc>
          <w:tcPr>
            <w:tcW w:w="3118" w:type="dxa"/>
            <w:vAlign w:val="center"/>
          </w:tcPr>
          <w:p w14:paraId="3F125A62" w14:textId="643E2D94"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$1.13</w:t>
            </w:r>
            <w:r w:rsidR="00540091">
              <w:rPr>
                <w:color w:val="000000" w:themeColor="text1"/>
                <w:sz w:val="20"/>
                <w:szCs w:val="20"/>
              </w:rPr>
              <w:t xml:space="preserve"> </w:t>
            </w:r>
            <w:r w:rsidRPr="00367A0D">
              <w:rPr>
                <w:color w:val="000000" w:themeColor="text1"/>
                <w:sz w:val="20"/>
                <w:szCs w:val="20"/>
              </w:rPr>
              <w:t>(+11.88%)</w:t>
            </w:r>
          </w:p>
        </w:tc>
      </w:tr>
      <w:tr w:rsidR="007B13BC" w:rsidRPr="00207FF5" w14:paraId="27014A5E"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40862449"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Per Pack Fee</w:t>
            </w:r>
          </w:p>
        </w:tc>
        <w:tc>
          <w:tcPr>
            <w:tcW w:w="2693" w:type="dxa"/>
            <w:vAlign w:val="center"/>
          </w:tcPr>
          <w:p w14:paraId="752AE0FA" w14:textId="77777777"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Calculated quarterly – currently at 24.1 cents</w:t>
            </w:r>
          </w:p>
        </w:tc>
        <w:tc>
          <w:tcPr>
            <w:tcW w:w="3118" w:type="dxa"/>
            <w:vAlign w:val="center"/>
          </w:tcPr>
          <w:p w14:paraId="40EB895B" w14:textId="5CCBDF9F"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$0.27</w:t>
            </w:r>
            <w:r w:rsidR="00540091">
              <w:rPr>
                <w:color w:val="000000" w:themeColor="text1"/>
                <w:sz w:val="20"/>
                <w:szCs w:val="20"/>
              </w:rPr>
              <w:t xml:space="preserve"> </w:t>
            </w:r>
            <w:r w:rsidRPr="00367A0D">
              <w:rPr>
                <w:color w:val="000000" w:themeColor="text1"/>
                <w:sz w:val="20"/>
                <w:szCs w:val="20"/>
              </w:rPr>
              <w:t>(+12.03% on current figure)</w:t>
            </w:r>
          </w:p>
        </w:tc>
      </w:tr>
      <w:tr w:rsidR="007B13BC" w:rsidRPr="00207FF5" w14:paraId="67EF3B24"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778EB79C"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Case Mix initial base service fee</w:t>
            </w:r>
          </w:p>
        </w:tc>
        <w:tc>
          <w:tcPr>
            <w:tcW w:w="2693" w:type="dxa"/>
            <w:vAlign w:val="center"/>
          </w:tcPr>
          <w:p w14:paraId="3926D61B" w14:textId="77777777"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$4.43</w:t>
            </w:r>
          </w:p>
        </w:tc>
        <w:tc>
          <w:tcPr>
            <w:tcW w:w="3118" w:type="dxa"/>
            <w:vAlign w:val="center"/>
          </w:tcPr>
          <w:p w14:paraId="26A375E9" w14:textId="2AABAC2E"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$5.03</w:t>
            </w:r>
            <w:r w:rsidR="00540091">
              <w:rPr>
                <w:color w:val="000000" w:themeColor="text1"/>
                <w:sz w:val="20"/>
                <w:szCs w:val="20"/>
              </w:rPr>
              <w:t xml:space="preserve"> </w:t>
            </w:r>
            <w:r w:rsidRPr="00367A0D">
              <w:rPr>
                <w:color w:val="000000" w:themeColor="text1"/>
                <w:sz w:val="20"/>
                <w:szCs w:val="20"/>
              </w:rPr>
              <w:t>(+13.54%)</w:t>
            </w:r>
          </w:p>
        </w:tc>
      </w:tr>
      <w:tr w:rsidR="007B13BC" w:rsidRPr="00207FF5" w14:paraId="7C0E47B6"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5FBCC990"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Case Mix repeat base service fee</w:t>
            </w:r>
          </w:p>
        </w:tc>
        <w:tc>
          <w:tcPr>
            <w:tcW w:w="2693" w:type="dxa"/>
            <w:vAlign w:val="center"/>
          </w:tcPr>
          <w:p w14:paraId="688D9252" w14:textId="77777777"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$3.03</w:t>
            </w:r>
          </w:p>
        </w:tc>
        <w:tc>
          <w:tcPr>
            <w:tcW w:w="3118" w:type="dxa"/>
            <w:vAlign w:val="center"/>
          </w:tcPr>
          <w:p w14:paraId="3A6CD403" w14:textId="6D5FDD68" w:rsidR="007B13BC" w:rsidRPr="00367A0D" w:rsidRDefault="007B13BC" w:rsidP="00540091">
            <w:pPr>
              <w:pStyle w:val="TableBody"/>
              <w:keepNext/>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$3.27</w:t>
            </w:r>
            <w:r w:rsidR="00540091">
              <w:rPr>
                <w:color w:val="000000" w:themeColor="text1"/>
                <w:sz w:val="20"/>
                <w:szCs w:val="20"/>
              </w:rPr>
              <w:t xml:space="preserve"> </w:t>
            </w:r>
            <w:r w:rsidRPr="00367A0D">
              <w:rPr>
                <w:color w:val="000000" w:themeColor="text1"/>
                <w:sz w:val="20"/>
                <w:szCs w:val="20"/>
              </w:rPr>
              <w:t>(+7.92%)</w:t>
            </w:r>
          </w:p>
        </w:tc>
      </w:tr>
      <w:tr w:rsidR="007B13BC" w:rsidRPr="00207FF5" w14:paraId="63F9D40D"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4AE1FC0A"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APAS quarterly Payment Pool</w:t>
            </w:r>
          </w:p>
        </w:tc>
        <w:tc>
          <w:tcPr>
            <w:tcW w:w="2693" w:type="dxa"/>
            <w:vAlign w:val="center"/>
          </w:tcPr>
          <w:p w14:paraId="5A8EED43" w14:textId="77777777"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$17.575 million</w:t>
            </w:r>
          </w:p>
        </w:tc>
        <w:tc>
          <w:tcPr>
            <w:tcW w:w="3118" w:type="dxa"/>
            <w:vAlign w:val="center"/>
          </w:tcPr>
          <w:p w14:paraId="4E531282" w14:textId="3BBB9FBF"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$12.150 million</w:t>
            </w:r>
            <w:r w:rsidR="00540091">
              <w:rPr>
                <w:color w:val="000000" w:themeColor="text1"/>
                <w:sz w:val="20"/>
                <w:szCs w:val="20"/>
              </w:rPr>
              <w:t xml:space="preserve"> </w:t>
            </w:r>
            <w:r w:rsidRPr="00367A0D">
              <w:rPr>
                <w:color w:val="000000" w:themeColor="text1"/>
                <w:sz w:val="20"/>
                <w:szCs w:val="20"/>
              </w:rPr>
              <w:t>(–30.87%)</w:t>
            </w:r>
          </w:p>
        </w:tc>
      </w:tr>
      <w:tr w:rsidR="007B13BC" w:rsidRPr="00207FF5" w14:paraId="4AC800CB"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0248D3DD"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CPAMS monthly fee</w:t>
            </w:r>
          </w:p>
        </w:tc>
        <w:tc>
          <w:tcPr>
            <w:tcW w:w="2693" w:type="dxa"/>
            <w:vAlign w:val="center"/>
          </w:tcPr>
          <w:p w14:paraId="3EF4704B" w14:textId="77777777"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$45.00</w:t>
            </w:r>
          </w:p>
        </w:tc>
        <w:tc>
          <w:tcPr>
            <w:tcW w:w="3118" w:type="dxa"/>
            <w:vAlign w:val="center"/>
          </w:tcPr>
          <w:p w14:paraId="7C57AE56" w14:textId="2B5C7F6D"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$47.25</w:t>
            </w:r>
            <w:r w:rsidR="00540091">
              <w:rPr>
                <w:color w:val="000000" w:themeColor="text1"/>
                <w:sz w:val="20"/>
                <w:szCs w:val="20"/>
              </w:rPr>
              <w:t xml:space="preserve"> </w:t>
            </w:r>
            <w:r w:rsidRPr="00367A0D">
              <w:rPr>
                <w:color w:val="000000" w:themeColor="text1"/>
                <w:sz w:val="20"/>
                <w:szCs w:val="20"/>
              </w:rPr>
              <w:t>(+5.00%)</w:t>
            </w:r>
          </w:p>
        </w:tc>
      </w:tr>
      <w:tr w:rsidR="007B13BC" w:rsidRPr="00207FF5" w14:paraId="2729C1D9" w14:textId="77777777" w:rsidTr="00FA79B6">
        <w:tc>
          <w:tcPr>
            <w:cnfStyle w:val="001000000000" w:firstRow="0" w:lastRow="0" w:firstColumn="1" w:lastColumn="0" w:oddVBand="0" w:evenVBand="0" w:oddHBand="0" w:evenHBand="0" w:firstRowFirstColumn="0" w:firstRowLastColumn="0" w:lastRowFirstColumn="0" w:lastRowLastColumn="0"/>
            <w:tcW w:w="3823" w:type="dxa"/>
            <w:vAlign w:val="center"/>
          </w:tcPr>
          <w:p w14:paraId="75D346C8" w14:textId="77777777" w:rsidR="007B13BC" w:rsidRPr="00367A0D" w:rsidRDefault="007B13BC" w:rsidP="00540091">
            <w:pPr>
              <w:pStyle w:val="TableBody"/>
              <w:spacing w:line="240" w:lineRule="auto"/>
              <w:rPr>
                <w:b/>
                <w:color w:val="000000" w:themeColor="text1"/>
                <w:sz w:val="20"/>
                <w:szCs w:val="20"/>
              </w:rPr>
            </w:pPr>
            <w:r w:rsidRPr="00367A0D">
              <w:rPr>
                <w:b/>
                <w:color w:val="000000" w:themeColor="text1"/>
                <w:sz w:val="20"/>
                <w:szCs w:val="20"/>
              </w:rPr>
              <w:t>Immunisation Services Fee</w:t>
            </w:r>
          </w:p>
        </w:tc>
        <w:tc>
          <w:tcPr>
            <w:tcW w:w="2693" w:type="dxa"/>
            <w:vAlign w:val="center"/>
          </w:tcPr>
          <w:p w14:paraId="454F5B18" w14:textId="77777777"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$27.84</w:t>
            </w:r>
          </w:p>
        </w:tc>
        <w:tc>
          <w:tcPr>
            <w:tcW w:w="3118" w:type="dxa"/>
            <w:vAlign w:val="center"/>
          </w:tcPr>
          <w:p w14:paraId="49178A84" w14:textId="5F314E93" w:rsidR="007B13BC" w:rsidRPr="00367A0D" w:rsidRDefault="007B13BC" w:rsidP="00540091">
            <w:pPr>
              <w:pStyle w:val="TableBody"/>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367A0D">
              <w:rPr>
                <w:color w:val="000000" w:themeColor="text1"/>
                <w:sz w:val="20"/>
                <w:szCs w:val="20"/>
              </w:rPr>
              <w:t>$36.05</w:t>
            </w:r>
            <w:r w:rsidR="00540091">
              <w:rPr>
                <w:color w:val="000000" w:themeColor="text1"/>
                <w:sz w:val="20"/>
                <w:szCs w:val="20"/>
              </w:rPr>
              <w:t xml:space="preserve"> </w:t>
            </w:r>
            <w:r w:rsidRPr="00367A0D">
              <w:rPr>
                <w:color w:val="000000" w:themeColor="text1"/>
                <w:sz w:val="20"/>
                <w:szCs w:val="20"/>
              </w:rPr>
              <w:t>(+29.49%)</w:t>
            </w:r>
          </w:p>
        </w:tc>
      </w:tr>
    </w:tbl>
    <w:p w14:paraId="4027B96B" w14:textId="77777777" w:rsidR="00AC5A57" w:rsidRDefault="00AC5A57">
      <w:pPr>
        <w:rPr>
          <w:rStyle w:val="normaltextrun"/>
          <w:rFonts w:eastAsia="Arial"/>
          <w:b/>
          <w:bCs/>
          <w:color w:val="00A3AD"/>
          <w:sz w:val="22"/>
          <w:szCs w:val="22"/>
        </w:rPr>
      </w:pPr>
      <w:r>
        <w:rPr>
          <w:rStyle w:val="normaltextrun"/>
          <w:rFonts w:eastAsia="Arial"/>
          <w:b/>
          <w:bCs/>
          <w:color w:val="00A3AD"/>
          <w:sz w:val="22"/>
          <w:szCs w:val="22"/>
        </w:rPr>
        <w:br w:type="page"/>
      </w:r>
    </w:p>
    <w:p w14:paraId="1FC56127" w14:textId="33EE67EB" w:rsidR="00142967" w:rsidRPr="00B81CC4" w:rsidRDefault="007C61A8" w:rsidP="00B81CC4">
      <w:pPr>
        <w:pStyle w:val="ListParagraph"/>
        <w:numPr>
          <w:ilvl w:val="0"/>
          <w:numId w:val="0"/>
        </w:numPr>
        <w:tabs>
          <w:tab w:val="left" w:pos="357"/>
        </w:tabs>
        <w:spacing w:after="120"/>
        <w:contextualSpacing w:val="0"/>
        <w:rPr>
          <w:sz w:val="22"/>
          <w:szCs w:val="22"/>
        </w:rPr>
      </w:pPr>
      <w:r w:rsidRPr="00B81CC4">
        <w:rPr>
          <w:sz w:val="22"/>
          <w:szCs w:val="22"/>
        </w:rPr>
        <w:lastRenderedPageBreak/>
        <w:t>The predicted effect of these changes on the total service revenue for individual pharmacies is provided below.</w:t>
      </w:r>
    </w:p>
    <w:p w14:paraId="118BA1E0" w14:textId="77777777" w:rsidR="007C61A8" w:rsidRDefault="007C61A8" w:rsidP="00142967">
      <w:pPr>
        <w:spacing w:after="0" w:line="240" w:lineRule="auto"/>
        <w:rPr>
          <w:rStyle w:val="normaltextrun"/>
          <w:rFonts w:eastAsia="Arial"/>
          <w:b/>
          <w:bCs/>
          <w:color w:val="00A3AD"/>
          <w:sz w:val="22"/>
          <w:szCs w:val="22"/>
        </w:rPr>
      </w:pPr>
    </w:p>
    <w:p w14:paraId="437A651A" w14:textId="3C9C4C75" w:rsidR="007B13BC" w:rsidRDefault="007B13BC" w:rsidP="00142967">
      <w:pPr>
        <w:spacing w:after="0" w:line="240" w:lineRule="auto"/>
        <w:rPr>
          <w:rStyle w:val="normaltextrun"/>
          <w:rFonts w:eastAsia="Arial"/>
          <w:b/>
          <w:bCs/>
          <w:color w:val="00A3AD"/>
          <w:sz w:val="22"/>
          <w:szCs w:val="22"/>
        </w:rPr>
      </w:pPr>
      <w:r w:rsidRPr="00142967">
        <w:rPr>
          <w:rStyle w:val="normaltextrun"/>
          <w:rFonts w:eastAsia="Arial"/>
          <w:b/>
          <w:bCs/>
          <w:color w:val="00A3AD"/>
          <w:sz w:val="22"/>
          <w:szCs w:val="22"/>
        </w:rPr>
        <w:t xml:space="preserve">Percentage difference </w:t>
      </w:r>
      <w:r w:rsidR="00E64061">
        <w:rPr>
          <w:rStyle w:val="normaltextrun"/>
          <w:rFonts w:eastAsia="Arial"/>
          <w:b/>
          <w:bCs/>
          <w:color w:val="00A3AD"/>
          <w:sz w:val="22"/>
          <w:szCs w:val="22"/>
        </w:rPr>
        <w:t xml:space="preserve">in total service revenue </w:t>
      </w:r>
      <w:r w:rsidRPr="00142967">
        <w:rPr>
          <w:rStyle w:val="normaltextrun"/>
          <w:rFonts w:eastAsia="Arial"/>
          <w:b/>
          <w:bCs/>
          <w:color w:val="00A3AD"/>
          <w:sz w:val="22"/>
          <w:szCs w:val="22"/>
        </w:rPr>
        <w:t>predicted for individual pharmacies</w:t>
      </w:r>
      <w:r w:rsidR="00A310CB">
        <w:rPr>
          <w:rStyle w:val="normaltextrun"/>
          <w:rFonts w:eastAsia="Arial"/>
          <w:b/>
          <w:bCs/>
          <w:color w:val="00A3AD"/>
          <w:sz w:val="22"/>
          <w:szCs w:val="22"/>
        </w:rPr>
        <w:t xml:space="preserve"> </w:t>
      </w:r>
      <w:r w:rsidRPr="00142967">
        <w:rPr>
          <w:rStyle w:val="normaltextrun"/>
          <w:rFonts w:eastAsia="Arial"/>
          <w:b/>
          <w:bCs/>
          <w:color w:val="00A3AD"/>
          <w:sz w:val="22"/>
          <w:szCs w:val="22"/>
        </w:rPr>
        <w:t>over Variation 4</w:t>
      </w:r>
      <w:r w:rsidR="00A310CB">
        <w:rPr>
          <w:rStyle w:val="normaltextrun"/>
          <w:rFonts w:eastAsia="Arial"/>
          <w:b/>
          <w:bCs/>
          <w:color w:val="00A3AD"/>
          <w:sz w:val="22"/>
          <w:szCs w:val="22"/>
        </w:rPr>
        <w:t xml:space="preserve"> (2022/23)</w:t>
      </w:r>
    </w:p>
    <w:p w14:paraId="0562B01D" w14:textId="77777777" w:rsidR="00142967" w:rsidRPr="00142967" w:rsidRDefault="00142967" w:rsidP="00142967">
      <w:pPr>
        <w:spacing w:after="0" w:line="240" w:lineRule="auto"/>
        <w:rPr>
          <w:rStyle w:val="normaltextrun"/>
          <w:rFonts w:eastAsia="Arial"/>
          <w:color w:val="00A3AD"/>
          <w:sz w:val="10"/>
          <w:szCs w:val="10"/>
        </w:rPr>
      </w:pPr>
    </w:p>
    <w:p w14:paraId="4985814B" w14:textId="77777777" w:rsidR="007B13BC" w:rsidRDefault="007B13BC" w:rsidP="007B13BC">
      <w:r>
        <w:rPr>
          <w:noProof/>
        </w:rPr>
        <w:drawing>
          <wp:inline distT="0" distB="0" distL="0" distR="0" wp14:anchorId="21BDF4D6" wp14:editId="0F668060">
            <wp:extent cx="6120130" cy="4400550"/>
            <wp:effectExtent l="0" t="0" r="13970" b="0"/>
            <wp:docPr id="1" name="Chart 1">
              <a:extLst xmlns:a="http://schemas.openxmlformats.org/drawingml/2006/main">
                <a:ext uri="{FF2B5EF4-FFF2-40B4-BE49-F238E27FC236}">
                  <a16:creationId xmlns:a16="http://schemas.microsoft.com/office/drawing/2014/main" id="{1F605BBA-750C-4340-8389-D1A8C12C6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88F658" w14:textId="362430EB" w:rsidR="003B0EAA" w:rsidRDefault="003B0EAA">
      <w:pPr>
        <w:rPr>
          <w:sz w:val="22"/>
          <w:szCs w:val="22"/>
        </w:rPr>
      </w:pPr>
      <w:r>
        <w:rPr>
          <w:sz w:val="22"/>
          <w:szCs w:val="22"/>
        </w:rPr>
        <w:br w:type="page"/>
      </w:r>
    </w:p>
    <w:p w14:paraId="0452557B" w14:textId="01A04974" w:rsidR="003B0EAA" w:rsidRDefault="003B0EAA" w:rsidP="00540091">
      <w:pPr>
        <w:pStyle w:val="Heading1"/>
      </w:pPr>
      <w:r w:rsidRPr="00993524">
        <w:lastRenderedPageBreak/>
        <w:t>Appendix 2</w:t>
      </w:r>
    </w:p>
    <w:p w14:paraId="7D2E97C4" w14:textId="77777777" w:rsidR="00540091" w:rsidRPr="00D10BA0" w:rsidRDefault="00540091" w:rsidP="00D10BA0"/>
    <w:p w14:paraId="2D5B277D" w14:textId="2267718D" w:rsidR="003B0EAA" w:rsidRPr="00993524" w:rsidRDefault="003B0EAA" w:rsidP="003B0EAA">
      <w:pPr>
        <w:spacing w:after="0" w:line="240" w:lineRule="auto"/>
        <w:rPr>
          <w:b/>
          <w:bCs/>
          <w:color w:val="00A1AC"/>
        </w:rPr>
      </w:pPr>
      <w:r w:rsidRPr="00993524">
        <w:rPr>
          <w:b/>
          <w:bCs/>
          <w:color w:val="00A1AC"/>
        </w:rPr>
        <w:t xml:space="preserve">Methodology for implementing the funding changes </w:t>
      </w:r>
      <w:r w:rsidR="004876CD">
        <w:rPr>
          <w:b/>
          <w:bCs/>
          <w:color w:val="00A1AC"/>
        </w:rPr>
        <w:t xml:space="preserve">for washups and back payments </w:t>
      </w:r>
      <w:r w:rsidRPr="00993524">
        <w:rPr>
          <w:b/>
          <w:bCs/>
          <w:color w:val="00A1AC"/>
        </w:rPr>
        <w:t>under the Integrated Community Pharmacy Services Agreement (ICPSA) Variation 5</w:t>
      </w:r>
    </w:p>
    <w:p w14:paraId="1D06BDEE" w14:textId="77777777" w:rsidR="003B0EAA" w:rsidRPr="00015EC0" w:rsidRDefault="003B0EAA" w:rsidP="003B0EAA">
      <w:pPr>
        <w:spacing w:after="0" w:line="240" w:lineRule="auto"/>
        <w:rPr>
          <w:sz w:val="22"/>
          <w:szCs w:val="22"/>
        </w:rPr>
      </w:pPr>
    </w:p>
    <w:p w14:paraId="7149EC83" w14:textId="71248275" w:rsidR="003B0EAA" w:rsidRPr="00015EC0" w:rsidRDefault="003B0EAA" w:rsidP="003B0EAA">
      <w:pPr>
        <w:spacing w:after="0" w:line="240" w:lineRule="auto"/>
        <w:rPr>
          <w:b/>
          <w:bCs/>
          <w:sz w:val="22"/>
          <w:szCs w:val="22"/>
        </w:rPr>
      </w:pPr>
      <w:r w:rsidRPr="00015EC0">
        <w:rPr>
          <w:b/>
          <w:bCs/>
          <w:sz w:val="22"/>
          <w:szCs w:val="22"/>
        </w:rPr>
        <w:t>General notes</w:t>
      </w:r>
    </w:p>
    <w:p w14:paraId="3C034691" w14:textId="07EA566D" w:rsidR="003B0EAA" w:rsidRPr="00015EC0" w:rsidRDefault="003B0EAA" w:rsidP="00015EC0">
      <w:pPr>
        <w:pStyle w:val="ListParagraph"/>
        <w:numPr>
          <w:ilvl w:val="0"/>
          <w:numId w:val="27"/>
        </w:numPr>
        <w:rPr>
          <w:sz w:val="22"/>
          <w:szCs w:val="22"/>
        </w:rPr>
      </w:pPr>
      <w:r w:rsidRPr="00015EC0">
        <w:rPr>
          <w:sz w:val="22"/>
          <w:szCs w:val="22"/>
        </w:rPr>
        <w:t>To ensure all valid dispensing is included</w:t>
      </w:r>
      <w:r w:rsidR="00604526">
        <w:rPr>
          <w:sz w:val="22"/>
          <w:szCs w:val="22"/>
        </w:rPr>
        <w:t xml:space="preserve"> for washups and back payments</w:t>
      </w:r>
      <w:r w:rsidRPr="00015EC0">
        <w:rPr>
          <w:sz w:val="22"/>
          <w:szCs w:val="22"/>
        </w:rPr>
        <w:t>, calculations will not be performed until at least mid-</w:t>
      </w:r>
      <w:r w:rsidR="00837CB8">
        <w:rPr>
          <w:sz w:val="22"/>
          <w:szCs w:val="22"/>
        </w:rPr>
        <w:t>December</w:t>
      </w:r>
      <w:r w:rsidR="00837CB8" w:rsidRPr="00015EC0">
        <w:rPr>
          <w:sz w:val="22"/>
          <w:szCs w:val="22"/>
        </w:rPr>
        <w:t xml:space="preserve"> </w:t>
      </w:r>
      <w:r w:rsidRPr="00015EC0">
        <w:rPr>
          <w:sz w:val="22"/>
          <w:szCs w:val="22"/>
        </w:rPr>
        <w:t xml:space="preserve">with </w:t>
      </w:r>
      <w:r w:rsidR="00E46D9A">
        <w:rPr>
          <w:sz w:val="22"/>
          <w:szCs w:val="22"/>
        </w:rPr>
        <w:t xml:space="preserve">most of </w:t>
      </w:r>
      <w:r w:rsidR="00604526">
        <w:rPr>
          <w:sz w:val="22"/>
          <w:szCs w:val="22"/>
        </w:rPr>
        <w:t xml:space="preserve">these </w:t>
      </w:r>
      <w:r w:rsidRPr="00015EC0">
        <w:rPr>
          <w:sz w:val="22"/>
          <w:szCs w:val="22"/>
        </w:rPr>
        <w:t>payment</w:t>
      </w:r>
      <w:r w:rsidR="00604526">
        <w:rPr>
          <w:sz w:val="22"/>
          <w:szCs w:val="22"/>
        </w:rPr>
        <w:t>s</w:t>
      </w:r>
      <w:r w:rsidRPr="00015EC0">
        <w:rPr>
          <w:sz w:val="22"/>
          <w:szCs w:val="22"/>
        </w:rPr>
        <w:t xml:space="preserve"> scheduled for </w:t>
      </w:r>
      <w:r w:rsidR="00837CB8">
        <w:rPr>
          <w:sz w:val="22"/>
          <w:szCs w:val="22"/>
        </w:rPr>
        <w:t>April</w:t>
      </w:r>
      <w:r w:rsidRPr="00015EC0">
        <w:rPr>
          <w:sz w:val="22"/>
          <w:szCs w:val="22"/>
        </w:rPr>
        <w:t xml:space="preserve"> 2024.</w:t>
      </w:r>
    </w:p>
    <w:p w14:paraId="64B6EE95" w14:textId="3298585B" w:rsidR="003B0EAA" w:rsidRPr="00015EC0" w:rsidRDefault="003B0EAA" w:rsidP="00015EC0">
      <w:pPr>
        <w:pStyle w:val="ListParagraph"/>
        <w:numPr>
          <w:ilvl w:val="0"/>
          <w:numId w:val="27"/>
        </w:numPr>
        <w:rPr>
          <w:sz w:val="22"/>
          <w:szCs w:val="22"/>
        </w:rPr>
      </w:pPr>
      <w:r w:rsidRPr="00015EC0">
        <w:rPr>
          <w:sz w:val="22"/>
          <w:szCs w:val="22"/>
        </w:rPr>
        <w:t xml:space="preserve">Sector Operations will only include claims that have been approved on or prior to </w:t>
      </w:r>
      <w:r w:rsidRPr="00CE29BD">
        <w:rPr>
          <w:b/>
          <w:bCs/>
          <w:sz w:val="22"/>
          <w:szCs w:val="22"/>
        </w:rPr>
        <w:t>3</w:t>
      </w:r>
      <w:r w:rsidR="00837CB8" w:rsidRPr="00CE29BD">
        <w:rPr>
          <w:b/>
          <w:bCs/>
          <w:sz w:val="22"/>
          <w:szCs w:val="22"/>
        </w:rPr>
        <w:t>0</w:t>
      </w:r>
      <w:r w:rsidR="00CE29BD">
        <w:rPr>
          <w:b/>
          <w:bCs/>
          <w:sz w:val="22"/>
          <w:szCs w:val="22"/>
        </w:rPr>
        <w:t> </w:t>
      </w:r>
      <w:r w:rsidR="00837CB8" w:rsidRPr="00CE29BD">
        <w:rPr>
          <w:b/>
          <w:bCs/>
          <w:sz w:val="22"/>
          <w:szCs w:val="22"/>
        </w:rPr>
        <w:t>November</w:t>
      </w:r>
      <w:r w:rsidRPr="00CE29BD">
        <w:rPr>
          <w:b/>
          <w:bCs/>
          <w:sz w:val="22"/>
          <w:szCs w:val="22"/>
        </w:rPr>
        <w:t xml:space="preserve"> 2023</w:t>
      </w:r>
      <w:r w:rsidRPr="00015EC0">
        <w:rPr>
          <w:sz w:val="22"/>
          <w:szCs w:val="22"/>
        </w:rPr>
        <w:t>.</w:t>
      </w:r>
    </w:p>
    <w:p w14:paraId="58EBB606" w14:textId="3221E4CC" w:rsidR="003B0EAA" w:rsidRPr="00015EC0" w:rsidRDefault="003B0EAA" w:rsidP="00015EC0">
      <w:pPr>
        <w:pStyle w:val="ListParagraph"/>
        <w:numPr>
          <w:ilvl w:val="0"/>
          <w:numId w:val="27"/>
        </w:numPr>
        <w:rPr>
          <w:sz w:val="22"/>
          <w:szCs w:val="22"/>
        </w:rPr>
      </w:pPr>
      <w:r w:rsidRPr="00015EC0">
        <w:rPr>
          <w:sz w:val="22"/>
          <w:szCs w:val="22"/>
        </w:rPr>
        <w:t xml:space="preserve">As set out in the letter of offer, Variation 5 will take effect on either 1 July 2023 or 1 October 2023, depending on whether </w:t>
      </w:r>
      <w:r w:rsidR="003E756E">
        <w:rPr>
          <w:sz w:val="22"/>
          <w:szCs w:val="22"/>
        </w:rPr>
        <w:t xml:space="preserve">or not </w:t>
      </w:r>
      <w:r w:rsidRPr="00015EC0">
        <w:rPr>
          <w:sz w:val="22"/>
          <w:szCs w:val="22"/>
        </w:rPr>
        <w:t xml:space="preserve">all ICPSA providers agree to the variation.  Because the acceptance date for Variation 5 is </w:t>
      </w:r>
      <w:r w:rsidR="00837CB8">
        <w:rPr>
          <w:sz w:val="22"/>
          <w:szCs w:val="22"/>
        </w:rPr>
        <w:t>20 November</w:t>
      </w:r>
      <w:r w:rsidRPr="001529A6">
        <w:rPr>
          <w:sz w:val="22"/>
          <w:szCs w:val="22"/>
        </w:rPr>
        <w:t xml:space="preserve"> 2023</w:t>
      </w:r>
      <w:r w:rsidRPr="00833DA8">
        <w:rPr>
          <w:sz w:val="22"/>
          <w:szCs w:val="22"/>
        </w:rPr>
        <w:t>,</w:t>
      </w:r>
      <w:r w:rsidRPr="00015EC0">
        <w:rPr>
          <w:sz w:val="22"/>
          <w:szCs w:val="22"/>
        </w:rPr>
        <w:t xml:space="preserve"> there will need to be some washups and back payments in respect of the Funding Changes describe</w:t>
      </w:r>
      <w:r w:rsidR="00DC1B17">
        <w:rPr>
          <w:sz w:val="22"/>
          <w:szCs w:val="22"/>
        </w:rPr>
        <w:t>d</w:t>
      </w:r>
      <w:r w:rsidRPr="00015EC0">
        <w:rPr>
          <w:sz w:val="22"/>
          <w:szCs w:val="22"/>
        </w:rPr>
        <w:t xml:space="preserve"> in the agreement.  These are described below.    </w:t>
      </w:r>
    </w:p>
    <w:p w14:paraId="65B2F399" w14:textId="7B3694A1" w:rsidR="003B0EAA" w:rsidRPr="00015EC0" w:rsidRDefault="003B0EAA" w:rsidP="00015EC0">
      <w:pPr>
        <w:pStyle w:val="ListParagraph"/>
        <w:numPr>
          <w:ilvl w:val="0"/>
          <w:numId w:val="27"/>
        </w:numPr>
        <w:rPr>
          <w:sz w:val="22"/>
          <w:szCs w:val="22"/>
        </w:rPr>
      </w:pPr>
      <w:r w:rsidRPr="00015EC0">
        <w:rPr>
          <w:sz w:val="22"/>
          <w:szCs w:val="22"/>
        </w:rPr>
        <w:t>The Immunisation Administration Fees back payments will be backdated to 1 July 2023 regardless of the contract year changing or not.</w:t>
      </w:r>
    </w:p>
    <w:p w14:paraId="1D38123F" w14:textId="77777777" w:rsidR="003B0EAA" w:rsidRPr="00015EC0" w:rsidRDefault="003B0EAA" w:rsidP="003B0EAA">
      <w:pPr>
        <w:spacing w:after="0" w:line="240" w:lineRule="auto"/>
        <w:rPr>
          <w:sz w:val="22"/>
          <w:szCs w:val="22"/>
        </w:rPr>
      </w:pPr>
    </w:p>
    <w:p w14:paraId="0B20B050" w14:textId="77777777"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Handling Fee</w:t>
      </w:r>
    </w:p>
    <w:p w14:paraId="0018B419" w14:textId="1E365034" w:rsidR="003B0EAA" w:rsidRPr="00015EC0" w:rsidRDefault="003B0EAA" w:rsidP="003B0EAA">
      <w:pPr>
        <w:spacing w:after="0" w:line="240" w:lineRule="auto"/>
        <w:ind w:left="360"/>
        <w:rPr>
          <w:sz w:val="22"/>
          <w:szCs w:val="22"/>
        </w:rPr>
      </w:pPr>
      <w:r w:rsidRPr="00015EC0">
        <w:rPr>
          <w:sz w:val="22"/>
          <w:szCs w:val="22"/>
        </w:rPr>
        <w:t>Sector Operations will run a query over the payments processing system for the period (eg, 1</w:t>
      </w:r>
      <w:r w:rsidR="00AF1283" w:rsidRPr="003F1847">
        <w:rPr>
          <w:color w:val="000000" w:themeColor="text1"/>
          <w:sz w:val="20"/>
          <w:szCs w:val="20"/>
        </w:rPr>
        <w:t> </w:t>
      </w:r>
      <w:r w:rsidRPr="00015EC0">
        <w:rPr>
          <w:sz w:val="22"/>
          <w:szCs w:val="22"/>
        </w:rPr>
        <w:t xml:space="preserve">July 2023 to </w:t>
      </w:r>
      <w:r w:rsidR="00837CB8">
        <w:rPr>
          <w:sz w:val="22"/>
          <w:szCs w:val="22"/>
        </w:rPr>
        <w:t>30 November</w:t>
      </w:r>
      <w:r w:rsidRPr="00015EC0">
        <w:rPr>
          <w:sz w:val="22"/>
          <w:szCs w:val="22"/>
        </w:rPr>
        <w:t xml:space="preserve"> 2023) for all dispensing activity for each individual pharmacy for payments made.</w:t>
      </w:r>
    </w:p>
    <w:p w14:paraId="4EC1DE0D" w14:textId="77777777" w:rsidR="003B0EAA" w:rsidRPr="00015EC0" w:rsidRDefault="003B0EAA" w:rsidP="003B0EAA">
      <w:pPr>
        <w:spacing w:after="0" w:line="240" w:lineRule="auto"/>
        <w:ind w:left="360"/>
        <w:rPr>
          <w:sz w:val="22"/>
          <w:szCs w:val="22"/>
        </w:rPr>
      </w:pPr>
    </w:p>
    <w:p w14:paraId="7E7070B0" w14:textId="78D85A0B" w:rsidR="003B0EAA" w:rsidRPr="00015EC0" w:rsidRDefault="003B0EAA" w:rsidP="003B0EAA">
      <w:pPr>
        <w:pStyle w:val="ListParagraph"/>
        <w:numPr>
          <w:ilvl w:val="0"/>
          <w:numId w:val="25"/>
        </w:numPr>
        <w:ind w:left="717"/>
        <w:rPr>
          <w:sz w:val="22"/>
          <w:szCs w:val="22"/>
        </w:rPr>
      </w:pPr>
      <w:r w:rsidRPr="00015EC0">
        <w:rPr>
          <w:sz w:val="22"/>
          <w:szCs w:val="22"/>
        </w:rPr>
        <w:t xml:space="preserve">Identify all Pharmacy Items that have been accepted for payment with a dispensing date between 1 July 2023 and </w:t>
      </w:r>
      <w:r w:rsidR="00837CB8">
        <w:rPr>
          <w:sz w:val="22"/>
          <w:szCs w:val="22"/>
        </w:rPr>
        <w:t>30 November</w:t>
      </w:r>
      <w:r w:rsidRPr="00015EC0">
        <w:rPr>
          <w:sz w:val="22"/>
          <w:szCs w:val="22"/>
        </w:rPr>
        <w:t xml:space="preserve"> 2023 inclusive.</w:t>
      </w:r>
    </w:p>
    <w:p w14:paraId="3AA000DB" w14:textId="77777777" w:rsidR="003B0EAA" w:rsidRPr="00015EC0" w:rsidRDefault="003B0EAA" w:rsidP="003B0EAA">
      <w:pPr>
        <w:pStyle w:val="ListParagraph"/>
        <w:numPr>
          <w:ilvl w:val="0"/>
          <w:numId w:val="25"/>
        </w:numPr>
        <w:ind w:left="717"/>
        <w:rPr>
          <w:sz w:val="22"/>
          <w:szCs w:val="22"/>
        </w:rPr>
      </w:pPr>
      <w:r w:rsidRPr="00015EC0">
        <w:rPr>
          <w:sz w:val="22"/>
          <w:szCs w:val="22"/>
        </w:rPr>
        <w:t>Calculate the difference in Handling Fees between what should have been paid (new) and what has been paid (current).</w:t>
      </w:r>
    </w:p>
    <w:p w14:paraId="274DA136" w14:textId="77777777" w:rsidR="003B0EAA" w:rsidRPr="00015EC0" w:rsidRDefault="003B0EAA" w:rsidP="003B0EAA">
      <w:pPr>
        <w:pStyle w:val="ListParagraph"/>
        <w:numPr>
          <w:ilvl w:val="0"/>
          <w:numId w:val="25"/>
        </w:numPr>
        <w:ind w:left="717"/>
        <w:rPr>
          <w:sz w:val="22"/>
          <w:szCs w:val="22"/>
        </w:rPr>
      </w:pPr>
      <w:r w:rsidRPr="00015EC0">
        <w:rPr>
          <w:sz w:val="22"/>
          <w:szCs w:val="22"/>
        </w:rPr>
        <w:t>Group total amount payable by approval month for each Pharmacy</w:t>
      </w:r>
    </w:p>
    <w:p w14:paraId="682E4B50" w14:textId="77777777" w:rsidR="003B0EAA" w:rsidRDefault="003B0EAA" w:rsidP="003B0EAA">
      <w:pPr>
        <w:spacing w:after="0" w:line="240" w:lineRule="auto"/>
        <w:ind w:left="360"/>
      </w:pPr>
    </w:p>
    <w:tbl>
      <w:tblPr>
        <w:tblStyle w:val="TableGrid"/>
        <w:tblW w:w="8723" w:type="dxa"/>
        <w:tblInd w:w="360"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333"/>
        <w:gridCol w:w="2494"/>
        <w:gridCol w:w="316"/>
        <w:gridCol w:w="2438"/>
        <w:gridCol w:w="316"/>
        <w:gridCol w:w="717"/>
      </w:tblGrid>
      <w:tr w:rsidR="003B0EAA" w:rsidRPr="00FD732F" w14:paraId="11ED97F3" w14:textId="77777777" w:rsidTr="00903DE4">
        <w:tc>
          <w:tcPr>
            <w:tcW w:w="2109" w:type="dxa"/>
            <w:tcBorders>
              <w:top w:val="single" w:sz="4" w:space="0" w:color="auto"/>
              <w:right w:val="single" w:sz="4" w:space="0" w:color="auto"/>
            </w:tcBorders>
          </w:tcPr>
          <w:p w14:paraId="530C2CD4" w14:textId="77777777" w:rsidR="003B0EAA" w:rsidRPr="00FD732F" w:rsidRDefault="003B0EAA" w:rsidP="006970B0">
            <w:pPr>
              <w:rPr>
                <w:sz w:val="20"/>
                <w:szCs w:val="20"/>
              </w:rPr>
            </w:pPr>
            <w:r w:rsidRPr="00FD732F">
              <w:rPr>
                <w:sz w:val="20"/>
                <w:szCs w:val="20"/>
              </w:rPr>
              <w:t>Difference in Handling Fee</w:t>
            </w:r>
          </w:p>
        </w:tc>
        <w:tc>
          <w:tcPr>
            <w:tcW w:w="333" w:type="dxa"/>
            <w:tcBorders>
              <w:top w:val="single" w:sz="4" w:space="0" w:color="auto"/>
              <w:left w:val="single" w:sz="4" w:space="0" w:color="auto"/>
            </w:tcBorders>
          </w:tcPr>
          <w:p w14:paraId="1520A905" w14:textId="77777777" w:rsidR="003B0EAA" w:rsidRPr="00FD732F" w:rsidRDefault="003B0EAA" w:rsidP="006970B0">
            <w:pPr>
              <w:jc w:val="center"/>
              <w:rPr>
                <w:sz w:val="20"/>
                <w:szCs w:val="20"/>
              </w:rPr>
            </w:pPr>
            <w:r w:rsidRPr="00FD732F">
              <w:rPr>
                <w:sz w:val="20"/>
                <w:szCs w:val="20"/>
              </w:rPr>
              <w:t>=</w:t>
            </w:r>
          </w:p>
        </w:tc>
        <w:tc>
          <w:tcPr>
            <w:tcW w:w="2494" w:type="dxa"/>
            <w:tcBorders>
              <w:top w:val="single" w:sz="4" w:space="0" w:color="auto"/>
              <w:right w:val="single" w:sz="4" w:space="0" w:color="auto"/>
            </w:tcBorders>
          </w:tcPr>
          <w:p w14:paraId="2100DCCA" w14:textId="77777777" w:rsidR="003B0EAA" w:rsidRPr="00FD732F" w:rsidRDefault="003B0EAA" w:rsidP="006970B0">
            <w:pPr>
              <w:rPr>
                <w:sz w:val="20"/>
                <w:szCs w:val="20"/>
              </w:rPr>
            </w:pPr>
            <w:r w:rsidRPr="293B2C55">
              <w:rPr>
                <w:sz w:val="20"/>
                <w:szCs w:val="20"/>
              </w:rPr>
              <w:t>New (Variation 5) Handling Fee</w:t>
            </w:r>
          </w:p>
          <w:p w14:paraId="3922FF29" w14:textId="77777777" w:rsidR="003B0EAA" w:rsidRPr="00FD732F" w:rsidRDefault="003B0EAA" w:rsidP="006970B0">
            <w:pPr>
              <w:rPr>
                <w:sz w:val="20"/>
                <w:szCs w:val="20"/>
              </w:rPr>
            </w:pPr>
          </w:p>
        </w:tc>
        <w:tc>
          <w:tcPr>
            <w:tcW w:w="316" w:type="dxa"/>
            <w:tcBorders>
              <w:top w:val="single" w:sz="4" w:space="0" w:color="auto"/>
              <w:left w:val="single" w:sz="4" w:space="0" w:color="auto"/>
            </w:tcBorders>
          </w:tcPr>
          <w:p w14:paraId="0EA39034" w14:textId="77777777" w:rsidR="003B0EAA" w:rsidRPr="00FD732F" w:rsidRDefault="003B0EAA" w:rsidP="006970B0">
            <w:pPr>
              <w:jc w:val="center"/>
              <w:rPr>
                <w:sz w:val="20"/>
                <w:szCs w:val="20"/>
              </w:rPr>
            </w:pPr>
            <w:r w:rsidRPr="00FD732F">
              <w:rPr>
                <w:sz w:val="20"/>
                <w:szCs w:val="20"/>
              </w:rPr>
              <w:t>-</w:t>
            </w:r>
          </w:p>
        </w:tc>
        <w:tc>
          <w:tcPr>
            <w:tcW w:w="2438" w:type="dxa"/>
            <w:tcBorders>
              <w:top w:val="single" w:sz="4" w:space="0" w:color="auto"/>
              <w:right w:val="single" w:sz="4" w:space="0" w:color="auto"/>
            </w:tcBorders>
          </w:tcPr>
          <w:p w14:paraId="33DFD93B" w14:textId="77777777" w:rsidR="003B0EAA" w:rsidRPr="00FD732F" w:rsidRDefault="003B0EAA" w:rsidP="006970B0">
            <w:pPr>
              <w:rPr>
                <w:sz w:val="20"/>
                <w:szCs w:val="20"/>
              </w:rPr>
            </w:pPr>
            <w:r w:rsidRPr="00FD732F">
              <w:rPr>
                <w:sz w:val="20"/>
                <w:szCs w:val="20"/>
              </w:rPr>
              <w:t>Old (Variation 3 or 4) Handling Fee</w:t>
            </w:r>
          </w:p>
          <w:p w14:paraId="2D9D8B12" w14:textId="77777777" w:rsidR="003B0EAA" w:rsidRPr="00FD732F" w:rsidRDefault="003B0EAA" w:rsidP="006970B0">
            <w:pPr>
              <w:rPr>
                <w:sz w:val="20"/>
                <w:szCs w:val="20"/>
              </w:rPr>
            </w:pPr>
          </w:p>
        </w:tc>
        <w:tc>
          <w:tcPr>
            <w:tcW w:w="316" w:type="dxa"/>
            <w:tcBorders>
              <w:top w:val="single" w:sz="4" w:space="0" w:color="auto"/>
              <w:left w:val="single" w:sz="4" w:space="0" w:color="auto"/>
            </w:tcBorders>
          </w:tcPr>
          <w:p w14:paraId="0FECF4D4" w14:textId="77777777" w:rsidR="003B0EAA" w:rsidRPr="00FD732F" w:rsidRDefault="003B0EAA" w:rsidP="006970B0">
            <w:pPr>
              <w:rPr>
                <w:sz w:val="20"/>
                <w:szCs w:val="20"/>
              </w:rPr>
            </w:pPr>
          </w:p>
        </w:tc>
        <w:tc>
          <w:tcPr>
            <w:tcW w:w="717" w:type="dxa"/>
            <w:tcBorders>
              <w:top w:val="single" w:sz="4" w:space="0" w:color="auto"/>
              <w:right w:val="single" w:sz="4" w:space="0" w:color="auto"/>
            </w:tcBorders>
          </w:tcPr>
          <w:p w14:paraId="107920D7" w14:textId="77777777" w:rsidR="003B0EAA" w:rsidRPr="00FD732F" w:rsidRDefault="003B0EAA" w:rsidP="006970B0">
            <w:pPr>
              <w:rPr>
                <w:sz w:val="20"/>
                <w:szCs w:val="20"/>
              </w:rPr>
            </w:pPr>
          </w:p>
        </w:tc>
      </w:tr>
      <w:tr w:rsidR="003B0EAA" w:rsidRPr="00FD732F" w14:paraId="67E261C6" w14:textId="77777777" w:rsidTr="00903DE4">
        <w:tc>
          <w:tcPr>
            <w:tcW w:w="2109" w:type="dxa"/>
            <w:tcBorders>
              <w:right w:val="single" w:sz="4" w:space="0" w:color="auto"/>
            </w:tcBorders>
          </w:tcPr>
          <w:p w14:paraId="62EAEF76" w14:textId="77777777" w:rsidR="003B0EAA" w:rsidRPr="00FD732F" w:rsidRDefault="003B0EAA" w:rsidP="006970B0">
            <w:pPr>
              <w:rPr>
                <w:sz w:val="20"/>
                <w:szCs w:val="20"/>
              </w:rPr>
            </w:pPr>
          </w:p>
        </w:tc>
        <w:tc>
          <w:tcPr>
            <w:tcW w:w="333" w:type="dxa"/>
            <w:tcBorders>
              <w:left w:val="single" w:sz="4" w:space="0" w:color="auto"/>
            </w:tcBorders>
          </w:tcPr>
          <w:p w14:paraId="69F165D2" w14:textId="77777777" w:rsidR="003B0EAA" w:rsidRPr="00FD732F" w:rsidRDefault="003B0EAA" w:rsidP="006970B0">
            <w:pPr>
              <w:jc w:val="center"/>
              <w:rPr>
                <w:sz w:val="20"/>
                <w:szCs w:val="20"/>
              </w:rPr>
            </w:pPr>
            <w:r w:rsidRPr="00FD732F">
              <w:rPr>
                <w:sz w:val="20"/>
                <w:szCs w:val="20"/>
              </w:rPr>
              <w:t>=</w:t>
            </w:r>
          </w:p>
        </w:tc>
        <w:tc>
          <w:tcPr>
            <w:tcW w:w="2494" w:type="dxa"/>
            <w:tcBorders>
              <w:right w:val="single" w:sz="4" w:space="0" w:color="auto"/>
            </w:tcBorders>
          </w:tcPr>
          <w:p w14:paraId="6CDC0EF7" w14:textId="77777777" w:rsidR="003B0EAA" w:rsidRPr="00FD732F" w:rsidRDefault="003B0EAA" w:rsidP="006970B0">
            <w:pPr>
              <w:rPr>
                <w:sz w:val="20"/>
                <w:szCs w:val="20"/>
              </w:rPr>
            </w:pPr>
            <w:r w:rsidRPr="00FD732F">
              <w:rPr>
                <w:sz w:val="20"/>
                <w:szCs w:val="20"/>
              </w:rPr>
              <w:t>$1.</w:t>
            </w:r>
            <w:r>
              <w:rPr>
                <w:sz w:val="20"/>
                <w:szCs w:val="20"/>
              </w:rPr>
              <w:t>13</w:t>
            </w:r>
          </w:p>
        </w:tc>
        <w:tc>
          <w:tcPr>
            <w:tcW w:w="316" w:type="dxa"/>
            <w:tcBorders>
              <w:left w:val="single" w:sz="4" w:space="0" w:color="auto"/>
            </w:tcBorders>
          </w:tcPr>
          <w:p w14:paraId="5137063A" w14:textId="77777777" w:rsidR="003B0EAA" w:rsidRPr="00FD732F" w:rsidRDefault="003B0EAA" w:rsidP="006970B0">
            <w:pPr>
              <w:jc w:val="center"/>
              <w:rPr>
                <w:sz w:val="20"/>
                <w:szCs w:val="20"/>
              </w:rPr>
            </w:pPr>
          </w:p>
        </w:tc>
        <w:tc>
          <w:tcPr>
            <w:tcW w:w="2438" w:type="dxa"/>
            <w:tcBorders>
              <w:right w:val="single" w:sz="4" w:space="0" w:color="auto"/>
            </w:tcBorders>
          </w:tcPr>
          <w:p w14:paraId="46F6B982" w14:textId="77777777" w:rsidR="003B0EAA" w:rsidRPr="00FD732F" w:rsidRDefault="003B0EAA" w:rsidP="006970B0">
            <w:pPr>
              <w:rPr>
                <w:sz w:val="20"/>
                <w:szCs w:val="20"/>
              </w:rPr>
            </w:pPr>
            <w:r w:rsidRPr="00FD732F">
              <w:rPr>
                <w:sz w:val="20"/>
                <w:szCs w:val="20"/>
              </w:rPr>
              <w:t>$1.</w:t>
            </w:r>
            <w:r>
              <w:rPr>
                <w:sz w:val="20"/>
                <w:szCs w:val="20"/>
              </w:rPr>
              <w:t>01</w:t>
            </w:r>
          </w:p>
        </w:tc>
        <w:tc>
          <w:tcPr>
            <w:tcW w:w="316" w:type="dxa"/>
            <w:tcBorders>
              <w:left w:val="single" w:sz="4" w:space="0" w:color="auto"/>
            </w:tcBorders>
          </w:tcPr>
          <w:p w14:paraId="02379349" w14:textId="77777777" w:rsidR="003B0EAA" w:rsidRPr="00FD732F" w:rsidRDefault="003B0EAA" w:rsidP="006970B0">
            <w:pPr>
              <w:rPr>
                <w:sz w:val="20"/>
                <w:szCs w:val="20"/>
              </w:rPr>
            </w:pPr>
          </w:p>
        </w:tc>
        <w:tc>
          <w:tcPr>
            <w:tcW w:w="717" w:type="dxa"/>
            <w:tcBorders>
              <w:right w:val="single" w:sz="4" w:space="0" w:color="auto"/>
            </w:tcBorders>
          </w:tcPr>
          <w:p w14:paraId="291A0FF1" w14:textId="77777777" w:rsidR="003B0EAA" w:rsidRPr="00FD732F" w:rsidRDefault="003B0EAA" w:rsidP="006970B0">
            <w:pPr>
              <w:rPr>
                <w:sz w:val="20"/>
                <w:szCs w:val="20"/>
              </w:rPr>
            </w:pPr>
          </w:p>
        </w:tc>
      </w:tr>
      <w:tr w:rsidR="003B0EAA" w:rsidRPr="00FD732F" w14:paraId="406F74DD" w14:textId="77777777" w:rsidTr="00903DE4">
        <w:tc>
          <w:tcPr>
            <w:tcW w:w="2109" w:type="dxa"/>
            <w:tcBorders>
              <w:bottom w:val="nil"/>
              <w:right w:val="single" w:sz="4" w:space="0" w:color="auto"/>
            </w:tcBorders>
          </w:tcPr>
          <w:p w14:paraId="72CDD5DF" w14:textId="77777777" w:rsidR="003B0EAA" w:rsidRPr="00FD732F" w:rsidRDefault="003B0EAA" w:rsidP="006970B0">
            <w:pPr>
              <w:rPr>
                <w:sz w:val="20"/>
                <w:szCs w:val="20"/>
              </w:rPr>
            </w:pPr>
          </w:p>
        </w:tc>
        <w:tc>
          <w:tcPr>
            <w:tcW w:w="333" w:type="dxa"/>
            <w:tcBorders>
              <w:left w:val="single" w:sz="4" w:space="0" w:color="auto"/>
              <w:bottom w:val="nil"/>
            </w:tcBorders>
          </w:tcPr>
          <w:p w14:paraId="5D92D042" w14:textId="77777777" w:rsidR="003B0EAA" w:rsidRPr="00FD732F" w:rsidRDefault="003B0EAA" w:rsidP="006970B0">
            <w:pPr>
              <w:jc w:val="center"/>
              <w:rPr>
                <w:sz w:val="20"/>
                <w:szCs w:val="20"/>
              </w:rPr>
            </w:pPr>
            <w:r w:rsidRPr="00FD732F">
              <w:rPr>
                <w:sz w:val="20"/>
                <w:szCs w:val="20"/>
              </w:rPr>
              <w:t>=</w:t>
            </w:r>
          </w:p>
        </w:tc>
        <w:tc>
          <w:tcPr>
            <w:tcW w:w="2494" w:type="dxa"/>
            <w:tcBorders>
              <w:bottom w:val="nil"/>
              <w:right w:val="single" w:sz="4" w:space="0" w:color="auto"/>
            </w:tcBorders>
          </w:tcPr>
          <w:p w14:paraId="644C64BE" w14:textId="77777777" w:rsidR="003B0EAA" w:rsidRPr="00FD732F" w:rsidRDefault="003B0EAA" w:rsidP="006970B0">
            <w:pPr>
              <w:rPr>
                <w:sz w:val="20"/>
                <w:szCs w:val="20"/>
              </w:rPr>
            </w:pPr>
            <w:r w:rsidRPr="1624D793">
              <w:rPr>
                <w:sz w:val="20"/>
                <w:szCs w:val="20"/>
              </w:rPr>
              <w:t>$0.12</w:t>
            </w:r>
          </w:p>
        </w:tc>
        <w:tc>
          <w:tcPr>
            <w:tcW w:w="316" w:type="dxa"/>
            <w:tcBorders>
              <w:left w:val="single" w:sz="4" w:space="0" w:color="auto"/>
              <w:bottom w:val="nil"/>
            </w:tcBorders>
          </w:tcPr>
          <w:p w14:paraId="61C1B506" w14:textId="77777777" w:rsidR="003B0EAA" w:rsidRPr="00FD732F" w:rsidRDefault="003B0EAA" w:rsidP="006970B0">
            <w:pPr>
              <w:jc w:val="center"/>
              <w:rPr>
                <w:sz w:val="20"/>
                <w:szCs w:val="20"/>
              </w:rPr>
            </w:pPr>
          </w:p>
        </w:tc>
        <w:tc>
          <w:tcPr>
            <w:tcW w:w="2438" w:type="dxa"/>
            <w:tcBorders>
              <w:bottom w:val="nil"/>
              <w:right w:val="single" w:sz="4" w:space="0" w:color="auto"/>
            </w:tcBorders>
          </w:tcPr>
          <w:p w14:paraId="5F4A8583" w14:textId="77777777" w:rsidR="003B0EAA" w:rsidRPr="00FD732F" w:rsidRDefault="003B0EAA" w:rsidP="006970B0">
            <w:pPr>
              <w:rPr>
                <w:sz w:val="20"/>
                <w:szCs w:val="20"/>
              </w:rPr>
            </w:pPr>
          </w:p>
        </w:tc>
        <w:tc>
          <w:tcPr>
            <w:tcW w:w="316" w:type="dxa"/>
            <w:tcBorders>
              <w:left w:val="single" w:sz="4" w:space="0" w:color="auto"/>
              <w:bottom w:val="nil"/>
            </w:tcBorders>
          </w:tcPr>
          <w:p w14:paraId="48F0E6BA" w14:textId="77777777" w:rsidR="003B0EAA" w:rsidRPr="00FD732F" w:rsidRDefault="003B0EAA" w:rsidP="006970B0">
            <w:pPr>
              <w:rPr>
                <w:sz w:val="20"/>
                <w:szCs w:val="20"/>
              </w:rPr>
            </w:pPr>
          </w:p>
        </w:tc>
        <w:tc>
          <w:tcPr>
            <w:tcW w:w="717" w:type="dxa"/>
            <w:tcBorders>
              <w:bottom w:val="nil"/>
              <w:right w:val="single" w:sz="4" w:space="0" w:color="auto"/>
            </w:tcBorders>
          </w:tcPr>
          <w:p w14:paraId="5CD05C3D" w14:textId="77777777" w:rsidR="003B0EAA" w:rsidRPr="00FD732F" w:rsidRDefault="003B0EAA" w:rsidP="006970B0">
            <w:pPr>
              <w:rPr>
                <w:sz w:val="20"/>
                <w:szCs w:val="20"/>
              </w:rPr>
            </w:pPr>
          </w:p>
        </w:tc>
      </w:tr>
      <w:tr w:rsidR="003B0EAA" w:rsidRPr="00FD732F" w14:paraId="1C2A971D" w14:textId="77777777" w:rsidTr="00903DE4">
        <w:tc>
          <w:tcPr>
            <w:tcW w:w="2109" w:type="dxa"/>
            <w:tcBorders>
              <w:bottom w:val="single" w:sz="4" w:space="0" w:color="auto"/>
              <w:right w:val="single" w:sz="4" w:space="0" w:color="auto"/>
            </w:tcBorders>
          </w:tcPr>
          <w:p w14:paraId="0EE320EC" w14:textId="77777777" w:rsidR="003B0EAA" w:rsidRPr="00FD732F" w:rsidRDefault="003B0EAA" w:rsidP="006970B0">
            <w:pPr>
              <w:rPr>
                <w:sz w:val="20"/>
                <w:szCs w:val="20"/>
              </w:rPr>
            </w:pPr>
          </w:p>
        </w:tc>
        <w:tc>
          <w:tcPr>
            <w:tcW w:w="333" w:type="dxa"/>
            <w:tcBorders>
              <w:left w:val="single" w:sz="4" w:space="0" w:color="auto"/>
              <w:bottom w:val="single" w:sz="4" w:space="0" w:color="auto"/>
            </w:tcBorders>
          </w:tcPr>
          <w:p w14:paraId="3A72C105" w14:textId="77777777" w:rsidR="003B0EAA" w:rsidRPr="00FD732F" w:rsidRDefault="003B0EAA" w:rsidP="006970B0">
            <w:pPr>
              <w:jc w:val="center"/>
              <w:rPr>
                <w:sz w:val="20"/>
                <w:szCs w:val="20"/>
              </w:rPr>
            </w:pPr>
          </w:p>
        </w:tc>
        <w:tc>
          <w:tcPr>
            <w:tcW w:w="2494" w:type="dxa"/>
            <w:tcBorders>
              <w:bottom w:val="single" w:sz="4" w:space="0" w:color="auto"/>
              <w:right w:val="single" w:sz="4" w:space="0" w:color="auto"/>
            </w:tcBorders>
          </w:tcPr>
          <w:p w14:paraId="5F63BB00" w14:textId="77777777" w:rsidR="003B0EAA" w:rsidRPr="00FD732F" w:rsidRDefault="003B0EAA" w:rsidP="006970B0">
            <w:pPr>
              <w:rPr>
                <w:sz w:val="20"/>
                <w:szCs w:val="20"/>
              </w:rPr>
            </w:pPr>
          </w:p>
        </w:tc>
        <w:tc>
          <w:tcPr>
            <w:tcW w:w="316" w:type="dxa"/>
            <w:tcBorders>
              <w:left w:val="single" w:sz="4" w:space="0" w:color="auto"/>
              <w:bottom w:val="single" w:sz="4" w:space="0" w:color="auto"/>
            </w:tcBorders>
          </w:tcPr>
          <w:p w14:paraId="1009D535" w14:textId="77777777" w:rsidR="003B0EAA" w:rsidRPr="00FD732F" w:rsidRDefault="003B0EAA" w:rsidP="006970B0">
            <w:pPr>
              <w:jc w:val="center"/>
              <w:rPr>
                <w:sz w:val="20"/>
                <w:szCs w:val="20"/>
              </w:rPr>
            </w:pPr>
          </w:p>
        </w:tc>
        <w:tc>
          <w:tcPr>
            <w:tcW w:w="2438" w:type="dxa"/>
            <w:tcBorders>
              <w:bottom w:val="single" w:sz="4" w:space="0" w:color="auto"/>
              <w:right w:val="single" w:sz="4" w:space="0" w:color="auto"/>
            </w:tcBorders>
          </w:tcPr>
          <w:p w14:paraId="6444FC70" w14:textId="77777777" w:rsidR="003B0EAA" w:rsidRPr="00FD732F" w:rsidRDefault="003B0EAA" w:rsidP="006970B0">
            <w:pPr>
              <w:rPr>
                <w:sz w:val="20"/>
                <w:szCs w:val="20"/>
              </w:rPr>
            </w:pPr>
          </w:p>
        </w:tc>
        <w:tc>
          <w:tcPr>
            <w:tcW w:w="316" w:type="dxa"/>
            <w:tcBorders>
              <w:left w:val="single" w:sz="4" w:space="0" w:color="auto"/>
              <w:bottom w:val="single" w:sz="4" w:space="0" w:color="auto"/>
            </w:tcBorders>
          </w:tcPr>
          <w:p w14:paraId="459538A4" w14:textId="77777777" w:rsidR="003B0EAA" w:rsidRPr="00FD732F" w:rsidRDefault="003B0EAA" w:rsidP="006970B0">
            <w:pPr>
              <w:rPr>
                <w:sz w:val="20"/>
                <w:szCs w:val="20"/>
              </w:rPr>
            </w:pPr>
          </w:p>
        </w:tc>
        <w:tc>
          <w:tcPr>
            <w:tcW w:w="717" w:type="dxa"/>
            <w:tcBorders>
              <w:bottom w:val="single" w:sz="4" w:space="0" w:color="auto"/>
              <w:right w:val="single" w:sz="4" w:space="0" w:color="auto"/>
            </w:tcBorders>
          </w:tcPr>
          <w:p w14:paraId="08AAD142" w14:textId="77777777" w:rsidR="003B0EAA" w:rsidRPr="00FD732F" w:rsidRDefault="003B0EAA" w:rsidP="006970B0">
            <w:pPr>
              <w:rPr>
                <w:sz w:val="20"/>
                <w:szCs w:val="20"/>
              </w:rPr>
            </w:pPr>
          </w:p>
        </w:tc>
      </w:tr>
      <w:tr w:rsidR="003B0EAA" w:rsidRPr="00FD732F" w14:paraId="6A4EA390" w14:textId="77777777" w:rsidTr="00903DE4">
        <w:tc>
          <w:tcPr>
            <w:tcW w:w="2109" w:type="dxa"/>
            <w:tcBorders>
              <w:top w:val="single" w:sz="4" w:space="0" w:color="auto"/>
              <w:right w:val="single" w:sz="4" w:space="0" w:color="auto"/>
            </w:tcBorders>
          </w:tcPr>
          <w:p w14:paraId="28F3E79D" w14:textId="77777777" w:rsidR="003B0EAA" w:rsidRPr="00FD732F" w:rsidRDefault="003B0EAA" w:rsidP="006970B0">
            <w:pPr>
              <w:rPr>
                <w:sz w:val="20"/>
                <w:szCs w:val="20"/>
              </w:rPr>
            </w:pPr>
            <w:r w:rsidRPr="00FD732F">
              <w:rPr>
                <w:sz w:val="20"/>
                <w:szCs w:val="20"/>
              </w:rPr>
              <w:t>To be paid</w:t>
            </w:r>
          </w:p>
        </w:tc>
        <w:tc>
          <w:tcPr>
            <w:tcW w:w="333" w:type="dxa"/>
            <w:tcBorders>
              <w:top w:val="single" w:sz="4" w:space="0" w:color="auto"/>
              <w:left w:val="single" w:sz="4" w:space="0" w:color="auto"/>
            </w:tcBorders>
          </w:tcPr>
          <w:p w14:paraId="30092EBA" w14:textId="77777777" w:rsidR="003B0EAA" w:rsidRPr="00FD732F" w:rsidRDefault="003B0EAA" w:rsidP="006970B0">
            <w:pPr>
              <w:jc w:val="center"/>
              <w:rPr>
                <w:sz w:val="20"/>
                <w:szCs w:val="20"/>
              </w:rPr>
            </w:pPr>
            <w:r w:rsidRPr="00FD732F">
              <w:rPr>
                <w:sz w:val="20"/>
                <w:szCs w:val="20"/>
              </w:rPr>
              <w:t>=</w:t>
            </w:r>
          </w:p>
        </w:tc>
        <w:tc>
          <w:tcPr>
            <w:tcW w:w="2494" w:type="dxa"/>
            <w:tcBorders>
              <w:top w:val="single" w:sz="4" w:space="0" w:color="auto"/>
              <w:right w:val="single" w:sz="4" w:space="0" w:color="auto"/>
            </w:tcBorders>
          </w:tcPr>
          <w:p w14:paraId="6B52745A" w14:textId="1F034D6A" w:rsidR="003B0EAA" w:rsidRDefault="003B0EAA" w:rsidP="006970B0">
            <w:pPr>
              <w:rPr>
                <w:sz w:val="20"/>
                <w:szCs w:val="20"/>
              </w:rPr>
            </w:pPr>
            <w:r w:rsidRPr="00FD732F">
              <w:rPr>
                <w:sz w:val="20"/>
                <w:szCs w:val="20"/>
              </w:rPr>
              <w:t xml:space="preserve">Total number of dispensings </w:t>
            </w:r>
            <w:r w:rsidRPr="00FD732F">
              <w:rPr>
                <w:sz w:val="20"/>
                <w:szCs w:val="20"/>
                <w:u w:val="single"/>
              </w:rPr>
              <w:t>by each dispensing</w:t>
            </w:r>
            <w:r w:rsidRPr="00FD732F">
              <w:rPr>
                <w:sz w:val="20"/>
                <w:szCs w:val="20"/>
              </w:rPr>
              <w:t xml:space="preserve"> </w:t>
            </w:r>
            <w:r>
              <w:rPr>
                <w:sz w:val="20"/>
                <w:szCs w:val="20"/>
              </w:rPr>
              <w:t xml:space="preserve">type </w:t>
            </w:r>
            <w:r w:rsidRPr="00FD732F">
              <w:rPr>
                <w:sz w:val="20"/>
                <w:szCs w:val="20"/>
              </w:rPr>
              <w:t xml:space="preserve">(Handling Fee Multiplier) paid for </w:t>
            </w:r>
            <w:r>
              <w:rPr>
                <w:sz w:val="20"/>
                <w:szCs w:val="20"/>
              </w:rPr>
              <w:t xml:space="preserve">the </w:t>
            </w:r>
            <w:r w:rsidRPr="00FD732F">
              <w:rPr>
                <w:sz w:val="20"/>
                <w:szCs w:val="20"/>
              </w:rPr>
              <w:t xml:space="preserve">period (for example, 1 July 2023 to 30 </w:t>
            </w:r>
            <w:r w:rsidR="00206603">
              <w:rPr>
                <w:sz w:val="20"/>
                <w:szCs w:val="20"/>
              </w:rPr>
              <w:t>November</w:t>
            </w:r>
            <w:r w:rsidR="00206603" w:rsidRPr="00FD732F">
              <w:rPr>
                <w:sz w:val="20"/>
                <w:szCs w:val="20"/>
              </w:rPr>
              <w:t xml:space="preserve"> </w:t>
            </w:r>
            <w:r w:rsidRPr="00FD732F">
              <w:rPr>
                <w:sz w:val="20"/>
                <w:szCs w:val="20"/>
              </w:rPr>
              <w:t>2023)</w:t>
            </w:r>
            <w:r>
              <w:rPr>
                <w:sz w:val="20"/>
                <w:szCs w:val="20"/>
              </w:rPr>
              <w:t>,</w:t>
            </w:r>
          </w:p>
          <w:p w14:paraId="55469848" w14:textId="77777777" w:rsidR="003B0EAA" w:rsidRPr="00FD732F" w:rsidRDefault="003B0EAA" w:rsidP="006970B0">
            <w:pPr>
              <w:rPr>
                <w:sz w:val="20"/>
                <w:szCs w:val="20"/>
              </w:rPr>
            </w:pPr>
            <w:r>
              <w:rPr>
                <w:sz w:val="20"/>
                <w:szCs w:val="20"/>
              </w:rPr>
              <w:t>by month</w:t>
            </w:r>
          </w:p>
        </w:tc>
        <w:tc>
          <w:tcPr>
            <w:tcW w:w="316" w:type="dxa"/>
            <w:tcBorders>
              <w:top w:val="single" w:sz="4" w:space="0" w:color="auto"/>
              <w:left w:val="single" w:sz="4" w:space="0" w:color="auto"/>
            </w:tcBorders>
          </w:tcPr>
          <w:p w14:paraId="104CD81A" w14:textId="77777777" w:rsidR="003B0EAA" w:rsidRPr="00FD732F" w:rsidRDefault="003B0EAA" w:rsidP="006970B0">
            <w:pPr>
              <w:jc w:val="center"/>
              <w:rPr>
                <w:sz w:val="20"/>
                <w:szCs w:val="20"/>
              </w:rPr>
            </w:pPr>
            <w:r w:rsidRPr="00FD732F">
              <w:rPr>
                <w:sz w:val="20"/>
                <w:szCs w:val="20"/>
              </w:rPr>
              <w:t>x</w:t>
            </w:r>
          </w:p>
        </w:tc>
        <w:tc>
          <w:tcPr>
            <w:tcW w:w="2438" w:type="dxa"/>
            <w:tcBorders>
              <w:top w:val="single" w:sz="4" w:space="0" w:color="auto"/>
              <w:right w:val="single" w:sz="4" w:space="0" w:color="auto"/>
            </w:tcBorders>
          </w:tcPr>
          <w:p w14:paraId="6F0B1E08" w14:textId="77777777" w:rsidR="003B0EAA" w:rsidRPr="00FD732F" w:rsidRDefault="003B0EAA" w:rsidP="006970B0">
            <w:pPr>
              <w:rPr>
                <w:sz w:val="20"/>
                <w:szCs w:val="20"/>
              </w:rPr>
            </w:pPr>
            <w:r w:rsidRPr="00FD732F">
              <w:rPr>
                <w:sz w:val="20"/>
                <w:szCs w:val="20"/>
              </w:rPr>
              <w:t xml:space="preserve">Each Handling Fee </w:t>
            </w:r>
            <w:r>
              <w:rPr>
                <w:sz w:val="20"/>
                <w:szCs w:val="20"/>
              </w:rPr>
              <w:t>M</w:t>
            </w:r>
            <w:r w:rsidRPr="00FD732F">
              <w:rPr>
                <w:sz w:val="20"/>
                <w:szCs w:val="20"/>
              </w:rPr>
              <w:t>ultiplier</w:t>
            </w:r>
          </w:p>
        </w:tc>
        <w:tc>
          <w:tcPr>
            <w:tcW w:w="316" w:type="dxa"/>
            <w:tcBorders>
              <w:top w:val="single" w:sz="4" w:space="0" w:color="auto"/>
              <w:left w:val="single" w:sz="4" w:space="0" w:color="auto"/>
            </w:tcBorders>
          </w:tcPr>
          <w:p w14:paraId="188C08C7" w14:textId="77777777" w:rsidR="003B0EAA" w:rsidRPr="00FD732F" w:rsidRDefault="003B0EAA" w:rsidP="006970B0">
            <w:pPr>
              <w:rPr>
                <w:sz w:val="20"/>
                <w:szCs w:val="20"/>
              </w:rPr>
            </w:pPr>
            <w:r w:rsidRPr="00FD732F">
              <w:rPr>
                <w:sz w:val="20"/>
                <w:szCs w:val="20"/>
              </w:rPr>
              <w:t>x</w:t>
            </w:r>
          </w:p>
        </w:tc>
        <w:tc>
          <w:tcPr>
            <w:tcW w:w="717" w:type="dxa"/>
            <w:tcBorders>
              <w:top w:val="single" w:sz="4" w:space="0" w:color="auto"/>
              <w:right w:val="single" w:sz="4" w:space="0" w:color="auto"/>
            </w:tcBorders>
          </w:tcPr>
          <w:p w14:paraId="4F39751C" w14:textId="77777777" w:rsidR="003B0EAA" w:rsidRPr="00FD732F" w:rsidRDefault="003B0EAA" w:rsidP="006970B0">
            <w:pPr>
              <w:rPr>
                <w:sz w:val="20"/>
                <w:szCs w:val="20"/>
              </w:rPr>
            </w:pPr>
            <w:r w:rsidRPr="32792A5A">
              <w:rPr>
                <w:sz w:val="20"/>
                <w:szCs w:val="20"/>
              </w:rPr>
              <w:t>$0.12</w:t>
            </w:r>
          </w:p>
        </w:tc>
      </w:tr>
      <w:tr w:rsidR="003B0EAA" w:rsidRPr="00FD732F" w14:paraId="18B12C76" w14:textId="77777777" w:rsidTr="00903DE4">
        <w:tc>
          <w:tcPr>
            <w:tcW w:w="2109" w:type="dxa"/>
            <w:tcBorders>
              <w:bottom w:val="nil"/>
              <w:right w:val="single" w:sz="4" w:space="0" w:color="auto"/>
            </w:tcBorders>
          </w:tcPr>
          <w:p w14:paraId="65E5B6D5" w14:textId="77777777" w:rsidR="003B0EAA" w:rsidRPr="00FD732F" w:rsidRDefault="003B0EAA" w:rsidP="006970B0">
            <w:pPr>
              <w:rPr>
                <w:sz w:val="20"/>
                <w:szCs w:val="20"/>
              </w:rPr>
            </w:pPr>
          </w:p>
        </w:tc>
        <w:tc>
          <w:tcPr>
            <w:tcW w:w="333" w:type="dxa"/>
            <w:tcBorders>
              <w:left w:val="single" w:sz="4" w:space="0" w:color="auto"/>
              <w:bottom w:val="nil"/>
            </w:tcBorders>
          </w:tcPr>
          <w:p w14:paraId="38A3FC52" w14:textId="77777777" w:rsidR="003B0EAA" w:rsidRPr="00FD732F" w:rsidRDefault="003B0EAA" w:rsidP="006970B0">
            <w:pPr>
              <w:jc w:val="center"/>
              <w:rPr>
                <w:sz w:val="20"/>
                <w:szCs w:val="20"/>
              </w:rPr>
            </w:pPr>
            <w:r w:rsidRPr="00FD732F">
              <w:rPr>
                <w:sz w:val="20"/>
                <w:szCs w:val="20"/>
              </w:rPr>
              <w:t>=</w:t>
            </w:r>
          </w:p>
        </w:tc>
        <w:tc>
          <w:tcPr>
            <w:tcW w:w="2494" w:type="dxa"/>
            <w:tcBorders>
              <w:bottom w:val="nil"/>
              <w:right w:val="single" w:sz="4" w:space="0" w:color="auto"/>
            </w:tcBorders>
          </w:tcPr>
          <w:p w14:paraId="0613A1B2" w14:textId="77777777" w:rsidR="003B0EAA" w:rsidRPr="00FD732F" w:rsidRDefault="003B0EAA" w:rsidP="006970B0">
            <w:pPr>
              <w:rPr>
                <w:sz w:val="20"/>
                <w:szCs w:val="20"/>
              </w:rPr>
            </w:pPr>
            <w:r w:rsidRPr="00FD732F">
              <w:rPr>
                <w:sz w:val="20"/>
                <w:szCs w:val="20"/>
              </w:rPr>
              <w:t>Amount to be</w:t>
            </w:r>
            <w:r>
              <w:rPr>
                <w:sz w:val="20"/>
                <w:szCs w:val="20"/>
              </w:rPr>
              <w:t xml:space="preserve"> paid</w:t>
            </w:r>
          </w:p>
        </w:tc>
        <w:tc>
          <w:tcPr>
            <w:tcW w:w="316" w:type="dxa"/>
            <w:tcBorders>
              <w:left w:val="single" w:sz="4" w:space="0" w:color="auto"/>
              <w:bottom w:val="nil"/>
            </w:tcBorders>
          </w:tcPr>
          <w:p w14:paraId="3A2EDD37" w14:textId="77777777" w:rsidR="003B0EAA" w:rsidRPr="00FD732F" w:rsidRDefault="003B0EAA" w:rsidP="006970B0">
            <w:pPr>
              <w:jc w:val="center"/>
              <w:rPr>
                <w:sz w:val="20"/>
                <w:szCs w:val="20"/>
              </w:rPr>
            </w:pPr>
          </w:p>
        </w:tc>
        <w:tc>
          <w:tcPr>
            <w:tcW w:w="2438" w:type="dxa"/>
            <w:tcBorders>
              <w:bottom w:val="nil"/>
              <w:right w:val="single" w:sz="4" w:space="0" w:color="auto"/>
            </w:tcBorders>
          </w:tcPr>
          <w:p w14:paraId="32E95F9F" w14:textId="77777777" w:rsidR="003B0EAA" w:rsidRPr="00FD732F" w:rsidRDefault="003B0EAA" w:rsidP="006970B0">
            <w:pPr>
              <w:rPr>
                <w:sz w:val="20"/>
                <w:szCs w:val="20"/>
              </w:rPr>
            </w:pPr>
          </w:p>
        </w:tc>
        <w:tc>
          <w:tcPr>
            <w:tcW w:w="316" w:type="dxa"/>
            <w:tcBorders>
              <w:left w:val="single" w:sz="4" w:space="0" w:color="auto"/>
              <w:bottom w:val="nil"/>
            </w:tcBorders>
          </w:tcPr>
          <w:p w14:paraId="3E062C08" w14:textId="77777777" w:rsidR="003B0EAA" w:rsidRPr="00FD732F" w:rsidRDefault="003B0EAA" w:rsidP="006970B0">
            <w:pPr>
              <w:rPr>
                <w:sz w:val="20"/>
                <w:szCs w:val="20"/>
              </w:rPr>
            </w:pPr>
          </w:p>
        </w:tc>
        <w:tc>
          <w:tcPr>
            <w:tcW w:w="717" w:type="dxa"/>
            <w:tcBorders>
              <w:bottom w:val="nil"/>
              <w:right w:val="single" w:sz="4" w:space="0" w:color="auto"/>
            </w:tcBorders>
          </w:tcPr>
          <w:p w14:paraId="0DD3FD82" w14:textId="77777777" w:rsidR="003B0EAA" w:rsidRPr="00FD732F" w:rsidRDefault="003B0EAA" w:rsidP="006970B0">
            <w:pPr>
              <w:rPr>
                <w:sz w:val="20"/>
                <w:szCs w:val="20"/>
              </w:rPr>
            </w:pPr>
          </w:p>
        </w:tc>
      </w:tr>
      <w:tr w:rsidR="003B0EAA" w:rsidRPr="00FD732F" w14:paraId="4E26E9DD" w14:textId="77777777" w:rsidTr="00903DE4">
        <w:tc>
          <w:tcPr>
            <w:tcW w:w="2109" w:type="dxa"/>
            <w:tcBorders>
              <w:bottom w:val="single" w:sz="4" w:space="0" w:color="auto"/>
              <w:right w:val="single" w:sz="4" w:space="0" w:color="auto"/>
            </w:tcBorders>
          </w:tcPr>
          <w:p w14:paraId="6003623D" w14:textId="77777777" w:rsidR="003B0EAA" w:rsidRPr="00FD732F" w:rsidRDefault="003B0EAA" w:rsidP="006970B0">
            <w:pPr>
              <w:rPr>
                <w:sz w:val="20"/>
                <w:szCs w:val="20"/>
              </w:rPr>
            </w:pPr>
          </w:p>
        </w:tc>
        <w:tc>
          <w:tcPr>
            <w:tcW w:w="333" w:type="dxa"/>
            <w:tcBorders>
              <w:left w:val="single" w:sz="4" w:space="0" w:color="auto"/>
              <w:bottom w:val="single" w:sz="4" w:space="0" w:color="auto"/>
            </w:tcBorders>
          </w:tcPr>
          <w:p w14:paraId="7CDCA0EA" w14:textId="77777777" w:rsidR="003B0EAA" w:rsidRPr="00FD732F" w:rsidRDefault="003B0EAA" w:rsidP="006970B0">
            <w:pPr>
              <w:jc w:val="center"/>
              <w:rPr>
                <w:sz w:val="20"/>
                <w:szCs w:val="20"/>
              </w:rPr>
            </w:pPr>
            <w:r w:rsidRPr="00FD732F">
              <w:rPr>
                <w:sz w:val="20"/>
                <w:szCs w:val="20"/>
              </w:rPr>
              <w:t>+</w:t>
            </w:r>
          </w:p>
        </w:tc>
        <w:tc>
          <w:tcPr>
            <w:tcW w:w="2494" w:type="dxa"/>
            <w:tcBorders>
              <w:bottom w:val="single" w:sz="4" w:space="0" w:color="auto"/>
              <w:right w:val="single" w:sz="4" w:space="0" w:color="auto"/>
            </w:tcBorders>
          </w:tcPr>
          <w:p w14:paraId="37161A48" w14:textId="77777777" w:rsidR="003B0EAA" w:rsidRPr="00FD732F" w:rsidRDefault="003B0EAA" w:rsidP="006970B0">
            <w:pPr>
              <w:rPr>
                <w:sz w:val="20"/>
                <w:szCs w:val="20"/>
              </w:rPr>
            </w:pPr>
            <w:r w:rsidRPr="00FD732F">
              <w:rPr>
                <w:sz w:val="20"/>
                <w:szCs w:val="20"/>
              </w:rPr>
              <w:t>GST</w:t>
            </w:r>
          </w:p>
        </w:tc>
        <w:tc>
          <w:tcPr>
            <w:tcW w:w="316" w:type="dxa"/>
            <w:tcBorders>
              <w:left w:val="single" w:sz="4" w:space="0" w:color="auto"/>
              <w:bottom w:val="single" w:sz="4" w:space="0" w:color="auto"/>
            </w:tcBorders>
          </w:tcPr>
          <w:p w14:paraId="65FB1DF0" w14:textId="77777777" w:rsidR="003B0EAA" w:rsidRPr="00FD732F" w:rsidRDefault="003B0EAA" w:rsidP="006970B0">
            <w:pPr>
              <w:jc w:val="center"/>
              <w:rPr>
                <w:sz w:val="20"/>
                <w:szCs w:val="20"/>
              </w:rPr>
            </w:pPr>
          </w:p>
        </w:tc>
        <w:tc>
          <w:tcPr>
            <w:tcW w:w="2438" w:type="dxa"/>
            <w:tcBorders>
              <w:bottom w:val="single" w:sz="4" w:space="0" w:color="auto"/>
              <w:right w:val="single" w:sz="4" w:space="0" w:color="auto"/>
            </w:tcBorders>
          </w:tcPr>
          <w:p w14:paraId="6DB85B99" w14:textId="77777777" w:rsidR="003B0EAA" w:rsidRPr="00FD732F" w:rsidRDefault="003B0EAA" w:rsidP="006970B0">
            <w:pPr>
              <w:rPr>
                <w:sz w:val="20"/>
                <w:szCs w:val="20"/>
              </w:rPr>
            </w:pPr>
          </w:p>
        </w:tc>
        <w:tc>
          <w:tcPr>
            <w:tcW w:w="316" w:type="dxa"/>
            <w:tcBorders>
              <w:left w:val="single" w:sz="4" w:space="0" w:color="auto"/>
              <w:bottom w:val="single" w:sz="4" w:space="0" w:color="auto"/>
            </w:tcBorders>
          </w:tcPr>
          <w:p w14:paraId="549EED7F" w14:textId="77777777" w:rsidR="003B0EAA" w:rsidRPr="00FD732F" w:rsidRDefault="003B0EAA" w:rsidP="006970B0">
            <w:pPr>
              <w:rPr>
                <w:sz w:val="20"/>
                <w:szCs w:val="20"/>
              </w:rPr>
            </w:pPr>
          </w:p>
        </w:tc>
        <w:tc>
          <w:tcPr>
            <w:tcW w:w="717" w:type="dxa"/>
            <w:tcBorders>
              <w:bottom w:val="single" w:sz="4" w:space="0" w:color="auto"/>
              <w:right w:val="single" w:sz="4" w:space="0" w:color="auto"/>
            </w:tcBorders>
          </w:tcPr>
          <w:p w14:paraId="700A1725" w14:textId="77777777" w:rsidR="003B0EAA" w:rsidRPr="00FD732F" w:rsidRDefault="003B0EAA" w:rsidP="006970B0">
            <w:pPr>
              <w:rPr>
                <w:sz w:val="20"/>
                <w:szCs w:val="20"/>
              </w:rPr>
            </w:pPr>
          </w:p>
        </w:tc>
      </w:tr>
    </w:tbl>
    <w:p w14:paraId="45E6B434" w14:textId="77777777" w:rsidR="003B0EAA" w:rsidRPr="00015EC0" w:rsidRDefault="003B0EAA" w:rsidP="003B0EAA">
      <w:pPr>
        <w:spacing w:after="0" w:line="240" w:lineRule="auto"/>
        <w:ind w:left="360"/>
        <w:rPr>
          <w:sz w:val="22"/>
          <w:szCs w:val="22"/>
        </w:rPr>
      </w:pPr>
    </w:p>
    <w:p w14:paraId="3E9BFE77" w14:textId="77777777" w:rsidR="003B0EAA" w:rsidRPr="00015EC0" w:rsidRDefault="003B0EAA" w:rsidP="003B0EAA">
      <w:pPr>
        <w:spacing w:after="0" w:line="240" w:lineRule="auto"/>
        <w:ind w:left="360"/>
        <w:rPr>
          <w:sz w:val="22"/>
          <w:szCs w:val="22"/>
        </w:rPr>
      </w:pPr>
      <w:r w:rsidRPr="00015EC0">
        <w:rPr>
          <w:sz w:val="22"/>
          <w:szCs w:val="22"/>
        </w:rPr>
        <w:t>Te Whatu Ora will undertake these calculations and make the necessary payments to providers.</w:t>
      </w:r>
    </w:p>
    <w:p w14:paraId="017DF154" w14:textId="77777777" w:rsidR="003B0EAA" w:rsidRPr="00015EC0" w:rsidRDefault="003B0EAA" w:rsidP="003B0EAA">
      <w:pPr>
        <w:spacing w:after="0" w:line="240" w:lineRule="auto"/>
        <w:ind w:left="360"/>
        <w:rPr>
          <w:sz w:val="22"/>
          <w:szCs w:val="22"/>
        </w:rPr>
      </w:pPr>
    </w:p>
    <w:p w14:paraId="579FCBAD" w14:textId="77777777"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Per Pack Fee</w:t>
      </w:r>
    </w:p>
    <w:p w14:paraId="2855937A" w14:textId="6806046E" w:rsidR="003B0EAA" w:rsidRPr="00015EC0" w:rsidRDefault="003B0EAA" w:rsidP="003B0EAA">
      <w:pPr>
        <w:spacing w:after="0" w:line="240" w:lineRule="auto"/>
        <w:ind w:left="360"/>
        <w:rPr>
          <w:sz w:val="22"/>
          <w:szCs w:val="22"/>
        </w:rPr>
      </w:pPr>
      <w:r w:rsidRPr="00015EC0">
        <w:rPr>
          <w:sz w:val="22"/>
          <w:szCs w:val="22"/>
        </w:rPr>
        <w:t>Sector Operations will run a query over the payments processing system for the period (eg, 1</w:t>
      </w:r>
      <w:r w:rsidR="00903DE4">
        <w:rPr>
          <w:sz w:val="22"/>
          <w:szCs w:val="22"/>
        </w:rPr>
        <w:t> </w:t>
      </w:r>
      <w:r w:rsidRPr="00015EC0">
        <w:rPr>
          <w:sz w:val="22"/>
          <w:szCs w:val="22"/>
        </w:rPr>
        <w:t xml:space="preserve">July 2023 to </w:t>
      </w:r>
      <w:r w:rsidR="00837CB8">
        <w:rPr>
          <w:sz w:val="22"/>
          <w:szCs w:val="22"/>
        </w:rPr>
        <w:t>30 November</w:t>
      </w:r>
      <w:r w:rsidRPr="00015EC0">
        <w:rPr>
          <w:sz w:val="22"/>
          <w:szCs w:val="22"/>
        </w:rPr>
        <w:t xml:space="preserve"> 2023) for all dispensing activity for each individual pharmacy for payments made. </w:t>
      </w:r>
    </w:p>
    <w:p w14:paraId="76077646" w14:textId="77777777" w:rsidR="003B0EAA" w:rsidRPr="00015EC0" w:rsidRDefault="003B0EAA" w:rsidP="003B0EAA">
      <w:pPr>
        <w:spacing w:after="0" w:line="240" w:lineRule="auto"/>
        <w:ind w:left="360"/>
        <w:rPr>
          <w:sz w:val="22"/>
          <w:szCs w:val="22"/>
        </w:rPr>
      </w:pPr>
    </w:p>
    <w:p w14:paraId="17515C29" w14:textId="2904B9C4" w:rsidR="003B0EAA" w:rsidRPr="00015EC0" w:rsidRDefault="003B0EAA" w:rsidP="003B0EAA">
      <w:pPr>
        <w:pStyle w:val="ListParagraph"/>
        <w:numPr>
          <w:ilvl w:val="0"/>
          <w:numId w:val="25"/>
        </w:numPr>
        <w:ind w:left="717"/>
        <w:rPr>
          <w:sz w:val="22"/>
          <w:szCs w:val="22"/>
        </w:rPr>
      </w:pPr>
      <w:r w:rsidRPr="00015EC0">
        <w:rPr>
          <w:sz w:val="22"/>
          <w:szCs w:val="22"/>
        </w:rPr>
        <w:lastRenderedPageBreak/>
        <w:t xml:space="preserve">Identify all Pharmacy Items that have been accepted for payment with a dispensing date between 1 July 2023 and </w:t>
      </w:r>
      <w:r w:rsidR="00837CB8">
        <w:rPr>
          <w:sz w:val="22"/>
          <w:szCs w:val="22"/>
        </w:rPr>
        <w:t>30 November</w:t>
      </w:r>
      <w:r w:rsidRPr="00015EC0">
        <w:rPr>
          <w:sz w:val="22"/>
          <w:szCs w:val="22"/>
        </w:rPr>
        <w:t xml:space="preserve"> 2023 inclusive.</w:t>
      </w:r>
    </w:p>
    <w:p w14:paraId="274946C5" w14:textId="77777777" w:rsidR="003B0EAA" w:rsidRPr="00015EC0" w:rsidRDefault="003B0EAA" w:rsidP="003B0EAA">
      <w:pPr>
        <w:pStyle w:val="ListParagraph"/>
        <w:numPr>
          <w:ilvl w:val="0"/>
          <w:numId w:val="25"/>
        </w:numPr>
        <w:ind w:left="717"/>
        <w:rPr>
          <w:sz w:val="22"/>
          <w:szCs w:val="22"/>
        </w:rPr>
      </w:pPr>
      <w:r w:rsidRPr="00015EC0">
        <w:rPr>
          <w:sz w:val="22"/>
          <w:szCs w:val="22"/>
        </w:rPr>
        <w:t>Calculate the difference in Per Pack Fees between what should have been paid (new) and what has been paid (current).</w:t>
      </w:r>
    </w:p>
    <w:p w14:paraId="412CBE0C" w14:textId="1C760DC5" w:rsidR="003B0EAA" w:rsidRPr="00015EC0" w:rsidRDefault="003B0EAA" w:rsidP="003B0EAA">
      <w:pPr>
        <w:pStyle w:val="ListParagraph"/>
        <w:numPr>
          <w:ilvl w:val="0"/>
          <w:numId w:val="25"/>
        </w:numPr>
        <w:ind w:left="717"/>
        <w:rPr>
          <w:sz w:val="22"/>
          <w:szCs w:val="22"/>
        </w:rPr>
      </w:pPr>
      <w:r w:rsidRPr="00015EC0">
        <w:rPr>
          <w:sz w:val="22"/>
          <w:szCs w:val="22"/>
        </w:rPr>
        <w:t xml:space="preserve">Group </w:t>
      </w:r>
      <w:r w:rsidR="00A62F67">
        <w:rPr>
          <w:sz w:val="22"/>
          <w:szCs w:val="22"/>
        </w:rPr>
        <w:t xml:space="preserve">the </w:t>
      </w:r>
      <w:r w:rsidRPr="00015EC0">
        <w:rPr>
          <w:sz w:val="22"/>
          <w:szCs w:val="22"/>
        </w:rPr>
        <w:t>total amount payable by approval month for each Pharmacy.</w:t>
      </w:r>
    </w:p>
    <w:p w14:paraId="6C839AF6" w14:textId="77777777" w:rsidR="003B0EAA" w:rsidRPr="006674E0" w:rsidRDefault="003B0EAA" w:rsidP="003B0EAA">
      <w:pPr>
        <w:spacing w:after="0" w:line="240" w:lineRule="auto"/>
        <w:ind w:left="357"/>
      </w:pPr>
    </w:p>
    <w:tbl>
      <w:tblPr>
        <w:tblStyle w:val="TableGrid"/>
        <w:tblW w:w="8731" w:type="dxa"/>
        <w:tblInd w:w="360"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4"/>
        <w:gridCol w:w="2665"/>
        <w:gridCol w:w="396"/>
        <w:gridCol w:w="2665"/>
      </w:tblGrid>
      <w:tr w:rsidR="003B0EAA" w14:paraId="6D6C82DE" w14:textId="77777777" w:rsidTr="00903DE4">
        <w:tc>
          <w:tcPr>
            <w:tcW w:w="2551" w:type="dxa"/>
            <w:tcBorders>
              <w:top w:val="single" w:sz="4" w:space="0" w:color="auto"/>
              <w:right w:val="single" w:sz="4" w:space="0" w:color="auto"/>
            </w:tcBorders>
          </w:tcPr>
          <w:p w14:paraId="0FDCCFF3" w14:textId="77777777" w:rsidR="003B0EAA" w:rsidRPr="000A0C7A" w:rsidRDefault="003B0EAA" w:rsidP="006970B0">
            <w:pPr>
              <w:rPr>
                <w:sz w:val="20"/>
                <w:szCs w:val="20"/>
              </w:rPr>
            </w:pPr>
            <w:r>
              <w:rPr>
                <w:sz w:val="20"/>
                <w:szCs w:val="20"/>
              </w:rPr>
              <w:t>Difference in Per Pack Fee</w:t>
            </w:r>
          </w:p>
        </w:tc>
        <w:tc>
          <w:tcPr>
            <w:tcW w:w="454" w:type="dxa"/>
            <w:tcBorders>
              <w:top w:val="single" w:sz="4" w:space="0" w:color="auto"/>
              <w:left w:val="single" w:sz="4" w:space="0" w:color="auto"/>
            </w:tcBorders>
          </w:tcPr>
          <w:p w14:paraId="25224511" w14:textId="77777777" w:rsidR="003B0EAA" w:rsidRPr="000A0C7A" w:rsidRDefault="003B0EAA" w:rsidP="006970B0">
            <w:pPr>
              <w:jc w:val="center"/>
              <w:rPr>
                <w:sz w:val="20"/>
                <w:szCs w:val="20"/>
              </w:rPr>
            </w:pPr>
            <w:r>
              <w:rPr>
                <w:sz w:val="20"/>
                <w:szCs w:val="20"/>
              </w:rPr>
              <w:t>=</w:t>
            </w:r>
          </w:p>
        </w:tc>
        <w:tc>
          <w:tcPr>
            <w:tcW w:w="2665" w:type="dxa"/>
            <w:tcBorders>
              <w:top w:val="single" w:sz="4" w:space="0" w:color="auto"/>
              <w:right w:val="single" w:sz="4" w:space="0" w:color="auto"/>
            </w:tcBorders>
          </w:tcPr>
          <w:p w14:paraId="2EC061F6" w14:textId="77777777" w:rsidR="003B0EAA" w:rsidRDefault="003B0EAA" w:rsidP="006970B0">
            <w:pPr>
              <w:rPr>
                <w:sz w:val="20"/>
                <w:szCs w:val="20"/>
              </w:rPr>
            </w:pPr>
            <w:r>
              <w:rPr>
                <w:sz w:val="20"/>
                <w:szCs w:val="20"/>
              </w:rPr>
              <w:t>New (Variation 5) Per Pack Fee</w:t>
            </w:r>
          </w:p>
          <w:p w14:paraId="257AEA78" w14:textId="77777777" w:rsidR="003B0EAA" w:rsidRPr="000A0C7A" w:rsidRDefault="003B0EAA" w:rsidP="006970B0">
            <w:pPr>
              <w:rPr>
                <w:sz w:val="20"/>
                <w:szCs w:val="20"/>
              </w:rPr>
            </w:pPr>
          </w:p>
        </w:tc>
        <w:tc>
          <w:tcPr>
            <w:tcW w:w="396" w:type="dxa"/>
            <w:tcBorders>
              <w:top w:val="single" w:sz="4" w:space="0" w:color="auto"/>
              <w:left w:val="single" w:sz="4" w:space="0" w:color="auto"/>
            </w:tcBorders>
          </w:tcPr>
          <w:p w14:paraId="7781B7BC" w14:textId="77777777" w:rsidR="003B0EAA" w:rsidRDefault="003B0EAA" w:rsidP="006970B0">
            <w:pPr>
              <w:jc w:val="center"/>
              <w:rPr>
                <w:sz w:val="20"/>
                <w:szCs w:val="20"/>
              </w:rPr>
            </w:pPr>
            <w:r>
              <w:rPr>
                <w:sz w:val="20"/>
                <w:szCs w:val="20"/>
              </w:rPr>
              <w:t>-</w:t>
            </w:r>
          </w:p>
        </w:tc>
        <w:tc>
          <w:tcPr>
            <w:tcW w:w="2665" w:type="dxa"/>
            <w:tcBorders>
              <w:top w:val="single" w:sz="4" w:space="0" w:color="auto"/>
              <w:right w:val="single" w:sz="4" w:space="0" w:color="auto"/>
            </w:tcBorders>
          </w:tcPr>
          <w:p w14:paraId="4672A5B3" w14:textId="77777777" w:rsidR="003B0EAA" w:rsidRDefault="003B0EAA" w:rsidP="006970B0">
            <w:pPr>
              <w:rPr>
                <w:sz w:val="20"/>
                <w:szCs w:val="20"/>
              </w:rPr>
            </w:pPr>
            <w:r>
              <w:rPr>
                <w:sz w:val="20"/>
                <w:szCs w:val="20"/>
              </w:rPr>
              <w:t>Old (Variation 3 or 4) Per Pack Fee</w:t>
            </w:r>
          </w:p>
          <w:p w14:paraId="374BAE5A" w14:textId="77777777" w:rsidR="003B0EAA" w:rsidRPr="000A0C7A" w:rsidRDefault="003B0EAA" w:rsidP="006970B0">
            <w:pPr>
              <w:rPr>
                <w:sz w:val="20"/>
                <w:szCs w:val="20"/>
              </w:rPr>
            </w:pPr>
          </w:p>
        </w:tc>
      </w:tr>
      <w:tr w:rsidR="003B0EAA" w14:paraId="41416546" w14:textId="77777777" w:rsidTr="00903DE4">
        <w:tc>
          <w:tcPr>
            <w:tcW w:w="2551" w:type="dxa"/>
            <w:tcBorders>
              <w:right w:val="single" w:sz="4" w:space="0" w:color="auto"/>
            </w:tcBorders>
          </w:tcPr>
          <w:p w14:paraId="76E5661F" w14:textId="77777777" w:rsidR="003B0EAA" w:rsidRDefault="003B0EAA" w:rsidP="006970B0">
            <w:pPr>
              <w:rPr>
                <w:sz w:val="20"/>
                <w:szCs w:val="20"/>
              </w:rPr>
            </w:pPr>
          </w:p>
        </w:tc>
        <w:tc>
          <w:tcPr>
            <w:tcW w:w="454" w:type="dxa"/>
            <w:tcBorders>
              <w:left w:val="single" w:sz="4" w:space="0" w:color="auto"/>
            </w:tcBorders>
          </w:tcPr>
          <w:p w14:paraId="598BAD9E"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5E907810" w14:textId="77777777" w:rsidR="003B0EAA" w:rsidRDefault="003B0EAA" w:rsidP="006970B0">
            <w:pPr>
              <w:rPr>
                <w:sz w:val="20"/>
                <w:szCs w:val="20"/>
              </w:rPr>
            </w:pPr>
            <w:r>
              <w:rPr>
                <w:sz w:val="20"/>
                <w:szCs w:val="20"/>
              </w:rPr>
              <w:t>$0.27</w:t>
            </w:r>
          </w:p>
        </w:tc>
        <w:tc>
          <w:tcPr>
            <w:tcW w:w="396" w:type="dxa"/>
            <w:tcBorders>
              <w:left w:val="single" w:sz="4" w:space="0" w:color="auto"/>
            </w:tcBorders>
          </w:tcPr>
          <w:p w14:paraId="675AECB4" w14:textId="77777777" w:rsidR="003B0EAA" w:rsidRDefault="003B0EAA" w:rsidP="006970B0">
            <w:pPr>
              <w:jc w:val="center"/>
              <w:rPr>
                <w:sz w:val="20"/>
                <w:szCs w:val="20"/>
              </w:rPr>
            </w:pPr>
          </w:p>
        </w:tc>
        <w:tc>
          <w:tcPr>
            <w:tcW w:w="2665" w:type="dxa"/>
            <w:tcBorders>
              <w:right w:val="single" w:sz="4" w:space="0" w:color="auto"/>
            </w:tcBorders>
          </w:tcPr>
          <w:p w14:paraId="2637AF00" w14:textId="77777777" w:rsidR="003B0EAA" w:rsidRDefault="003B0EAA" w:rsidP="006970B0">
            <w:pPr>
              <w:rPr>
                <w:sz w:val="20"/>
                <w:szCs w:val="20"/>
              </w:rPr>
            </w:pPr>
            <w:r>
              <w:rPr>
                <w:sz w:val="20"/>
                <w:szCs w:val="20"/>
              </w:rPr>
              <w:t>$0.247 (from 1 July 2022)</w:t>
            </w:r>
          </w:p>
        </w:tc>
      </w:tr>
      <w:tr w:rsidR="003B0EAA" w14:paraId="042889A5" w14:textId="77777777" w:rsidTr="00903DE4">
        <w:tc>
          <w:tcPr>
            <w:tcW w:w="2551" w:type="dxa"/>
            <w:tcBorders>
              <w:right w:val="single" w:sz="4" w:space="0" w:color="auto"/>
            </w:tcBorders>
          </w:tcPr>
          <w:p w14:paraId="04D6F2D8" w14:textId="77777777" w:rsidR="003B0EAA" w:rsidRDefault="003B0EAA" w:rsidP="006970B0">
            <w:pPr>
              <w:rPr>
                <w:sz w:val="20"/>
                <w:szCs w:val="20"/>
              </w:rPr>
            </w:pPr>
          </w:p>
        </w:tc>
        <w:tc>
          <w:tcPr>
            <w:tcW w:w="454" w:type="dxa"/>
            <w:tcBorders>
              <w:left w:val="single" w:sz="4" w:space="0" w:color="auto"/>
            </w:tcBorders>
          </w:tcPr>
          <w:p w14:paraId="452EF5BA"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3595AF52" w14:textId="77777777" w:rsidR="003B0EAA" w:rsidRDefault="003B0EAA" w:rsidP="006970B0">
            <w:pPr>
              <w:rPr>
                <w:sz w:val="20"/>
                <w:szCs w:val="20"/>
              </w:rPr>
            </w:pPr>
            <w:r>
              <w:rPr>
                <w:sz w:val="20"/>
                <w:szCs w:val="20"/>
              </w:rPr>
              <w:t>$0.023</w:t>
            </w:r>
          </w:p>
        </w:tc>
        <w:tc>
          <w:tcPr>
            <w:tcW w:w="396" w:type="dxa"/>
            <w:tcBorders>
              <w:left w:val="single" w:sz="4" w:space="0" w:color="auto"/>
            </w:tcBorders>
          </w:tcPr>
          <w:p w14:paraId="4A73B2F5" w14:textId="77777777" w:rsidR="003B0EAA" w:rsidRDefault="003B0EAA" w:rsidP="006970B0">
            <w:pPr>
              <w:jc w:val="center"/>
              <w:rPr>
                <w:sz w:val="20"/>
                <w:szCs w:val="20"/>
              </w:rPr>
            </w:pPr>
          </w:p>
        </w:tc>
        <w:tc>
          <w:tcPr>
            <w:tcW w:w="2665" w:type="dxa"/>
            <w:tcBorders>
              <w:right w:val="single" w:sz="4" w:space="0" w:color="auto"/>
            </w:tcBorders>
          </w:tcPr>
          <w:p w14:paraId="53A5367F" w14:textId="77777777" w:rsidR="003B0EAA" w:rsidRDefault="003B0EAA" w:rsidP="006970B0">
            <w:pPr>
              <w:rPr>
                <w:sz w:val="20"/>
                <w:szCs w:val="20"/>
              </w:rPr>
            </w:pPr>
          </w:p>
        </w:tc>
      </w:tr>
      <w:tr w:rsidR="003B0EAA" w14:paraId="2462C559" w14:textId="77777777" w:rsidTr="00903DE4">
        <w:tc>
          <w:tcPr>
            <w:tcW w:w="2551" w:type="dxa"/>
            <w:tcBorders>
              <w:right w:val="single" w:sz="4" w:space="0" w:color="auto"/>
            </w:tcBorders>
          </w:tcPr>
          <w:p w14:paraId="22353AD0" w14:textId="77777777" w:rsidR="003B0EAA" w:rsidRDefault="003B0EAA" w:rsidP="006970B0">
            <w:pPr>
              <w:rPr>
                <w:sz w:val="20"/>
                <w:szCs w:val="20"/>
              </w:rPr>
            </w:pPr>
          </w:p>
        </w:tc>
        <w:tc>
          <w:tcPr>
            <w:tcW w:w="454" w:type="dxa"/>
            <w:tcBorders>
              <w:left w:val="single" w:sz="4" w:space="0" w:color="auto"/>
            </w:tcBorders>
          </w:tcPr>
          <w:p w14:paraId="6F1DF60E" w14:textId="77777777" w:rsidR="003B0EAA" w:rsidRDefault="003B0EAA" w:rsidP="006970B0">
            <w:pPr>
              <w:jc w:val="center"/>
              <w:rPr>
                <w:sz w:val="20"/>
                <w:szCs w:val="20"/>
              </w:rPr>
            </w:pPr>
          </w:p>
        </w:tc>
        <w:tc>
          <w:tcPr>
            <w:tcW w:w="2665" w:type="dxa"/>
            <w:tcBorders>
              <w:right w:val="single" w:sz="4" w:space="0" w:color="auto"/>
            </w:tcBorders>
          </w:tcPr>
          <w:p w14:paraId="6B7575A3" w14:textId="77777777" w:rsidR="003B0EAA" w:rsidRDefault="003B0EAA" w:rsidP="006970B0">
            <w:pPr>
              <w:rPr>
                <w:sz w:val="20"/>
                <w:szCs w:val="20"/>
              </w:rPr>
            </w:pPr>
          </w:p>
        </w:tc>
        <w:tc>
          <w:tcPr>
            <w:tcW w:w="396" w:type="dxa"/>
            <w:tcBorders>
              <w:left w:val="single" w:sz="4" w:space="0" w:color="auto"/>
            </w:tcBorders>
          </w:tcPr>
          <w:p w14:paraId="142EE67A" w14:textId="77777777" w:rsidR="003B0EAA" w:rsidRDefault="003B0EAA" w:rsidP="006970B0">
            <w:pPr>
              <w:jc w:val="center"/>
              <w:rPr>
                <w:sz w:val="20"/>
                <w:szCs w:val="20"/>
              </w:rPr>
            </w:pPr>
          </w:p>
        </w:tc>
        <w:tc>
          <w:tcPr>
            <w:tcW w:w="2665" w:type="dxa"/>
            <w:tcBorders>
              <w:right w:val="single" w:sz="4" w:space="0" w:color="auto"/>
            </w:tcBorders>
          </w:tcPr>
          <w:p w14:paraId="664C9E53" w14:textId="77777777" w:rsidR="003B0EAA" w:rsidRDefault="003B0EAA" w:rsidP="006970B0">
            <w:pPr>
              <w:rPr>
                <w:sz w:val="20"/>
                <w:szCs w:val="20"/>
              </w:rPr>
            </w:pPr>
          </w:p>
        </w:tc>
      </w:tr>
      <w:tr w:rsidR="003B0EAA" w14:paraId="4C1D247A" w14:textId="77777777" w:rsidTr="00903DE4">
        <w:tc>
          <w:tcPr>
            <w:tcW w:w="2551" w:type="dxa"/>
            <w:tcBorders>
              <w:right w:val="single" w:sz="4" w:space="0" w:color="auto"/>
            </w:tcBorders>
          </w:tcPr>
          <w:p w14:paraId="7C39B016" w14:textId="77777777" w:rsidR="003B0EAA" w:rsidRDefault="003B0EAA" w:rsidP="006970B0">
            <w:pPr>
              <w:rPr>
                <w:sz w:val="20"/>
                <w:szCs w:val="20"/>
              </w:rPr>
            </w:pPr>
            <w:r>
              <w:rPr>
                <w:sz w:val="20"/>
                <w:szCs w:val="20"/>
              </w:rPr>
              <w:t>To invoice for</w:t>
            </w:r>
          </w:p>
        </w:tc>
        <w:tc>
          <w:tcPr>
            <w:tcW w:w="454" w:type="dxa"/>
            <w:tcBorders>
              <w:left w:val="single" w:sz="4" w:space="0" w:color="auto"/>
            </w:tcBorders>
          </w:tcPr>
          <w:p w14:paraId="4C252424"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47E86580" w14:textId="35575970" w:rsidR="003B0EAA" w:rsidRDefault="003B0EAA" w:rsidP="006970B0">
            <w:pPr>
              <w:rPr>
                <w:sz w:val="20"/>
                <w:szCs w:val="20"/>
              </w:rPr>
            </w:pPr>
            <w:r w:rsidRPr="000A0C7A">
              <w:rPr>
                <w:sz w:val="20"/>
                <w:szCs w:val="20"/>
              </w:rPr>
              <w:t xml:space="preserve">Total number of </w:t>
            </w:r>
            <w:r>
              <w:rPr>
                <w:sz w:val="20"/>
                <w:szCs w:val="20"/>
              </w:rPr>
              <w:t xml:space="preserve">Per Pack Fees paid for the period (for example, </w:t>
            </w:r>
            <w:r w:rsidRPr="000A0C7A">
              <w:rPr>
                <w:sz w:val="20"/>
                <w:szCs w:val="20"/>
              </w:rPr>
              <w:t xml:space="preserve">1 July 2023 to </w:t>
            </w:r>
            <w:r w:rsidR="00837CB8">
              <w:rPr>
                <w:sz w:val="20"/>
                <w:szCs w:val="20"/>
              </w:rPr>
              <w:t>30 November</w:t>
            </w:r>
            <w:r w:rsidRPr="000A0C7A">
              <w:rPr>
                <w:sz w:val="20"/>
                <w:szCs w:val="20"/>
              </w:rPr>
              <w:t xml:space="preserve"> 20</w:t>
            </w:r>
            <w:r>
              <w:rPr>
                <w:sz w:val="20"/>
                <w:szCs w:val="20"/>
              </w:rPr>
              <w:t>2</w:t>
            </w:r>
            <w:r w:rsidRPr="000A0C7A">
              <w:rPr>
                <w:sz w:val="20"/>
                <w:szCs w:val="20"/>
              </w:rPr>
              <w:t>3</w:t>
            </w:r>
            <w:r>
              <w:rPr>
                <w:sz w:val="20"/>
                <w:szCs w:val="20"/>
              </w:rPr>
              <w:t>), by month</w:t>
            </w:r>
          </w:p>
        </w:tc>
        <w:tc>
          <w:tcPr>
            <w:tcW w:w="396" w:type="dxa"/>
            <w:tcBorders>
              <w:left w:val="single" w:sz="4" w:space="0" w:color="auto"/>
            </w:tcBorders>
          </w:tcPr>
          <w:p w14:paraId="398AB2F9" w14:textId="77777777" w:rsidR="003B0EAA" w:rsidRDefault="003B0EAA" w:rsidP="006970B0">
            <w:pPr>
              <w:jc w:val="center"/>
              <w:rPr>
                <w:sz w:val="20"/>
                <w:szCs w:val="20"/>
              </w:rPr>
            </w:pPr>
            <w:r>
              <w:rPr>
                <w:sz w:val="20"/>
                <w:szCs w:val="20"/>
              </w:rPr>
              <w:t>x</w:t>
            </w:r>
          </w:p>
        </w:tc>
        <w:tc>
          <w:tcPr>
            <w:tcW w:w="2665" w:type="dxa"/>
            <w:tcBorders>
              <w:right w:val="single" w:sz="4" w:space="0" w:color="auto"/>
            </w:tcBorders>
          </w:tcPr>
          <w:p w14:paraId="1900BB46" w14:textId="77777777" w:rsidR="003B0EAA" w:rsidRDefault="003B0EAA" w:rsidP="006970B0">
            <w:pPr>
              <w:rPr>
                <w:sz w:val="20"/>
                <w:szCs w:val="20"/>
              </w:rPr>
            </w:pPr>
            <w:r>
              <w:rPr>
                <w:sz w:val="20"/>
                <w:szCs w:val="20"/>
              </w:rPr>
              <w:t>$0.023</w:t>
            </w:r>
          </w:p>
        </w:tc>
      </w:tr>
      <w:tr w:rsidR="003B0EAA" w14:paraId="0C116F54" w14:textId="77777777" w:rsidTr="00903DE4">
        <w:tc>
          <w:tcPr>
            <w:tcW w:w="2551" w:type="dxa"/>
            <w:tcBorders>
              <w:bottom w:val="nil"/>
              <w:right w:val="single" w:sz="4" w:space="0" w:color="auto"/>
            </w:tcBorders>
          </w:tcPr>
          <w:p w14:paraId="150D3111" w14:textId="77777777" w:rsidR="003B0EAA" w:rsidRDefault="003B0EAA" w:rsidP="006970B0">
            <w:pPr>
              <w:rPr>
                <w:sz w:val="20"/>
                <w:szCs w:val="20"/>
              </w:rPr>
            </w:pPr>
          </w:p>
        </w:tc>
        <w:tc>
          <w:tcPr>
            <w:tcW w:w="454" w:type="dxa"/>
            <w:tcBorders>
              <w:left w:val="single" w:sz="4" w:space="0" w:color="auto"/>
              <w:bottom w:val="nil"/>
            </w:tcBorders>
          </w:tcPr>
          <w:p w14:paraId="36201D5D" w14:textId="77777777" w:rsidR="003B0EAA" w:rsidRDefault="003B0EAA" w:rsidP="006970B0">
            <w:pPr>
              <w:jc w:val="center"/>
              <w:rPr>
                <w:sz w:val="20"/>
                <w:szCs w:val="20"/>
              </w:rPr>
            </w:pPr>
            <w:r>
              <w:rPr>
                <w:sz w:val="20"/>
                <w:szCs w:val="20"/>
              </w:rPr>
              <w:t>=</w:t>
            </w:r>
          </w:p>
        </w:tc>
        <w:tc>
          <w:tcPr>
            <w:tcW w:w="2665" w:type="dxa"/>
            <w:tcBorders>
              <w:bottom w:val="nil"/>
              <w:right w:val="single" w:sz="4" w:space="0" w:color="auto"/>
            </w:tcBorders>
          </w:tcPr>
          <w:p w14:paraId="09133781" w14:textId="77777777" w:rsidR="003B0EAA" w:rsidRDefault="003B0EAA" w:rsidP="006970B0">
            <w:pPr>
              <w:rPr>
                <w:sz w:val="20"/>
                <w:szCs w:val="20"/>
              </w:rPr>
            </w:pPr>
            <w:r>
              <w:rPr>
                <w:sz w:val="20"/>
                <w:szCs w:val="20"/>
              </w:rPr>
              <w:t>Amount to be paid</w:t>
            </w:r>
          </w:p>
        </w:tc>
        <w:tc>
          <w:tcPr>
            <w:tcW w:w="396" w:type="dxa"/>
            <w:tcBorders>
              <w:left w:val="single" w:sz="4" w:space="0" w:color="auto"/>
              <w:bottom w:val="nil"/>
            </w:tcBorders>
          </w:tcPr>
          <w:p w14:paraId="4145049D" w14:textId="77777777" w:rsidR="003B0EAA" w:rsidRDefault="003B0EAA" w:rsidP="006970B0">
            <w:pPr>
              <w:jc w:val="center"/>
              <w:rPr>
                <w:sz w:val="20"/>
                <w:szCs w:val="20"/>
              </w:rPr>
            </w:pPr>
          </w:p>
        </w:tc>
        <w:tc>
          <w:tcPr>
            <w:tcW w:w="2665" w:type="dxa"/>
            <w:tcBorders>
              <w:bottom w:val="nil"/>
              <w:right w:val="single" w:sz="4" w:space="0" w:color="auto"/>
            </w:tcBorders>
          </w:tcPr>
          <w:p w14:paraId="0FCED015" w14:textId="77777777" w:rsidR="003B0EAA" w:rsidRDefault="003B0EAA" w:rsidP="006970B0">
            <w:pPr>
              <w:rPr>
                <w:sz w:val="20"/>
                <w:szCs w:val="20"/>
              </w:rPr>
            </w:pPr>
          </w:p>
        </w:tc>
      </w:tr>
      <w:tr w:rsidR="003B0EAA" w14:paraId="05AD88B5" w14:textId="77777777" w:rsidTr="00903DE4">
        <w:tc>
          <w:tcPr>
            <w:tcW w:w="2551" w:type="dxa"/>
            <w:tcBorders>
              <w:bottom w:val="single" w:sz="4" w:space="0" w:color="auto"/>
              <w:right w:val="single" w:sz="4" w:space="0" w:color="auto"/>
            </w:tcBorders>
          </w:tcPr>
          <w:p w14:paraId="13E897C0" w14:textId="77777777" w:rsidR="003B0EAA" w:rsidRDefault="003B0EAA" w:rsidP="006970B0">
            <w:pPr>
              <w:rPr>
                <w:sz w:val="20"/>
                <w:szCs w:val="20"/>
              </w:rPr>
            </w:pPr>
          </w:p>
        </w:tc>
        <w:tc>
          <w:tcPr>
            <w:tcW w:w="454" w:type="dxa"/>
            <w:tcBorders>
              <w:left w:val="single" w:sz="4" w:space="0" w:color="auto"/>
              <w:bottom w:val="single" w:sz="4" w:space="0" w:color="auto"/>
            </w:tcBorders>
          </w:tcPr>
          <w:p w14:paraId="5D1256FF" w14:textId="77777777" w:rsidR="003B0EAA" w:rsidRDefault="003B0EAA" w:rsidP="006970B0">
            <w:pPr>
              <w:jc w:val="center"/>
              <w:rPr>
                <w:sz w:val="20"/>
                <w:szCs w:val="20"/>
              </w:rPr>
            </w:pPr>
            <w:r>
              <w:rPr>
                <w:sz w:val="20"/>
                <w:szCs w:val="20"/>
              </w:rPr>
              <w:t>+</w:t>
            </w:r>
          </w:p>
        </w:tc>
        <w:tc>
          <w:tcPr>
            <w:tcW w:w="2665" w:type="dxa"/>
            <w:tcBorders>
              <w:bottom w:val="single" w:sz="4" w:space="0" w:color="auto"/>
              <w:right w:val="single" w:sz="4" w:space="0" w:color="auto"/>
            </w:tcBorders>
          </w:tcPr>
          <w:p w14:paraId="23A061F6" w14:textId="77777777" w:rsidR="003B0EAA" w:rsidRDefault="003B0EAA" w:rsidP="006970B0">
            <w:pPr>
              <w:rPr>
                <w:sz w:val="20"/>
                <w:szCs w:val="20"/>
              </w:rPr>
            </w:pPr>
            <w:r>
              <w:rPr>
                <w:sz w:val="20"/>
                <w:szCs w:val="20"/>
              </w:rPr>
              <w:t>GST</w:t>
            </w:r>
          </w:p>
        </w:tc>
        <w:tc>
          <w:tcPr>
            <w:tcW w:w="396" w:type="dxa"/>
            <w:tcBorders>
              <w:left w:val="single" w:sz="4" w:space="0" w:color="auto"/>
              <w:bottom w:val="single" w:sz="4" w:space="0" w:color="auto"/>
            </w:tcBorders>
          </w:tcPr>
          <w:p w14:paraId="5ADACE5E" w14:textId="77777777" w:rsidR="003B0EAA" w:rsidRDefault="003B0EAA" w:rsidP="006970B0">
            <w:pPr>
              <w:jc w:val="center"/>
              <w:rPr>
                <w:sz w:val="20"/>
                <w:szCs w:val="20"/>
              </w:rPr>
            </w:pPr>
          </w:p>
        </w:tc>
        <w:tc>
          <w:tcPr>
            <w:tcW w:w="2665" w:type="dxa"/>
            <w:tcBorders>
              <w:bottom w:val="single" w:sz="4" w:space="0" w:color="auto"/>
              <w:right w:val="single" w:sz="4" w:space="0" w:color="auto"/>
            </w:tcBorders>
          </w:tcPr>
          <w:p w14:paraId="172BC83D" w14:textId="77777777" w:rsidR="003B0EAA" w:rsidRDefault="003B0EAA" w:rsidP="006970B0">
            <w:pPr>
              <w:rPr>
                <w:sz w:val="20"/>
                <w:szCs w:val="20"/>
              </w:rPr>
            </w:pPr>
          </w:p>
        </w:tc>
      </w:tr>
    </w:tbl>
    <w:p w14:paraId="6D62323C" w14:textId="77777777" w:rsidR="003B0EAA" w:rsidRDefault="003B0EAA" w:rsidP="003B0EAA">
      <w:pPr>
        <w:spacing w:after="0" w:line="240" w:lineRule="auto"/>
        <w:ind w:left="360"/>
      </w:pPr>
    </w:p>
    <w:p w14:paraId="6B2E279F" w14:textId="77777777" w:rsidR="003B0EAA" w:rsidRPr="00015EC0" w:rsidRDefault="003B0EAA" w:rsidP="003B0EAA">
      <w:pPr>
        <w:spacing w:after="0" w:line="240" w:lineRule="auto"/>
        <w:ind w:left="360"/>
        <w:rPr>
          <w:sz w:val="22"/>
          <w:szCs w:val="22"/>
        </w:rPr>
      </w:pPr>
      <w:r w:rsidRPr="00015EC0">
        <w:rPr>
          <w:sz w:val="22"/>
          <w:szCs w:val="22"/>
        </w:rPr>
        <w:t>Te Whatu Ora will undertake these calculations and make the necessary payments to providers.</w:t>
      </w:r>
    </w:p>
    <w:p w14:paraId="64B2FA77" w14:textId="77777777" w:rsidR="003B0EAA" w:rsidRPr="00015EC0" w:rsidRDefault="003B0EAA" w:rsidP="003B0EAA">
      <w:pPr>
        <w:spacing w:after="0" w:line="240" w:lineRule="auto"/>
        <w:rPr>
          <w:sz w:val="22"/>
          <w:szCs w:val="22"/>
        </w:rPr>
      </w:pPr>
    </w:p>
    <w:p w14:paraId="413FA33D" w14:textId="6C6D184B"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 xml:space="preserve">Case Mix initial </w:t>
      </w:r>
      <w:r w:rsidR="00182BE2">
        <w:rPr>
          <w:b/>
          <w:bCs/>
          <w:color w:val="00A1AC"/>
          <w:sz w:val="22"/>
          <w:szCs w:val="22"/>
        </w:rPr>
        <w:t xml:space="preserve">and repeat </w:t>
      </w:r>
      <w:r w:rsidRPr="00015EC0">
        <w:rPr>
          <w:b/>
          <w:bCs/>
          <w:color w:val="00A1AC"/>
          <w:sz w:val="22"/>
          <w:szCs w:val="22"/>
        </w:rPr>
        <w:t xml:space="preserve">base service </w:t>
      </w:r>
      <w:proofErr w:type="gramStart"/>
      <w:r w:rsidRPr="00015EC0">
        <w:rPr>
          <w:b/>
          <w:bCs/>
          <w:color w:val="00A1AC"/>
          <w:sz w:val="22"/>
          <w:szCs w:val="22"/>
        </w:rPr>
        <w:t>fee</w:t>
      </w:r>
      <w:proofErr w:type="gramEnd"/>
    </w:p>
    <w:p w14:paraId="4166263D" w14:textId="373BE7AF" w:rsidR="003B0EAA" w:rsidRPr="00015EC0" w:rsidRDefault="003B0EAA" w:rsidP="003B0EAA">
      <w:pPr>
        <w:spacing w:after="0" w:line="240" w:lineRule="auto"/>
        <w:ind w:left="360"/>
        <w:rPr>
          <w:color w:val="000000"/>
          <w:sz w:val="22"/>
          <w:szCs w:val="22"/>
        </w:rPr>
      </w:pPr>
      <w:r w:rsidRPr="00015EC0">
        <w:rPr>
          <w:color w:val="000000"/>
          <w:sz w:val="22"/>
          <w:szCs w:val="22"/>
        </w:rPr>
        <w:t xml:space="preserve">Once a month community pharmacies receive a service fee payment based on the number of items dispensed to patients in a given Service Month. Only dispensings covered under the Core </w:t>
      </w:r>
      <w:r w:rsidR="00975EDA">
        <w:rPr>
          <w:color w:val="000000"/>
          <w:sz w:val="22"/>
          <w:szCs w:val="22"/>
        </w:rPr>
        <w:t xml:space="preserve">(Schedule 1) </w:t>
      </w:r>
      <w:r w:rsidRPr="00015EC0">
        <w:rPr>
          <w:color w:val="000000"/>
          <w:sz w:val="22"/>
          <w:szCs w:val="22"/>
        </w:rPr>
        <w:t>and Long Term Condition service are eligible for the payment.</w:t>
      </w:r>
    </w:p>
    <w:p w14:paraId="06D5CC27" w14:textId="77777777" w:rsidR="003B0EAA" w:rsidRPr="00015EC0" w:rsidRDefault="003B0EAA" w:rsidP="003B0EAA">
      <w:pPr>
        <w:spacing w:after="0" w:line="240" w:lineRule="auto"/>
        <w:ind w:left="360"/>
        <w:rPr>
          <w:color w:val="000000"/>
          <w:sz w:val="22"/>
          <w:szCs w:val="22"/>
        </w:rPr>
      </w:pPr>
    </w:p>
    <w:p w14:paraId="5305AD6A" w14:textId="53C8E9E1" w:rsidR="003B0EAA" w:rsidRPr="00015EC0" w:rsidRDefault="003B0EAA" w:rsidP="003B0EAA">
      <w:pPr>
        <w:spacing w:after="0" w:line="240" w:lineRule="auto"/>
        <w:ind w:left="360"/>
        <w:rPr>
          <w:sz w:val="22"/>
          <w:szCs w:val="22"/>
        </w:rPr>
      </w:pPr>
      <w:r w:rsidRPr="00015EC0">
        <w:rPr>
          <w:color w:val="000000"/>
          <w:sz w:val="22"/>
          <w:szCs w:val="22"/>
        </w:rPr>
        <w:t xml:space="preserve">Payments are calculated in advance of the pharmacy actually dispensing medication </w:t>
      </w:r>
      <w:r w:rsidRPr="00015EC0">
        <w:rPr>
          <w:sz w:val="22"/>
          <w:szCs w:val="22"/>
        </w:rPr>
        <w:t>to patients. This advance payment is calculated using a pharmacy’s historical dispensing information for a given Service Month. The second payment (the ‘actual’ payment) is calculated three months later using the actual dispens</w:t>
      </w:r>
      <w:r w:rsidR="00E153ED">
        <w:rPr>
          <w:sz w:val="22"/>
          <w:szCs w:val="22"/>
        </w:rPr>
        <w:t>ing</w:t>
      </w:r>
      <w:r w:rsidRPr="00015EC0">
        <w:rPr>
          <w:sz w:val="22"/>
          <w:szCs w:val="22"/>
        </w:rPr>
        <w:t xml:space="preserve"> information for the Service Month.</w:t>
      </w:r>
    </w:p>
    <w:p w14:paraId="1BDA8CA8" w14:textId="77777777" w:rsidR="003B0EAA" w:rsidRPr="00015EC0" w:rsidRDefault="003B0EAA" w:rsidP="003B0EAA">
      <w:pPr>
        <w:spacing w:after="0" w:line="240" w:lineRule="auto"/>
        <w:ind w:left="360"/>
        <w:rPr>
          <w:sz w:val="22"/>
          <w:szCs w:val="22"/>
        </w:rPr>
      </w:pPr>
    </w:p>
    <w:p w14:paraId="2A52D802" w14:textId="6A131D00" w:rsidR="003B0EAA" w:rsidRPr="00015EC0" w:rsidRDefault="003B0EAA" w:rsidP="003B0EAA">
      <w:pPr>
        <w:spacing w:after="0" w:line="240" w:lineRule="auto"/>
        <w:ind w:left="360"/>
        <w:rPr>
          <w:color w:val="000000"/>
          <w:sz w:val="22"/>
          <w:szCs w:val="22"/>
          <w:lang w:val="en-GB" w:eastAsia="en-GB"/>
        </w:rPr>
      </w:pPr>
      <w:r w:rsidRPr="00015EC0">
        <w:rPr>
          <w:color w:val="000000"/>
          <w:sz w:val="22"/>
          <w:szCs w:val="22"/>
        </w:rPr>
        <w:t xml:space="preserve">For example, </w:t>
      </w:r>
      <w:r w:rsidRPr="00015EC0">
        <w:rPr>
          <w:sz w:val="22"/>
          <w:szCs w:val="22"/>
        </w:rPr>
        <w:t>the</w:t>
      </w:r>
      <w:r w:rsidRPr="00015EC0">
        <w:rPr>
          <w:color w:val="000000"/>
          <w:sz w:val="22"/>
          <w:szCs w:val="22"/>
          <w:lang w:val="en-GB" w:eastAsia="en-GB"/>
        </w:rPr>
        <w:t xml:space="preserve"> following table provides the applicable dates for each service fee payment. The first row under the ‘Advance Payment’ heading shows that dispensings with a date between 01/05/2023 to 31/05/2023 are used to calculate the advance service fee payment for 1 August 2023. On </w:t>
      </w:r>
      <w:r w:rsidR="00837CB8">
        <w:rPr>
          <w:color w:val="000000"/>
          <w:sz w:val="22"/>
          <w:szCs w:val="22"/>
          <w:lang w:val="en-GB" w:eastAsia="en-GB"/>
        </w:rPr>
        <w:t>3</w:t>
      </w:r>
      <w:r w:rsidRPr="00015EC0">
        <w:rPr>
          <w:color w:val="000000"/>
          <w:sz w:val="22"/>
          <w:szCs w:val="22"/>
          <w:lang w:val="en-GB" w:eastAsia="en-GB"/>
        </w:rPr>
        <w:t xml:space="preserve"> </w:t>
      </w:r>
      <w:r w:rsidR="00837CB8">
        <w:rPr>
          <w:color w:val="000000"/>
          <w:sz w:val="22"/>
          <w:szCs w:val="22"/>
          <w:lang w:val="en-GB" w:eastAsia="en-GB"/>
        </w:rPr>
        <w:t>December</w:t>
      </w:r>
      <w:r w:rsidR="00837CB8" w:rsidRPr="00015EC0">
        <w:rPr>
          <w:color w:val="000000"/>
          <w:sz w:val="22"/>
          <w:szCs w:val="22"/>
          <w:lang w:val="en-GB" w:eastAsia="en-GB"/>
        </w:rPr>
        <w:t xml:space="preserve"> </w:t>
      </w:r>
      <w:r w:rsidRPr="00015EC0">
        <w:rPr>
          <w:color w:val="000000"/>
          <w:sz w:val="22"/>
          <w:szCs w:val="22"/>
          <w:lang w:val="en-GB" w:eastAsia="en-GB"/>
        </w:rPr>
        <w:t>2023</w:t>
      </w:r>
      <w:r w:rsidR="00D8740A">
        <w:rPr>
          <w:color w:val="000000"/>
          <w:sz w:val="22"/>
          <w:szCs w:val="22"/>
          <w:lang w:val="en-GB" w:eastAsia="en-GB"/>
        </w:rPr>
        <w:t>,</w:t>
      </w:r>
      <w:r w:rsidRPr="00015EC0">
        <w:rPr>
          <w:color w:val="000000"/>
          <w:sz w:val="22"/>
          <w:szCs w:val="22"/>
          <w:lang w:val="en-GB" w:eastAsia="en-GB"/>
        </w:rPr>
        <w:t xml:space="preserve"> the service fee payment will be based on actual dispensings for </w:t>
      </w:r>
      <w:r w:rsidR="00837CB8">
        <w:rPr>
          <w:color w:val="000000"/>
          <w:sz w:val="22"/>
          <w:szCs w:val="22"/>
          <w:lang w:val="en-GB" w:eastAsia="en-GB"/>
        </w:rPr>
        <w:t>September</w:t>
      </w:r>
      <w:r w:rsidR="00837CB8" w:rsidRPr="00015EC0">
        <w:rPr>
          <w:color w:val="000000"/>
          <w:sz w:val="22"/>
          <w:szCs w:val="22"/>
          <w:lang w:val="en-GB" w:eastAsia="en-GB"/>
        </w:rPr>
        <w:t xml:space="preserve"> </w:t>
      </w:r>
      <w:r w:rsidRPr="00015EC0">
        <w:rPr>
          <w:color w:val="000000"/>
          <w:sz w:val="22"/>
          <w:szCs w:val="22"/>
          <w:lang w:val="en-GB" w:eastAsia="en-GB"/>
        </w:rPr>
        <w:t>2023 (the Service Month).</w:t>
      </w:r>
    </w:p>
    <w:p w14:paraId="47358970" w14:textId="77777777" w:rsidR="003B0EAA" w:rsidRPr="00A700AB" w:rsidRDefault="003B0EAA" w:rsidP="003B0EAA">
      <w:pPr>
        <w:spacing w:after="0" w:line="240" w:lineRule="auto"/>
        <w:ind w:left="360"/>
        <w:rPr>
          <w:color w:val="000000"/>
          <w:lang w:val="en-GB" w:eastAsia="en-GB"/>
        </w:rPr>
      </w:pPr>
    </w:p>
    <w:p w14:paraId="6BE656D1" w14:textId="77777777" w:rsidR="003B0EAA" w:rsidRPr="00A700AB" w:rsidRDefault="003B0EAA" w:rsidP="003B0EAA">
      <w:pPr>
        <w:spacing w:after="0" w:line="240" w:lineRule="auto"/>
        <w:ind w:left="360"/>
      </w:pPr>
      <w:r w:rsidRPr="00A700AB">
        <w:rPr>
          <w:noProof/>
        </w:rPr>
        <w:drawing>
          <wp:inline distT="0" distB="0" distL="0" distR="0" wp14:anchorId="7F2B3564" wp14:editId="32F6FF31">
            <wp:extent cx="5800954" cy="2000792"/>
            <wp:effectExtent l="0" t="0" r="0" b="0"/>
            <wp:docPr id="7" name="Picture 7" descr="A close-up of a pay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ayment&#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824335" cy="2008856"/>
                    </a:xfrm>
                    <a:prstGeom prst="rect">
                      <a:avLst/>
                    </a:prstGeom>
                    <a:noFill/>
                    <a:ln>
                      <a:noFill/>
                    </a:ln>
                  </pic:spPr>
                </pic:pic>
              </a:graphicData>
            </a:graphic>
          </wp:inline>
        </w:drawing>
      </w:r>
    </w:p>
    <w:p w14:paraId="7E9D748D" w14:textId="77777777" w:rsidR="003B0EAA" w:rsidRPr="00015EC0" w:rsidRDefault="003B0EAA" w:rsidP="003B0EAA">
      <w:pPr>
        <w:spacing w:after="0" w:line="240" w:lineRule="auto"/>
        <w:ind w:left="360"/>
        <w:rPr>
          <w:sz w:val="22"/>
          <w:szCs w:val="22"/>
        </w:rPr>
      </w:pPr>
    </w:p>
    <w:p w14:paraId="798D4353" w14:textId="77777777" w:rsidR="003B0EAA" w:rsidRPr="00015EC0" w:rsidRDefault="003B0EAA" w:rsidP="003B0EAA">
      <w:pPr>
        <w:spacing w:after="0" w:line="240" w:lineRule="auto"/>
        <w:ind w:left="360"/>
        <w:rPr>
          <w:color w:val="000000"/>
          <w:sz w:val="22"/>
          <w:szCs w:val="22"/>
        </w:rPr>
      </w:pPr>
      <w:r w:rsidRPr="00015EC0">
        <w:rPr>
          <w:sz w:val="22"/>
          <w:szCs w:val="22"/>
        </w:rPr>
        <w:t xml:space="preserve">The advance service fee payment is reversed in full at the same time as the service fee based on actual dispensings for the Service Month is paid. </w:t>
      </w:r>
      <w:r w:rsidRPr="00015EC0">
        <w:rPr>
          <w:color w:val="000000"/>
          <w:sz w:val="22"/>
          <w:szCs w:val="22"/>
        </w:rPr>
        <w:t>The case mix system (CPSA4_prod) calculates the advance and actual service fee payments for each community pharmacy.</w:t>
      </w:r>
    </w:p>
    <w:p w14:paraId="3B5CBBF7" w14:textId="77777777" w:rsidR="003B0EAA" w:rsidRPr="00015EC0" w:rsidRDefault="003B0EAA" w:rsidP="003B0EAA">
      <w:pPr>
        <w:spacing w:after="0" w:line="240" w:lineRule="auto"/>
        <w:ind w:left="360"/>
        <w:rPr>
          <w:color w:val="000000"/>
          <w:sz w:val="22"/>
          <w:szCs w:val="22"/>
        </w:rPr>
      </w:pPr>
    </w:p>
    <w:p w14:paraId="6FA3D376" w14:textId="08287D90" w:rsidR="003B0EAA" w:rsidRPr="00015EC0" w:rsidRDefault="003B0EAA" w:rsidP="003B0EAA">
      <w:pPr>
        <w:spacing w:after="0" w:line="240" w:lineRule="auto"/>
        <w:ind w:left="360"/>
        <w:rPr>
          <w:color w:val="000000"/>
          <w:sz w:val="22"/>
          <w:szCs w:val="22"/>
        </w:rPr>
      </w:pPr>
      <w:r w:rsidRPr="00015EC0">
        <w:rPr>
          <w:color w:val="000000"/>
          <w:sz w:val="22"/>
          <w:szCs w:val="22"/>
        </w:rPr>
        <w:lastRenderedPageBreak/>
        <w:t>At the end of each year there is an annual washup where each month's Case Mix is reprocessed to capture late scripts and change of pharmacy ownerships. This process will ensure that the new amounts paid for initial base service fees, and repeat base service fees, are paid to providers.</w:t>
      </w:r>
    </w:p>
    <w:p w14:paraId="7AF442CF" w14:textId="77777777" w:rsidR="003B0EAA" w:rsidRPr="00015EC0" w:rsidRDefault="003B0EAA" w:rsidP="003B0EAA">
      <w:pPr>
        <w:spacing w:after="0" w:line="240" w:lineRule="auto"/>
        <w:ind w:left="360"/>
        <w:rPr>
          <w:color w:val="000000"/>
          <w:sz w:val="22"/>
          <w:szCs w:val="22"/>
        </w:rPr>
      </w:pPr>
    </w:p>
    <w:p w14:paraId="07B4039A" w14:textId="77777777" w:rsidR="003B0EAA" w:rsidRPr="00015EC0" w:rsidRDefault="003B0EAA" w:rsidP="003B0EAA">
      <w:pPr>
        <w:spacing w:after="0" w:line="240" w:lineRule="auto"/>
        <w:ind w:left="360"/>
        <w:rPr>
          <w:color w:val="000000"/>
          <w:sz w:val="22"/>
          <w:szCs w:val="22"/>
        </w:rPr>
      </w:pPr>
      <w:r w:rsidRPr="00015EC0">
        <w:rPr>
          <w:color w:val="000000"/>
          <w:sz w:val="22"/>
          <w:szCs w:val="22"/>
        </w:rPr>
        <w:t xml:space="preserve">The washup will address back payment to 1 July 2023 (if the contract year changes to July - June) or 1 October 2023 (if the contract year remains </w:t>
      </w:r>
      <w:proofErr w:type="gramStart"/>
      <w:r w:rsidRPr="00015EC0">
        <w:rPr>
          <w:color w:val="000000"/>
          <w:sz w:val="22"/>
          <w:szCs w:val="22"/>
        </w:rPr>
        <w:t>at</w:t>
      </w:r>
      <w:proofErr w:type="gramEnd"/>
      <w:r w:rsidRPr="00015EC0">
        <w:rPr>
          <w:color w:val="000000"/>
          <w:sz w:val="22"/>
          <w:szCs w:val="22"/>
        </w:rPr>
        <w:t xml:space="preserve"> October – September).</w:t>
      </w:r>
    </w:p>
    <w:p w14:paraId="1FFADCED" w14:textId="77777777" w:rsidR="003B0EAA" w:rsidRPr="00015EC0" w:rsidRDefault="003B0EAA" w:rsidP="003B0EAA">
      <w:pPr>
        <w:spacing w:after="0" w:line="240" w:lineRule="auto"/>
        <w:ind w:left="360"/>
        <w:rPr>
          <w:color w:val="000000"/>
          <w:sz w:val="22"/>
          <w:szCs w:val="22"/>
        </w:rPr>
      </w:pPr>
    </w:p>
    <w:p w14:paraId="75FA297D" w14:textId="77777777"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Additional Professional Advisory Services (APAS) payments</w:t>
      </w:r>
    </w:p>
    <w:p w14:paraId="1916A5DC" w14:textId="77777777" w:rsidR="003B0EAA" w:rsidRPr="00015EC0" w:rsidRDefault="003B0EAA" w:rsidP="003B0EAA">
      <w:pPr>
        <w:spacing w:after="0" w:line="240" w:lineRule="auto"/>
        <w:ind w:left="360"/>
        <w:rPr>
          <w:sz w:val="22"/>
          <w:szCs w:val="22"/>
        </w:rPr>
      </w:pPr>
      <w:r w:rsidRPr="00015EC0">
        <w:rPr>
          <w:sz w:val="22"/>
          <w:szCs w:val="22"/>
        </w:rPr>
        <w:t xml:space="preserve">Back-payments for APAS will be handled by a one-off set of reversals and new payments. These will be completed before the end of 2023. A pharmacy’s proportion of the APAS Payment Pool will not be recalculated, only the size of the pool. </w:t>
      </w:r>
    </w:p>
    <w:p w14:paraId="14E5AFBB" w14:textId="77777777" w:rsidR="003B0EAA" w:rsidRPr="00015EC0" w:rsidRDefault="003B0EAA" w:rsidP="003B0EAA">
      <w:pPr>
        <w:spacing w:after="0" w:line="240" w:lineRule="auto"/>
        <w:ind w:left="360"/>
        <w:rPr>
          <w:sz w:val="22"/>
          <w:szCs w:val="22"/>
        </w:rPr>
      </w:pPr>
    </w:p>
    <w:p w14:paraId="4A93655C" w14:textId="49B00E17" w:rsidR="003B0EAA" w:rsidRPr="00015EC0" w:rsidRDefault="003B0EAA" w:rsidP="003B0EAA">
      <w:pPr>
        <w:spacing w:after="0" w:line="240" w:lineRule="auto"/>
        <w:ind w:left="360"/>
        <w:rPr>
          <w:sz w:val="22"/>
          <w:szCs w:val="22"/>
        </w:rPr>
      </w:pPr>
      <w:r w:rsidRPr="00015EC0">
        <w:rPr>
          <w:sz w:val="22"/>
          <w:szCs w:val="22"/>
        </w:rPr>
        <w:t>As Variation 5 provides for a redistribution of funding current</w:t>
      </w:r>
      <w:r w:rsidR="002A4F5D">
        <w:rPr>
          <w:sz w:val="22"/>
          <w:szCs w:val="22"/>
        </w:rPr>
        <w:t>ly</w:t>
      </w:r>
      <w:r w:rsidRPr="00015EC0">
        <w:rPr>
          <w:sz w:val="22"/>
          <w:szCs w:val="22"/>
        </w:rPr>
        <w:t xml:space="preserve"> paid as part of the APAS Payment Pool to other fees, the reversal payment will be larger than the new payment for all pharmacies. As set out in the </w:t>
      </w:r>
      <w:r w:rsidR="009A6246">
        <w:rPr>
          <w:sz w:val="22"/>
          <w:szCs w:val="22"/>
        </w:rPr>
        <w:t>V</w:t>
      </w:r>
      <w:r w:rsidRPr="00015EC0">
        <w:rPr>
          <w:sz w:val="22"/>
          <w:szCs w:val="22"/>
        </w:rPr>
        <w:t>ariation 5, that amount will be set off from payments to be made to providers, in the usual way.</w:t>
      </w:r>
    </w:p>
    <w:p w14:paraId="13A45EC1" w14:textId="77777777" w:rsidR="003B0EAA" w:rsidRPr="00015EC0" w:rsidRDefault="003B0EAA" w:rsidP="003B0EAA">
      <w:pPr>
        <w:spacing w:after="0" w:line="240" w:lineRule="auto"/>
        <w:ind w:left="360"/>
        <w:rPr>
          <w:sz w:val="22"/>
          <w:szCs w:val="22"/>
        </w:rPr>
      </w:pPr>
    </w:p>
    <w:p w14:paraId="23D3CDE8" w14:textId="77777777"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Community Pharmacy Anticoagulation Management Services (CPAMS) monthly fee</w:t>
      </w:r>
    </w:p>
    <w:p w14:paraId="0F8F152D" w14:textId="77777777" w:rsidR="003B0EAA" w:rsidRPr="00015EC0" w:rsidRDefault="003B0EAA" w:rsidP="003B0EAA">
      <w:pPr>
        <w:spacing w:after="0" w:line="240" w:lineRule="auto"/>
        <w:ind w:left="360"/>
        <w:rPr>
          <w:sz w:val="22"/>
          <w:szCs w:val="22"/>
        </w:rPr>
      </w:pPr>
      <w:r w:rsidRPr="00015EC0">
        <w:rPr>
          <w:sz w:val="22"/>
          <w:szCs w:val="22"/>
        </w:rPr>
        <w:t xml:space="preserve">Payments for CPAMS are made pursuant to a provider invoice. Te Whatu Ora Sector Operations does not hold the volume data the individual pharmacies have invoiced for. Therefore, </w:t>
      </w:r>
      <w:r w:rsidRPr="00EA3D15">
        <w:rPr>
          <w:sz w:val="22"/>
          <w:szCs w:val="22"/>
        </w:rPr>
        <w:t>pharmacies will need to invoice Te Whatu Ora</w:t>
      </w:r>
      <w:r w:rsidRPr="00015EC0">
        <w:rPr>
          <w:sz w:val="22"/>
          <w:szCs w:val="22"/>
        </w:rPr>
        <w:t xml:space="preserve"> (</w:t>
      </w:r>
      <w:hyperlink r:id="rId15" w:history="1">
        <w:r w:rsidRPr="00015EC0">
          <w:rPr>
            <w:rStyle w:val="Hyperlink"/>
            <w:sz w:val="22"/>
            <w:szCs w:val="22"/>
          </w:rPr>
          <w:t>providerinvoices@health.govt.nz</w:t>
        </w:r>
      </w:hyperlink>
      <w:r w:rsidRPr="00015EC0">
        <w:rPr>
          <w:sz w:val="22"/>
          <w:szCs w:val="22"/>
        </w:rPr>
        <w:t>) for the difference.</w:t>
      </w:r>
    </w:p>
    <w:p w14:paraId="7F2C154B" w14:textId="77777777" w:rsidR="003B0EAA" w:rsidRPr="00015EC0" w:rsidRDefault="003B0EAA" w:rsidP="003B0EAA">
      <w:pPr>
        <w:spacing w:after="0" w:line="240" w:lineRule="auto"/>
        <w:ind w:left="360"/>
        <w:rPr>
          <w:sz w:val="22"/>
          <w:szCs w:val="22"/>
        </w:rPr>
      </w:pPr>
    </w:p>
    <w:p w14:paraId="5939D60E" w14:textId="77777777" w:rsidR="003B0EAA" w:rsidRPr="00015EC0" w:rsidRDefault="003B0EAA" w:rsidP="003B0EAA">
      <w:pPr>
        <w:spacing w:after="0" w:line="240" w:lineRule="auto"/>
        <w:ind w:left="360"/>
        <w:rPr>
          <w:sz w:val="22"/>
          <w:szCs w:val="22"/>
        </w:rPr>
      </w:pPr>
      <w:r w:rsidRPr="00015EC0">
        <w:rPr>
          <w:sz w:val="22"/>
          <w:szCs w:val="22"/>
        </w:rPr>
        <w:t>Methodology: difference to be invoiced:</w:t>
      </w:r>
    </w:p>
    <w:p w14:paraId="1AD5C203" w14:textId="77777777" w:rsidR="003B0EAA" w:rsidRDefault="003B0EAA" w:rsidP="003B0EAA">
      <w:pPr>
        <w:spacing w:after="0" w:line="240" w:lineRule="auto"/>
        <w:ind w:left="360"/>
      </w:pPr>
    </w:p>
    <w:tbl>
      <w:tblPr>
        <w:tblStyle w:val="TableGrid"/>
        <w:tblW w:w="8731" w:type="dxa"/>
        <w:tblInd w:w="360"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4"/>
        <w:gridCol w:w="2665"/>
        <w:gridCol w:w="396"/>
        <w:gridCol w:w="2665"/>
      </w:tblGrid>
      <w:tr w:rsidR="003B0EAA" w14:paraId="03D8AB62" w14:textId="77777777" w:rsidTr="00903DE4">
        <w:tc>
          <w:tcPr>
            <w:tcW w:w="2551" w:type="dxa"/>
            <w:tcBorders>
              <w:top w:val="single" w:sz="4" w:space="0" w:color="auto"/>
              <w:right w:val="single" w:sz="4" w:space="0" w:color="auto"/>
            </w:tcBorders>
          </w:tcPr>
          <w:p w14:paraId="1580A849" w14:textId="77777777" w:rsidR="003B0EAA" w:rsidRPr="000A0C7A" w:rsidRDefault="003B0EAA" w:rsidP="006970B0">
            <w:pPr>
              <w:rPr>
                <w:sz w:val="20"/>
                <w:szCs w:val="20"/>
              </w:rPr>
            </w:pPr>
            <w:r>
              <w:rPr>
                <w:sz w:val="20"/>
                <w:szCs w:val="20"/>
              </w:rPr>
              <w:t>Difference to be paid per CPAM Service User</w:t>
            </w:r>
          </w:p>
        </w:tc>
        <w:tc>
          <w:tcPr>
            <w:tcW w:w="454" w:type="dxa"/>
            <w:tcBorders>
              <w:top w:val="single" w:sz="4" w:space="0" w:color="auto"/>
              <w:left w:val="single" w:sz="4" w:space="0" w:color="auto"/>
            </w:tcBorders>
          </w:tcPr>
          <w:p w14:paraId="03C4BF08" w14:textId="77777777" w:rsidR="003B0EAA" w:rsidRPr="000A0C7A" w:rsidRDefault="003B0EAA" w:rsidP="006970B0">
            <w:pPr>
              <w:jc w:val="center"/>
              <w:rPr>
                <w:sz w:val="20"/>
                <w:szCs w:val="20"/>
              </w:rPr>
            </w:pPr>
            <w:r>
              <w:rPr>
                <w:sz w:val="20"/>
                <w:szCs w:val="20"/>
              </w:rPr>
              <w:t>=</w:t>
            </w:r>
          </w:p>
        </w:tc>
        <w:tc>
          <w:tcPr>
            <w:tcW w:w="2665" w:type="dxa"/>
            <w:tcBorders>
              <w:top w:val="single" w:sz="4" w:space="0" w:color="auto"/>
              <w:right w:val="single" w:sz="4" w:space="0" w:color="auto"/>
            </w:tcBorders>
          </w:tcPr>
          <w:p w14:paraId="2DE14676" w14:textId="77777777" w:rsidR="003B0EAA" w:rsidRDefault="003B0EAA" w:rsidP="006970B0">
            <w:pPr>
              <w:rPr>
                <w:sz w:val="20"/>
                <w:szCs w:val="20"/>
              </w:rPr>
            </w:pPr>
            <w:r>
              <w:rPr>
                <w:sz w:val="20"/>
                <w:szCs w:val="20"/>
              </w:rPr>
              <w:t>New (Variation 5) CPAM Service Fee</w:t>
            </w:r>
          </w:p>
          <w:p w14:paraId="3658EB51" w14:textId="77777777" w:rsidR="003B0EAA" w:rsidRPr="000A0C7A" w:rsidRDefault="003B0EAA" w:rsidP="006970B0">
            <w:pPr>
              <w:rPr>
                <w:sz w:val="20"/>
                <w:szCs w:val="20"/>
              </w:rPr>
            </w:pPr>
          </w:p>
        </w:tc>
        <w:tc>
          <w:tcPr>
            <w:tcW w:w="396" w:type="dxa"/>
            <w:tcBorders>
              <w:top w:val="single" w:sz="4" w:space="0" w:color="auto"/>
              <w:left w:val="single" w:sz="4" w:space="0" w:color="auto"/>
            </w:tcBorders>
          </w:tcPr>
          <w:p w14:paraId="0C486316" w14:textId="77777777" w:rsidR="003B0EAA" w:rsidRDefault="003B0EAA" w:rsidP="006970B0">
            <w:pPr>
              <w:jc w:val="center"/>
              <w:rPr>
                <w:sz w:val="20"/>
                <w:szCs w:val="20"/>
              </w:rPr>
            </w:pPr>
            <w:r>
              <w:rPr>
                <w:sz w:val="20"/>
                <w:szCs w:val="20"/>
              </w:rPr>
              <w:t>-</w:t>
            </w:r>
          </w:p>
        </w:tc>
        <w:tc>
          <w:tcPr>
            <w:tcW w:w="2665" w:type="dxa"/>
            <w:tcBorders>
              <w:top w:val="single" w:sz="4" w:space="0" w:color="auto"/>
              <w:right w:val="single" w:sz="4" w:space="0" w:color="auto"/>
            </w:tcBorders>
          </w:tcPr>
          <w:p w14:paraId="500E029B" w14:textId="77777777" w:rsidR="003B0EAA" w:rsidRDefault="003B0EAA" w:rsidP="006970B0">
            <w:pPr>
              <w:rPr>
                <w:sz w:val="20"/>
                <w:szCs w:val="20"/>
              </w:rPr>
            </w:pPr>
            <w:r>
              <w:rPr>
                <w:sz w:val="20"/>
                <w:szCs w:val="20"/>
              </w:rPr>
              <w:t>Old (Variation 3 or 4) CPAM Service Fee</w:t>
            </w:r>
          </w:p>
          <w:p w14:paraId="4486D651" w14:textId="77777777" w:rsidR="003B0EAA" w:rsidRPr="000A0C7A" w:rsidRDefault="003B0EAA" w:rsidP="006970B0">
            <w:pPr>
              <w:rPr>
                <w:sz w:val="20"/>
                <w:szCs w:val="20"/>
              </w:rPr>
            </w:pPr>
          </w:p>
        </w:tc>
      </w:tr>
      <w:tr w:rsidR="003B0EAA" w14:paraId="31497124" w14:textId="77777777" w:rsidTr="00903DE4">
        <w:tc>
          <w:tcPr>
            <w:tcW w:w="2551" w:type="dxa"/>
            <w:tcBorders>
              <w:right w:val="single" w:sz="4" w:space="0" w:color="auto"/>
            </w:tcBorders>
          </w:tcPr>
          <w:p w14:paraId="2A338CCB" w14:textId="77777777" w:rsidR="003B0EAA" w:rsidRDefault="003B0EAA" w:rsidP="006970B0">
            <w:pPr>
              <w:rPr>
                <w:sz w:val="20"/>
                <w:szCs w:val="20"/>
              </w:rPr>
            </w:pPr>
          </w:p>
        </w:tc>
        <w:tc>
          <w:tcPr>
            <w:tcW w:w="454" w:type="dxa"/>
            <w:tcBorders>
              <w:left w:val="single" w:sz="4" w:space="0" w:color="auto"/>
            </w:tcBorders>
          </w:tcPr>
          <w:p w14:paraId="16AD1872"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098F98F2" w14:textId="77777777" w:rsidR="003B0EAA" w:rsidRDefault="003B0EAA" w:rsidP="006970B0">
            <w:pPr>
              <w:rPr>
                <w:sz w:val="20"/>
                <w:szCs w:val="20"/>
              </w:rPr>
            </w:pPr>
            <w:r>
              <w:rPr>
                <w:sz w:val="20"/>
                <w:szCs w:val="20"/>
              </w:rPr>
              <w:t>$47.25</w:t>
            </w:r>
          </w:p>
        </w:tc>
        <w:tc>
          <w:tcPr>
            <w:tcW w:w="396" w:type="dxa"/>
            <w:tcBorders>
              <w:left w:val="single" w:sz="4" w:space="0" w:color="auto"/>
            </w:tcBorders>
          </w:tcPr>
          <w:p w14:paraId="64EB32FC" w14:textId="77777777" w:rsidR="003B0EAA" w:rsidRDefault="003B0EAA" w:rsidP="006970B0">
            <w:pPr>
              <w:jc w:val="center"/>
              <w:rPr>
                <w:sz w:val="20"/>
                <w:szCs w:val="20"/>
              </w:rPr>
            </w:pPr>
          </w:p>
        </w:tc>
        <w:tc>
          <w:tcPr>
            <w:tcW w:w="2665" w:type="dxa"/>
            <w:tcBorders>
              <w:right w:val="single" w:sz="4" w:space="0" w:color="auto"/>
            </w:tcBorders>
          </w:tcPr>
          <w:p w14:paraId="2E0FDACB" w14:textId="77777777" w:rsidR="003B0EAA" w:rsidRDefault="003B0EAA" w:rsidP="006970B0">
            <w:pPr>
              <w:rPr>
                <w:sz w:val="20"/>
                <w:szCs w:val="20"/>
              </w:rPr>
            </w:pPr>
            <w:r>
              <w:rPr>
                <w:sz w:val="20"/>
                <w:szCs w:val="20"/>
              </w:rPr>
              <w:t>$45.00</w:t>
            </w:r>
          </w:p>
        </w:tc>
      </w:tr>
      <w:tr w:rsidR="003B0EAA" w14:paraId="7D1F089C" w14:textId="77777777" w:rsidTr="00903DE4">
        <w:tc>
          <w:tcPr>
            <w:tcW w:w="2551" w:type="dxa"/>
            <w:tcBorders>
              <w:right w:val="single" w:sz="4" w:space="0" w:color="auto"/>
            </w:tcBorders>
          </w:tcPr>
          <w:p w14:paraId="69865249" w14:textId="77777777" w:rsidR="003B0EAA" w:rsidRDefault="003B0EAA" w:rsidP="006970B0">
            <w:pPr>
              <w:rPr>
                <w:sz w:val="20"/>
                <w:szCs w:val="20"/>
              </w:rPr>
            </w:pPr>
          </w:p>
        </w:tc>
        <w:tc>
          <w:tcPr>
            <w:tcW w:w="454" w:type="dxa"/>
            <w:tcBorders>
              <w:left w:val="single" w:sz="4" w:space="0" w:color="auto"/>
            </w:tcBorders>
          </w:tcPr>
          <w:p w14:paraId="610F9D0C"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2F08D018" w14:textId="77777777" w:rsidR="003B0EAA" w:rsidRDefault="003B0EAA" w:rsidP="006970B0">
            <w:pPr>
              <w:rPr>
                <w:sz w:val="20"/>
                <w:szCs w:val="20"/>
              </w:rPr>
            </w:pPr>
            <w:r>
              <w:rPr>
                <w:sz w:val="20"/>
                <w:szCs w:val="20"/>
              </w:rPr>
              <w:t>$2.25</w:t>
            </w:r>
          </w:p>
        </w:tc>
        <w:tc>
          <w:tcPr>
            <w:tcW w:w="396" w:type="dxa"/>
            <w:tcBorders>
              <w:left w:val="single" w:sz="4" w:space="0" w:color="auto"/>
            </w:tcBorders>
          </w:tcPr>
          <w:p w14:paraId="0023F06E" w14:textId="77777777" w:rsidR="003B0EAA" w:rsidRDefault="003B0EAA" w:rsidP="006970B0">
            <w:pPr>
              <w:jc w:val="center"/>
              <w:rPr>
                <w:sz w:val="20"/>
                <w:szCs w:val="20"/>
              </w:rPr>
            </w:pPr>
          </w:p>
        </w:tc>
        <w:tc>
          <w:tcPr>
            <w:tcW w:w="2665" w:type="dxa"/>
            <w:tcBorders>
              <w:right w:val="single" w:sz="4" w:space="0" w:color="auto"/>
            </w:tcBorders>
          </w:tcPr>
          <w:p w14:paraId="7DCB58EA" w14:textId="77777777" w:rsidR="003B0EAA" w:rsidRDefault="003B0EAA" w:rsidP="006970B0">
            <w:pPr>
              <w:rPr>
                <w:sz w:val="20"/>
                <w:szCs w:val="20"/>
              </w:rPr>
            </w:pPr>
          </w:p>
        </w:tc>
      </w:tr>
      <w:tr w:rsidR="003B0EAA" w14:paraId="0C04E961" w14:textId="77777777" w:rsidTr="00903DE4">
        <w:tc>
          <w:tcPr>
            <w:tcW w:w="2551" w:type="dxa"/>
            <w:tcBorders>
              <w:right w:val="single" w:sz="4" w:space="0" w:color="auto"/>
            </w:tcBorders>
          </w:tcPr>
          <w:p w14:paraId="2A9A3DC9" w14:textId="77777777" w:rsidR="003B0EAA" w:rsidRDefault="003B0EAA" w:rsidP="006970B0">
            <w:pPr>
              <w:rPr>
                <w:sz w:val="20"/>
                <w:szCs w:val="20"/>
              </w:rPr>
            </w:pPr>
          </w:p>
        </w:tc>
        <w:tc>
          <w:tcPr>
            <w:tcW w:w="454" w:type="dxa"/>
            <w:tcBorders>
              <w:left w:val="single" w:sz="4" w:space="0" w:color="auto"/>
            </w:tcBorders>
          </w:tcPr>
          <w:p w14:paraId="7A411E42" w14:textId="77777777" w:rsidR="003B0EAA" w:rsidRDefault="003B0EAA" w:rsidP="006970B0">
            <w:pPr>
              <w:jc w:val="center"/>
              <w:rPr>
                <w:sz w:val="20"/>
                <w:szCs w:val="20"/>
              </w:rPr>
            </w:pPr>
          </w:p>
        </w:tc>
        <w:tc>
          <w:tcPr>
            <w:tcW w:w="2665" w:type="dxa"/>
            <w:tcBorders>
              <w:right w:val="single" w:sz="4" w:space="0" w:color="auto"/>
            </w:tcBorders>
          </w:tcPr>
          <w:p w14:paraId="2F32CCCD" w14:textId="77777777" w:rsidR="003B0EAA" w:rsidRDefault="003B0EAA" w:rsidP="006970B0">
            <w:pPr>
              <w:rPr>
                <w:sz w:val="20"/>
                <w:szCs w:val="20"/>
              </w:rPr>
            </w:pPr>
          </w:p>
        </w:tc>
        <w:tc>
          <w:tcPr>
            <w:tcW w:w="396" w:type="dxa"/>
            <w:tcBorders>
              <w:left w:val="single" w:sz="4" w:space="0" w:color="auto"/>
            </w:tcBorders>
          </w:tcPr>
          <w:p w14:paraId="4AE7B402" w14:textId="77777777" w:rsidR="003B0EAA" w:rsidRDefault="003B0EAA" w:rsidP="006970B0">
            <w:pPr>
              <w:jc w:val="center"/>
              <w:rPr>
                <w:sz w:val="20"/>
                <w:szCs w:val="20"/>
              </w:rPr>
            </w:pPr>
          </w:p>
        </w:tc>
        <w:tc>
          <w:tcPr>
            <w:tcW w:w="2665" w:type="dxa"/>
            <w:tcBorders>
              <w:right w:val="single" w:sz="4" w:space="0" w:color="auto"/>
            </w:tcBorders>
          </w:tcPr>
          <w:p w14:paraId="35F17AE8" w14:textId="77777777" w:rsidR="003B0EAA" w:rsidRDefault="003B0EAA" w:rsidP="006970B0">
            <w:pPr>
              <w:rPr>
                <w:sz w:val="20"/>
                <w:szCs w:val="20"/>
              </w:rPr>
            </w:pPr>
          </w:p>
        </w:tc>
      </w:tr>
      <w:tr w:rsidR="003B0EAA" w14:paraId="0A371D60" w14:textId="77777777" w:rsidTr="00903DE4">
        <w:tc>
          <w:tcPr>
            <w:tcW w:w="2551" w:type="dxa"/>
            <w:tcBorders>
              <w:right w:val="single" w:sz="4" w:space="0" w:color="auto"/>
            </w:tcBorders>
          </w:tcPr>
          <w:p w14:paraId="3379F293" w14:textId="77777777" w:rsidR="003B0EAA" w:rsidRDefault="003B0EAA" w:rsidP="006970B0">
            <w:pPr>
              <w:rPr>
                <w:sz w:val="20"/>
                <w:szCs w:val="20"/>
              </w:rPr>
            </w:pPr>
            <w:r>
              <w:rPr>
                <w:sz w:val="20"/>
                <w:szCs w:val="20"/>
              </w:rPr>
              <w:t>To invoice for</w:t>
            </w:r>
          </w:p>
        </w:tc>
        <w:tc>
          <w:tcPr>
            <w:tcW w:w="454" w:type="dxa"/>
            <w:tcBorders>
              <w:left w:val="single" w:sz="4" w:space="0" w:color="auto"/>
            </w:tcBorders>
          </w:tcPr>
          <w:p w14:paraId="685BBE0D" w14:textId="77777777" w:rsidR="003B0EAA" w:rsidRDefault="003B0EAA" w:rsidP="006970B0">
            <w:pPr>
              <w:jc w:val="center"/>
              <w:rPr>
                <w:sz w:val="20"/>
                <w:szCs w:val="20"/>
              </w:rPr>
            </w:pPr>
            <w:r>
              <w:rPr>
                <w:sz w:val="20"/>
                <w:szCs w:val="20"/>
              </w:rPr>
              <w:t>=</w:t>
            </w:r>
          </w:p>
        </w:tc>
        <w:tc>
          <w:tcPr>
            <w:tcW w:w="2665" w:type="dxa"/>
            <w:tcBorders>
              <w:right w:val="single" w:sz="4" w:space="0" w:color="auto"/>
            </w:tcBorders>
          </w:tcPr>
          <w:p w14:paraId="2296F1F5" w14:textId="29CAED40" w:rsidR="003B0EAA" w:rsidRDefault="003B0EAA" w:rsidP="006970B0">
            <w:pPr>
              <w:rPr>
                <w:sz w:val="20"/>
                <w:szCs w:val="20"/>
              </w:rPr>
            </w:pPr>
            <w:r w:rsidRPr="000A0C7A">
              <w:rPr>
                <w:sz w:val="20"/>
                <w:szCs w:val="20"/>
              </w:rPr>
              <w:t>Total number of CPAM Service Fees invoiced and paid</w:t>
            </w:r>
            <w:r>
              <w:rPr>
                <w:sz w:val="20"/>
                <w:szCs w:val="20"/>
              </w:rPr>
              <w:t xml:space="preserve"> for the period (for example, </w:t>
            </w:r>
            <w:r w:rsidRPr="000A0C7A">
              <w:rPr>
                <w:sz w:val="20"/>
                <w:szCs w:val="20"/>
              </w:rPr>
              <w:t xml:space="preserve">1 July 2023 to </w:t>
            </w:r>
            <w:r w:rsidR="00837CB8">
              <w:rPr>
                <w:sz w:val="20"/>
                <w:szCs w:val="20"/>
              </w:rPr>
              <w:t>30 November</w:t>
            </w:r>
            <w:r w:rsidRPr="000A0C7A">
              <w:rPr>
                <w:sz w:val="20"/>
                <w:szCs w:val="20"/>
              </w:rPr>
              <w:t xml:space="preserve"> 20</w:t>
            </w:r>
            <w:r>
              <w:rPr>
                <w:sz w:val="20"/>
                <w:szCs w:val="20"/>
              </w:rPr>
              <w:t>2</w:t>
            </w:r>
            <w:r w:rsidRPr="000A0C7A">
              <w:rPr>
                <w:sz w:val="20"/>
                <w:szCs w:val="20"/>
              </w:rPr>
              <w:t>3</w:t>
            </w:r>
            <w:r>
              <w:rPr>
                <w:sz w:val="20"/>
                <w:szCs w:val="20"/>
              </w:rPr>
              <w:t>), by month</w:t>
            </w:r>
          </w:p>
        </w:tc>
        <w:tc>
          <w:tcPr>
            <w:tcW w:w="396" w:type="dxa"/>
            <w:tcBorders>
              <w:left w:val="single" w:sz="4" w:space="0" w:color="auto"/>
            </w:tcBorders>
          </w:tcPr>
          <w:p w14:paraId="13CD19CD" w14:textId="77777777" w:rsidR="003B0EAA" w:rsidRDefault="003B0EAA" w:rsidP="006970B0">
            <w:pPr>
              <w:jc w:val="center"/>
              <w:rPr>
                <w:sz w:val="20"/>
                <w:szCs w:val="20"/>
              </w:rPr>
            </w:pPr>
            <w:r>
              <w:rPr>
                <w:sz w:val="20"/>
                <w:szCs w:val="20"/>
              </w:rPr>
              <w:t>x</w:t>
            </w:r>
          </w:p>
        </w:tc>
        <w:tc>
          <w:tcPr>
            <w:tcW w:w="2665" w:type="dxa"/>
            <w:tcBorders>
              <w:right w:val="single" w:sz="4" w:space="0" w:color="auto"/>
            </w:tcBorders>
          </w:tcPr>
          <w:p w14:paraId="3E638020" w14:textId="77777777" w:rsidR="003B0EAA" w:rsidRDefault="003B0EAA" w:rsidP="006970B0">
            <w:pPr>
              <w:rPr>
                <w:sz w:val="20"/>
                <w:szCs w:val="20"/>
              </w:rPr>
            </w:pPr>
            <w:r>
              <w:rPr>
                <w:sz w:val="20"/>
                <w:szCs w:val="20"/>
              </w:rPr>
              <w:t>$2.25</w:t>
            </w:r>
          </w:p>
        </w:tc>
      </w:tr>
      <w:tr w:rsidR="003B0EAA" w14:paraId="5B04A076" w14:textId="77777777" w:rsidTr="00903DE4">
        <w:tc>
          <w:tcPr>
            <w:tcW w:w="2551" w:type="dxa"/>
            <w:tcBorders>
              <w:bottom w:val="nil"/>
              <w:right w:val="single" w:sz="4" w:space="0" w:color="auto"/>
            </w:tcBorders>
          </w:tcPr>
          <w:p w14:paraId="7F6EA5DE" w14:textId="77777777" w:rsidR="003B0EAA" w:rsidRDefault="003B0EAA" w:rsidP="006970B0">
            <w:pPr>
              <w:rPr>
                <w:sz w:val="20"/>
                <w:szCs w:val="20"/>
              </w:rPr>
            </w:pPr>
          </w:p>
        </w:tc>
        <w:tc>
          <w:tcPr>
            <w:tcW w:w="454" w:type="dxa"/>
            <w:tcBorders>
              <w:left w:val="single" w:sz="4" w:space="0" w:color="auto"/>
              <w:bottom w:val="nil"/>
            </w:tcBorders>
          </w:tcPr>
          <w:p w14:paraId="52DE261D" w14:textId="77777777" w:rsidR="003B0EAA" w:rsidRDefault="003B0EAA" w:rsidP="006970B0">
            <w:pPr>
              <w:jc w:val="center"/>
              <w:rPr>
                <w:sz w:val="20"/>
                <w:szCs w:val="20"/>
              </w:rPr>
            </w:pPr>
            <w:r>
              <w:rPr>
                <w:sz w:val="20"/>
                <w:szCs w:val="20"/>
              </w:rPr>
              <w:t>=</w:t>
            </w:r>
          </w:p>
        </w:tc>
        <w:tc>
          <w:tcPr>
            <w:tcW w:w="2665" w:type="dxa"/>
            <w:tcBorders>
              <w:bottom w:val="nil"/>
              <w:right w:val="single" w:sz="4" w:space="0" w:color="auto"/>
            </w:tcBorders>
          </w:tcPr>
          <w:p w14:paraId="2F69191A" w14:textId="77777777" w:rsidR="003B0EAA" w:rsidRDefault="003B0EAA" w:rsidP="006970B0">
            <w:pPr>
              <w:rPr>
                <w:sz w:val="20"/>
                <w:szCs w:val="20"/>
              </w:rPr>
            </w:pPr>
            <w:r>
              <w:rPr>
                <w:sz w:val="20"/>
                <w:szCs w:val="20"/>
              </w:rPr>
              <w:t>Amount to be invoiced</w:t>
            </w:r>
          </w:p>
        </w:tc>
        <w:tc>
          <w:tcPr>
            <w:tcW w:w="396" w:type="dxa"/>
            <w:tcBorders>
              <w:left w:val="single" w:sz="4" w:space="0" w:color="auto"/>
              <w:bottom w:val="nil"/>
            </w:tcBorders>
          </w:tcPr>
          <w:p w14:paraId="6DF4C9DE" w14:textId="77777777" w:rsidR="003B0EAA" w:rsidRDefault="003B0EAA" w:rsidP="006970B0">
            <w:pPr>
              <w:jc w:val="center"/>
              <w:rPr>
                <w:sz w:val="20"/>
                <w:szCs w:val="20"/>
              </w:rPr>
            </w:pPr>
          </w:p>
        </w:tc>
        <w:tc>
          <w:tcPr>
            <w:tcW w:w="2665" w:type="dxa"/>
            <w:tcBorders>
              <w:bottom w:val="nil"/>
              <w:right w:val="single" w:sz="4" w:space="0" w:color="auto"/>
            </w:tcBorders>
          </w:tcPr>
          <w:p w14:paraId="62F1382A" w14:textId="77777777" w:rsidR="003B0EAA" w:rsidRDefault="003B0EAA" w:rsidP="006970B0">
            <w:pPr>
              <w:rPr>
                <w:sz w:val="20"/>
                <w:szCs w:val="20"/>
              </w:rPr>
            </w:pPr>
          </w:p>
        </w:tc>
      </w:tr>
      <w:tr w:rsidR="003B0EAA" w14:paraId="0D29B88A" w14:textId="77777777" w:rsidTr="00903DE4">
        <w:tc>
          <w:tcPr>
            <w:tcW w:w="2551" w:type="dxa"/>
            <w:tcBorders>
              <w:top w:val="nil"/>
              <w:bottom w:val="single" w:sz="4" w:space="0" w:color="auto"/>
              <w:right w:val="single" w:sz="4" w:space="0" w:color="auto"/>
            </w:tcBorders>
          </w:tcPr>
          <w:p w14:paraId="5B8CBCB6" w14:textId="77777777" w:rsidR="003B0EAA" w:rsidRDefault="003B0EAA" w:rsidP="006970B0">
            <w:pPr>
              <w:rPr>
                <w:sz w:val="20"/>
                <w:szCs w:val="20"/>
              </w:rPr>
            </w:pPr>
          </w:p>
        </w:tc>
        <w:tc>
          <w:tcPr>
            <w:tcW w:w="454" w:type="dxa"/>
            <w:tcBorders>
              <w:top w:val="nil"/>
              <w:left w:val="single" w:sz="4" w:space="0" w:color="auto"/>
              <w:bottom w:val="single" w:sz="4" w:space="0" w:color="auto"/>
            </w:tcBorders>
          </w:tcPr>
          <w:p w14:paraId="413076E5" w14:textId="77777777" w:rsidR="003B0EAA" w:rsidRDefault="003B0EAA" w:rsidP="006970B0">
            <w:pPr>
              <w:jc w:val="center"/>
              <w:rPr>
                <w:sz w:val="20"/>
                <w:szCs w:val="20"/>
              </w:rPr>
            </w:pPr>
            <w:r>
              <w:rPr>
                <w:sz w:val="20"/>
                <w:szCs w:val="20"/>
              </w:rPr>
              <w:t>+</w:t>
            </w:r>
          </w:p>
        </w:tc>
        <w:tc>
          <w:tcPr>
            <w:tcW w:w="2665" w:type="dxa"/>
            <w:tcBorders>
              <w:top w:val="nil"/>
              <w:bottom w:val="single" w:sz="4" w:space="0" w:color="auto"/>
              <w:right w:val="single" w:sz="4" w:space="0" w:color="auto"/>
            </w:tcBorders>
          </w:tcPr>
          <w:p w14:paraId="7B4E14CA" w14:textId="77777777" w:rsidR="003B0EAA" w:rsidRDefault="003B0EAA" w:rsidP="006970B0">
            <w:pPr>
              <w:rPr>
                <w:sz w:val="20"/>
                <w:szCs w:val="20"/>
              </w:rPr>
            </w:pPr>
            <w:r>
              <w:rPr>
                <w:sz w:val="20"/>
                <w:szCs w:val="20"/>
              </w:rPr>
              <w:t>GST</w:t>
            </w:r>
          </w:p>
        </w:tc>
        <w:tc>
          <w:tcPr>
            <w:tcW w:w="396" w:type="dxa"/>
            <w:tcBorders>
              <w:top w:val="nil"/>
              <w:left w:val="single" w:sz="4" w:space="0" w:color="auto"/>
              <w:bottom w:val="single" w:sz="4" w:space="0" w:color="auto"/>
            </w:tcBorders>
          </w:tcPr>
          <w:p w14:paraId="7D809545" w14:textId="77777777" w:rsidR="003B0EAA" w:rsidRDefault="003B0EAA" w:rsidP="006970B0">
            <w:pPr>
              <w:jc w:val="center"/>
              <w:rPr>
                <w:sz w:val="20"/>
                <w:szCs w:val="20"/>
              </w:rPr>
            </w:pPr>
          </w:p>
        </w:tc>
        <w:tc>
          <w:tcPr>
            <w:tcW w:w="2665" w:type="dxa"/>
            <w:tcBorders>
              <w:top w:val="nil"/>
              <w:bottom w:val="single" w:sz="4" w:space="0" w:color="auto"/>
              <w:right w:val="single" w:sz="4" w:space="0" w:color="auto"/>
            </w:tcBorders>
          </w:tcPr>
          <w:p w14:paraId="48EB7D10" w14:textId="77777777" w:rsidR="003B0EAA" w:rsidRDefault="003B0EAA" w:rsidP="006970B0">
            <w:pPr>
              <w:rPr>
                <w:sz w:val="20"/>
                <w:szCs w:val="20"/>
              </w:rPr>
            </w:pPr>
          </w:p>
        </w:tc>
      </w:tr>
    </w:tbl>
    <w:p w14:paraId="56F5F3D0" w14:textId="77777777" w:rsidR="003B0EAA" w:rsidRPr="00A700AB" w:rsidRDefault="003B0EAA" w:rsidP="003B0EAA">
      <w:pPr>
        <w:spacing w:after="0" w:line="240" w:lineRule="auto"/>
        <w:ind w:left="360"/>
      </w:pPr>
    </w:p>
    <w:p w14:paraId="349769D9" w14:textId="77777777" w:rsidR="003B0EAA" w:rsidRPr="00015EC0" w:rsidRDefault="003B0EAA" w:rsidP="003B0EAA">
      <w:pPr>
        <w:pStyle w:val="ListParagraph"/>
        <w:numPr>
          <w:ilvl w:val="0"/>
          <w:numId w:val="24"/>
        </w:numPr>
        <w:spacing w:after="60"/>
        <w:ind w:left="357" w:hanging="357"/>
        <w:contextualSpacing w:val="0"/>
        <w:rPr>
          <w:b/>
          <w:bCs/>
          <w:color w:val="00A1AC"/>
          <w:sz w:val="22"/>
          <w:szCs w:val="22"/>
        </w:rPr>
      </w:pPr>
      <w:r w:rsidRPr="00015EC0">
        <w:rPr>
          <w:b/>
          <w:bCs/>
          <w:color w:val="00A1AC"/>
          <w:sz w:val="22"/>
          <w:szCs w:val="22"/>
        </w:rPr>
        <w:t>Immunisation Services Fee</w:t>
      </w:r>
    </w:p>
    <w:p w14:paraId="2FC48A44" w14:textId="49EB719E" w:rsidR="003B0EAA" w:rsidRPr="00015EC0" w:rsidRDefault="003B0EAA" w:rsidP="003B0EAA">
      <w:pPr>
        <w:spacing w:after="0" w:line="240" w:lineRule="auto"/>
        <w:ind w:left="360"/>
        <w:rPr>
          <w:sz w:val="22"/>
          <w:szCs w:val="22"/>
        </w:rPr>
      </w:pPr>
      <w:r w:rsidRPr="00015EC0">
        <w:rPr>
          <w:sz w:val="22"/>
          <w:szCs w:val="22"/>
        </w:rPr>
        <w:t xml:space="preserve">Sector Operations will run a query over the payments processing system for the period (eg, 1 July 2023 to </w:t>
      </w:r>
      <w:r w:rsidR="00837CB8">
        <w:rPr>
          <w:sz w:val="22"/>
          <w:szCs w:val="22"/>
        </w:rPr>
        <w:t>30 November</w:t>
      </w:r>
      <w:r w:rsidRPr="00015EC0">
        <w:rPr>
          <w:sz w:val="22"/>
          <w:szCs w:val="22"/>
        </w:rPr>
        <w:t xml:space="preserve"> 2023) for all Immunisation Administration Fees accepted for payment for each individual pharmacy. </w:t>
      </w:r>
    </w:p>
    <w:p w14:paraId="21F923C7" w14:textId="77777777" w:rsidR="003B0EAA" w:rsidRDefault="003B0EAA" w:rsidP="003B0EAA">
      <w:pPr>
        <w:spacing w:after="0" w:line="240" w:lineRule="auto"/>
        <w:ind w:left="360"/>
        <w:rPr>
          <w:sz w:val="22"/>
          <w:szCs w:val="22"/>
        </w:rPr>
      </w:pPr>
    </w:p>
    <w:p w14:paraId="01325C85" w14:textId="44689FAC" w:rsidR="00A62F67" w:rsidRPr="00015EC0" w:rsidRDefault="00A62F67" w:rsidP="003B0EAA">
      <w:pPr>
        <w:spacing w:after="0" w:line="240" w:lineRule="auto"/>
        <w:ind w:left="360"/>
        <w:rPr>
          <w:sz w:val="22"/>
          <w:szCs w:val="22"/>
        </w:rPr>
      </w:pPr>
      <w:r>
        <w:rPr>
          <w:sz w:val="22"/>
          <w:szCs w:val="22"/>
        </w:rPr>
        <w:t>This query will</w:t>
      </w:r>
    </w:p>
    <w:p w14:paraId="6DDE514C" w14:textId="026D192B" w:rsidR="003B0EAA" w:rsidRPr="00015EC0" w:rsidRDefault="003B0EAA" w:rsidP="003B0EAA">
      <w:pPr>
        <w:pStyle w:val="ListParagraph"/>
        <w:numPr>
          <w:ilvl w:val="0"/>
          <w:numId w:val="25"/>
        </w:numPr>
        <w:ind w:left="717"/>
        <w:rPr>
          <w:sz w:val="22"/>
          <w:szCs w:val="22"/>
        </w:rPr>
      </w:pPr>
      <w:r w:rsidRPr="00015EC0">
        <w:rPr>
          <w:sz w:val="22"/>
          <w:szCs w:val="22"/>
        </w:rPr>
        <w:t xml:space="preserve">Identify all Immunisation Administration Fees that have been accepted for payment with a claiming date between 1 July 2023 and </w:t>
      </w:r>
      <w:r w:rsidR="00837CB8">
        <w:rPr>
          <w:sz w:val="22"/>
          <w:szCs w:val="22"/>
        </w:rPr>
        <w:t>30 November</w:t>
      </w:r>
      <w:r w:rsidRPr="00015EC0">
        <w:rPr>
          <w:sz w:val="22"/>
          <w:szCs w:val="22"/>
        </w:rPr>
        <w:t xml:space="preserve"> 2023 inclusive.</w:t>
      </w:r>
    </w:p>
    <w:p w14:paraId="04E1BFCF" w14:textId="77777777" w:rsidR="003B0EAA" w:rsidRPr="00015EC0" w:rsidRDefault="003B0EAA" w:rsidP="003B0EAA">
      <w:pPr>
        <w:pStyle w:val="ListParagraph"/>
        <w:numPr>
          <w:ilvl w:val="0"/>
          <w:numId w:val="25"/>
        </w:numPr>
        <w:ind w:left="717"/>
        <w:rPr>
          <w:sz w:val="22"/>
          <w:szCs w:val="22"/>
        </w:rPr>
      </w:pPr>
      <w:r w:rsidRPr="00015EC0">
        <w:rPr>
          <w:sz w:val="22"/>
          <w:szCs w:val="22"/>
        </w:rPr>
        <w:t>Calculate the difference in Immunisation Administration Fees between what should have been paid (new) and what has been paid (current).</w:t>
      </w:r>
    </w:p>
    <w:p w14:paraId="63880A97" w14:textId="69BFAA34" w:rsidR="003B0EAA" w:rsidRPr="00015EC0" w:rsidRDefault="003B0EAA" w:rsidP="003B0EAA">
      <w:pPr>
        <w:pStyle w:val="ListParagraph"/>
        <w:numPr>
          <w:ilvl w:val="0"/>
          <w:numId w:val="25"/>
        </w:numPr>
        <w:ind w:left="717"/>
        <w:rPr>
          <w:sz w:val="22"/>
          <w:szCs w:val="22"/>
        </w:rPr>
      </w:pPr>
      <w:r w:rsidRPr="00015EC0">
        <w:rPr>
          <w:sz w:val="22"/>
          <w:szCs w:val="22"/>
        </w:rPr>
        <w:t xml:space="preserve">Group </w:t>
      </w:r>
      <w:r w:rsidR="00A62F67">
        <w:rPr>
          <w:sz w:val="22"/>
          <w:szCs w:val="22"/>
        </w:rPr>
        <w:t xml:space="preserve">the </w:t>
      </w:r>
      <w:r w:rsidRPr="00015EC0">
        <w:rPr>
          <w:sz w:val="22"/>
          <w:szCs w:val="22"/>
        </w:rPr>
        <w:t>total amount payable by approval month for each Pharmacy.</w:t>
      </w:r>
    </w:p>
    <w:p w14:paraId="750B2B01" w14:textId="10FE7144" w:rsidR="003B0EAA" w:rsidRDefault="003B0EAA" w:rsidP="003B0EAA">
      <w:pPr>
        <w:spacing w:after="0" w:line="240" w:lineRule="auto"/>
        <w:ind w:left="360"/>
        <w:rPr>
          <w:highlight w:val="yellow"/>
        </w:rPr>
      </w:pPr>
    </w:p>
    <w:p w14:paraId="0C4BFC6C" w14:textId="5A1F6FFC" w:rsidR="00903DE4" w:rsidRDefault="00903DE4" w:rsidP="003B0EAA">
      <w:pPr>
        <w:spacing w:after="0" w:line="240" w:lineRule="auto"/>
        <w:ind w:left="360"/>
        <w:rPr>
          <w:highlight w:val="yellow"/>
        </w:rPr>
      </w:pPr>
    </w:p>
    <w:p w14:paraId="0317EB98" w14:textId="77777777" w:rsidR="00903DE4" w:rsidRDefault="00903DE4" w:rsidP="003B0EAA">
      <w:pPr>
        <w:spacing w:after="0" w:line="240" w:lineRule="auto"/>
        <w:ind w:left="360"/>
        <w:rPr>
          <w:highlight w:val="yellow"/>
        </w:rPr>
      </w:pPr>
    </w:p>
    <w:tbl>
      <w:tblPr>
        <w:tblStyle w:val="TableGrid"/>
        <w:tblW w:w="8731" w:type="dxa"/>
        <w:tblInd w:w="360"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4"/>
        <w:gridCol w:w="2665"/>
        <w:gridCol w:w="396"/>
        <w:gridCol w:w="2665"/>
      </w:tblGrid>
      <w:tr w:rsidR="003B0EAA" w:rsidRPr="00CF76E6" w14:paraId="3CCFAA80" w14:textId="77777777" w:rsidTr="00903DE4">
        <w:tc>
          <w:tcPr>
            <w:tcW w:w="2551" w:type="dxa"/>
            <w:tcBorders>
              <w:top w:val="single" w:sz="4" w:space="0" w:color="auto"/>
              <w:right w:val="single" w:sz="4" w:space="0" w:color="auto"/>
            </w:tcBorders>
          </w:tcPr>
          <w:p w14:paraId="487DB1A2" w14:textId="77777777" w:rsidR="003B0EAA" w:rsidRPr="00CF76E6" w:rsidRDefault="003B0EAA" w:rsidP="006970B0">
            <w:pPr>
              <w:rPr>
                <w:sz w:val="20"/>
                <w:szCs w:val="20"/>
              </w:rPr>
            </w:pPr>
            <w:r w:rsidRPr="00CF76E6">
              <w:rPr>
                <w:sz w:val="20"/>
                <w:szCs w:val="20"/>
              </w:rPr>
              <w:lastRenderedPageBreak/>
              <w:t>Difference to be paid per Immunisation Administration Fees</w:t>
            </w:r>
          </w:p>
        </w:tc>
        <w:tc>
          <w:tcPr>
            <w:tcW w:w="454" w:type="dxa"/>
            <w:tcBorders>
              <w:top w:val="single" w:sz="4" w:space="0" w:color="auto"/>
              <w:left w:val="single" w:sz="4" w:space="0" w:color="auto"/>
            </w:tcBorders>
          </w:tcPr>
          <w:p w14:paraId="19147FD3" w14:textId="77777777" w:rsidR="003B0EAA" w:rsidRPr="00CF76E6" w:rsidRDefault="003B0EAA" w:rsidP="006970B0">
            <w:pPr>
              <w:jc w:val="center"/>
              <w:rPr>
                <w:sz w:val="20"/>
                <w:szCs w:val="20"/>
              </w:rPr>
            </w:pPr>
            <w:r w:rsidRPr="00CF76E6">
              <w:rPr>
                <w:sz w:val="20"/>
                <w:szCs w:val="20"/>
              </w:rPr>
              <w:t>=</w:t>
            </w:r>
          </w:p>
        </w:tc>
        <w:tc>
          <w:tcPr>
            <w:tcW w:w="2665" w:type="dxa"/>
            <w:tcBorders>
              <w:top w:val="single" w:sz="4" w:space="0" w:color="auto"/>
              <w:right w:val="single" w:sz="4" w:space="0" w:color="auto"/>
            </w:tcBorders>
          </w:tcPr>
          <w:p w14:paraId="427891AD" w14:textId="77777777" w:rsidR="003B0EAA" w:rsidRPr="00CF76E6" w:rsidRDefault="003B0EAA" w:rsidP="006970B0">
            <w:pPr>
              <w:rPr>
                <w:sz w:val="20"/>
                <w:szCs w:val="20"/>
              </w:rPr>
            </w:pPr>
            <w:r w:rsidRPr="00CF76E6">
              <w:rPr>
                <w:sz w:val="20"/>
                <w:szCs w:val="20"/>
              </w:rPr>
              <w:t xml:space="preserve">New (Variation 5) Immunisation Administration Fees </w:t>
            </w:r>
          </w:p>
        </w:tc>
        <w:tc>
          <w:tcPr>
            <w:tcW w:w="396" w:type="dxa"/>
            <w:tcBorders>
              <w:top w:val="single" w:sz="4" w:space="0" w:color="auto"/>
              <w:left w:val="single" w:sz="4" w:space="0" w:color="auto"/>
            </w:tcBorders>
          </w:tcPr>
          <w:p w14:paraId="26797364" w14:textId="77777777" w:rsidR="003B0EAA" w:rsidRPr="00CF76E6" w:rsidRDefault="003B0EAA" w:rsidP="006970B0">
            <w:pPr>
              <w:jc w:val="center"/>
              <w:rPr>
                <w:sz w:val="20"/>
                <w:szCs w:val="20"/>
              </w:rPr>
            </w:pPr>
            <w:r w:rsidRPr="00CF76E6">
              <w:rPr>
                <w:sz w:val="20"/>
                <w:szCs w:val="20"/>
              </w:rPr>
              <w:t>-</w:t>
            </w:r>
          </w:p>
        </w:tc>
        <w:tc>
          <w:tcPr>
            <w:tcW w:w="2665" w:type="dxa"/>
            <w:tcBorders>
              <w:top w:val="single" w:sz="4" w:space="0" w:color="auto"/>
              <w:right w:val="single" w:sz="4" w:space="0" w:color="auto"/>
            </w:tcBorders>
          </w:tcPr>
          <w:p w14:paraId="1C4C7921" w14:textId="77777777" w:rsidR="003B0EAA" w:rsidRPr="00CF76E6" w:rsidRDefault="003B0EAA" w:rsidP="006970B0">
            <w:pPr>
              <w:rPr>
                <w:sz w:val="20"/>
                <w:szCs w:val="20"/>
              </w:rPr>
            </w:pPr>
            <w:r w:rsidRPr="00CF76E6">
              <w:rPr>
                <w:sz w:val="20"/>
                <w:szCs w:val="20"/>
              </w:rPr>
              <w:t xml:space="preserve">Old (Variation 3 or 4) Immunisation Administration Fees </w:t>
            </w:r>
          </w:p>
        </w:tc>
      </w:tr>
      <w:tr w:rsidR="003B0EAA" w:rsidRPr="00CF76E6" w14:paraId="40C56EEC" w14:textId="77777777" w:rsidTr="00903DE4">
        <w:tc>
          <w:tcPr>
            <w:tcW w:w="2551" w:type="dxa"/>
            <w:tcBorders>
              <w:right w:val="single" w:sz="4" w:space="0" w:color="auto"/>
            </w:tcBorders>
          </w:tcPr>
          <w:p w14:paraId="05CCBD3B" w14:textId="77777777" w:rsidR="003B0EAA" w:rsidRPr="00CF76E6" w:rsidRDefault="003B0EAA" w:rsidP="006970B0">
            <w:pPr>
              <w:rPr>
                <w:sz w:val="20"/>
                <w:szCs w:val="20"/>
              </w:rPr>
            </w:pPr>
          </w:p>
        </w:tc>
        <w:tc>
          <w:tcPr>
            <w:tcW w:w="454" w:type="dxa"/>
            <w:tcBorders>
              <w:left w:val="single" w:sz="4" w:space="0" w:color="auto"/>
            </w:tcBorders>
          </w:tcPr>
          <w:p w14:paraId="1A8433E9" w14:textId="77777777" w:rsidR="003B0EAA" w:rsidRPr="00CF76E6" w:rsidRDefault="003B0EAA" w:rsidP="006970B0">
            <w:pPr>
              <w:jc w:val="center"/>
              <w:rPr>
                <w:sz w:val="20"/>
                <w:szCs w:val="20"/>
              </w:rPr>
            </w:pPr>
            <w:r w:rsidRPr="00CF76E6">
              <w:rPr>
                <w:sz w:val="20"/>
                <w:szCs w:val="20"/>
              </w:rPr>
              <w:t>=</w:t>
            </w:r>
          </w:p>
        </w:tc>
        <w:tc>
          <w:tcPr>
            <w:tcW w:w="2665" w:type="dxa"/>
            <w:tcBorders>
              <w:right w:val="single" w:sz="4" w:space="0" w:color="auto"/>
            </w:tcBorders>
          </w:tcPr>
          <w:p w14:paraId="5CC84351" w14:textId="77777777" w:rsidR="003B0EAA" w:rsidRPr="00CF76E6" w:rsidRDefault="003B0EAA" w:rsidP="006970B0">
            <w:pPr>
              <w:rPr>
                <w:sz w:val="20"/>
                <w:szCs w:val="20"/>
              </w:rPr>
            </w:pPr>
            <w:r w:rsidRPr="00CF76E6">
              <w:rPr>
                <w:sz w:val="20"/>
                <w:szCs w:val="20"/>
              </w:rPr>
              <w:t>$36.05</w:t>
            </w:r>
          </w:p>
        </w:tc>
        <w:tc>
          <w:tcPr>
            <w:tcW w:w="396" w:type="dxa"/>
            <w:tcBorders>
              <w:left w:val="single" w:sz="4" w:space="0" w:color="auto"/>
            </w:tcBorders>
          </w:tcPr>
          <w:p w14:paraId="09CB53D2" w14:textId="77777777" w:rsidR="003B0EAA" w:rsidRPr="00CF76E6" w:rsidRDefault="003B0EAA" w:rsidP="006970B0">
            <w:pPr>
              <w:jc w:val="center"/>
              <w:rPr>
                <w:sz w:val="20"/>
                <w:szCs w:val="20"/>
              </w:rPr>
            </w:pPr>
          </w:p>
        </w:tc>
        <w:tc>
          <w:tcPr>
            <w:tcW w:w="2665" w:type="dxa"/>
            <w:tcBorders>
              <w:right w:val="single" w:sz="4" w:space="0" w:color="auto"/>
            </w:tcBorders>
          </w:tcPr>
          <w:p w14:paraId="585B4726" w14:textId="77777777" w:rsidR="003B0EAA" w:rsidRPr="00CF76E6" w:rsidRDefault="003B0EAA" w:rsidP="006970B0">
            <w:pPr>
              <w:rPr>
                <w:sz w:val="20"/>
                <w:szCs w:val="20"/>
              </w:rPr>
            </w:pPr>
            <w:r w:rsidRPr="00CF76E6">
              <w:rPr>
                <w:sz w:val="20"/>
                <w:szCs w:val="20"/>
              </w:rPr>
              <w:t>$27.84</w:t>
            </w:r>
          </w:p>
        </w:tc>
      </w:tr>
      <w:tr w:rsidR="003B0EAA" w:rsidRPr="00CF76E6" w14:paraId="1EC7109C" w14:textId="77777777" w:rsidTr="00903DE4">
        <w:tc>
          <w:tcPr>
            <w:tcW w:w="2551" w:type="dxa"/>
            <w:tcBorders>
              <w:right w:val="single" w:sz="4" w:space="0" w:color="auto"/>
            </w:tcBorders>
          </w:tcPr>
          <w:p w14:paraId="713D1FB6" w14:textId="77777777" w:rsidR="003B0EAA" w:rsidRPr="00CF76E6" w:rsidRDefault="003B0EAA" w:rsidP="006970B0">
            <w:pPr>
              <w:rPr>
                <w:sz w:val="20"/>
                <w:szCs w:val="20"/>
              </w:rPr>
            </w:pPr>
          </w:p>
        </w:tc>
        <w:tc>
          <w:tcPr>
            <w:tcW w:w="454" w:type="dxa"/>
            <w:tcBorders>
              <w:left w:val="single" w:sz="4" w:space="0" w:color="auto"/>
            </w:tcBorders>
          </w:tcPr>
          <w:p w14:paraId="50F66A00" w14:textId="77777777" w:rsidR="003B0EAA" w:rsidRPr="00CF76E6" w:rsidRDefault="003B0EAA" w:rsidP="006970B0">
            <w:pPr>
              <w:jc w:val="center"/>
              <w:rPr>
                <w:sz w:val="20"/>
                <w:szCs w:val="20"/>
              </w:rPr>
            </w:pPr>
            <w:r w:rsidRPr="00CF76E6">
              <w:rPr>
                <w:sz w:val="20"/>
                <w:szCs w:val="20"/>
              </w:rPr>
              <w:t>=</w:t>
            </w:r>
          </w:p>
        </w:tc>
        <w:tc>
          <w:tcPr>
            <w:tcW w:w="2665" w:type="dxa"/>
            <w:tcBorders>
              <w:right w:val="single" w:sz="4" w:space="0" w:color="auto"/>
            </w:tcBorders>
          </w:tcPr>
          <w:p w14:paraId="184D5699" w14:textId="77777777" w:rsidR="003B0EAA" w:rsidRPr="00CF76E6" w:rsidRDefault="003B0EAA" w:rsidP="006970B0">
            <w:pPr>
              <w:rPr>
                <w:sz w:val="20"/>
                <w:szCs w:val="20"/>
              </w:rPr>
            </w:pPr>
            <w:r w:rsidRPr="00CF76E6">
              <w:rPr>
                <w:sz w:val="20"/>
                <w:szCs w:val="20"/>
              </w:rPr>
              <w:t>$8.21</w:t>
            </w:r>
          </w:p>
        </w:tc>
        <w:tc>
          <w:tcPr>
            <w:tcW w:w="396" w:type="dxa"/>
            <w:tcBorders>
              <w:left w:val="single" w:sz="4" w:space="0" w:color="auto"/>
            </w:tcBorders>
          </w:tcPr>
          <w:p w14:paraId="69FFE1D4" w14:textId="77777777" w:rsidR="003B0EAA" w:rsidRPr="00CF76E6" w:rsidRDefault="003B0EAA" w:rsidP="006970B0">
            <w:pPr>
              <w:jc w:val="center"/>
              <w:rPr>
                <w:sz w:val="20"/>
                <w:szCs w:val="20"/>
              </w:rPr>
            </w:pPr>
          </w:p>
        </w:tc>
        <w:tc>
          <w:tcPr>
            <w:tcW w:w="2665" w:type="dxa"/>
            <w:tcBorders>
              <w:right w:val="single" w:sz="4" w:space="0" w:color="auto"/>
            </w:tcBorders>
          </w:tcPr>
          <w:p w14:paraId="18876F57" w14:textId="77777777" w:rsidR="003B0EAA" w:rsidRPr="00CF76E6" w:rsidRDefault="003B0EAA" w:rsidP="006970B0">
            <w:pPr>
              <w:rPr>
                <w:sz w:val="20"/>
                <w:szCs w:val="20"/>
              </w:rPr>
            </w:pPr>
          </w:p>
        </w:tc>
      </w:tr>
      <w:tr w:rsidR="003B0EAA" w:rsidRPr="00CF76E6" w14:paraId="5ECEEB60" w14:textId="77777777" w:rsidTr="00903DE4">
        <w:tc>
          <w:tcPr>
            <w:tcW w:w="2551" w:type="dxa"/>
            <w:tcBorders>
              <w:right w:val="single" w:sz="4" w:space="0" w:color="auto"/>
            </w:tcBorders>
          </w:tcPr>
          <w:p w14:paraId="55D4E665" w14:textId="77777777" w:rsidR="003B0EAA" w:rsidRPr="00CF76E6" w:rsidRDefault="003B0EAA" w:rsidP="006970B0">
            <w:pPr>
              <w:rPr>
                <w:sz w:val="20"/>
                <w:szCs w:val="20"/>
              </w:rPr>
            </w:pPr>
          </w:p>
        </w:tc>
        <w:tc>
          <w:tcPr>
            <w:tcW w:w="454" w:type="dxa"/>
            <w:tcBorders>
              <w:left w:val="single" w:sz="4" w:space="0" w:color="auto"/>
            </w:tcBorders>
          </w:tcPr>
          <w:p w14:paraId="63979398" w14:textId="77777777" w:rsidR="003B0EAA" w:rsidRPr="00CF76E6" w:rsidRDefault="003B0EAA" w:rsidP="006970B0">
            <w:pPr>
              <w:jc w:val="center"/>
              <w:rPr>
                <w:sz w:val="20"/>
                <w:szCs w:val="20"/>
              </w:rPr>
            </w:pPr>
          </w:p>
        </w:tc>
        <w:tc>
          <w:tcPr>
            <w:tcW w:w="2665" w:type="dxa"/>
            <w:tcBorders>
              <w:right w:val="single" w:sz="4" w:space="0" w:color="auto"/>
            </w:tcBorders>
          </w:tcPr>
          <w:p w14:paraId="4906256E" w14:textId="77777777" w:rsidR="003B0EAA" w:rsidRPr="00CF76E6" w:rsidRDefault="003B0EAA" w:rsidP="006970B0">
            <w:pPr>
              <w:rPr>
                <w:sz w:val="20"/>
                <w:szCs w:val="20"/>
              </w:rPr>
            </w:pPr>
          </w:p>
        </w:tc>
        <w:tc>
          <w:tcPr>
            <w:tcW w:w="396" w:type="dxa"/>
            <w:tcBorders>
              <w:left w:val="single" w:sz="4" w:space="0" w:color="auto"/>
            </w:tcBorders>
          </w:tcPr>
          <w:p w14:paraId="0BD6C66E" w14:textId="77777777" w:rsidR="003B0EAA" w:rsidRPr="00CF76E6" w:rsidRDefault="003B0EAA" w:rsidP="006970B0">
            <w:pPr>
              <w:jc w:val="center"/>
              <w:rPr>
                <w:sz w:val="20"/>
                <w:szCs w:val="20"/>
              </w:rPr>
            </w:pPr>
          </w:p>
        </w:tc>
        <w:tc>
          <w:tcPr>
            <w:tcW w:w="2665" w:type="dxa"/>
            <w:tcBorders>
              <w:right w:val="single" w:sz="4" w:space="0" w:color="auto"/>
            </w:tcBorders>
          </w:tcPr>
          <w:p w14:paraId="498718CA" w14:textId="77777777" w:rsidR="003B0EAA" w:rsidRPr="00CF76E6" w:rsidRDefault="003B0EAA" w:rsidP="006970B0">
            <w:pPr>
              <w:rPr>
                <w:sz w:val="20"/>
                <w:szCs w:val="20"/>
              </w:rPr>
            </w:pPr>
          </w:p>
        </w:tc>
      </w:tr>
      <w:tr w:rsidR="003B0EAA" w:rsidRPr="00CF76E6" w14:paraId="0E4F465D" w14:textId="77777777" w:rsidTr="00903DE4">
        <w:tc>
          <w:tcPr>
            <w:tcW w:w="2551" w:type="dxa"/>
            <w:tcBorders>
              <w:right w:val="single" w:sz="4" w:space="0" w:color="auto"/>
            </w:tcBorders>
          </w:tcPr>
          <w:p w14:paraId="4328B497" w14:textId="77777777" w:rsidR="003B0EAA" w:rsidRPr="00CF76E6" w:rsidRDefault="003B0EAA" w:rsidP="006970B0">
            <w:pPr>
              <w:rPr>
                <w:sz w:val="20"/>
                <w:szCs w:val="20"/>
              </w:rPr>
            </w:pPr>
            <w:r w:rsidRPr="00CF76E6">
              <w:rPr>
                <w:sz w:val="20"/>
                <w:szCs w:val="20"/>
              </w:rPr>
              <w:t>To invoice for</w:t>
            </w:r>
          </w:p>
        </w:tc>
        <w:tc>
          <w:tcPr>
            <w:tcW w:w="454" w:type="dxa"/>
            <w:tcBorders>
              <w:left w:val="single" w:sz="4" w:space="0" w:color="auto"/>
            </w:tcBorders>
          </w:tcPr>
          <w:p w14:paraId="0BA4E238" w14:textId="77777777" w:rsidR="003B0EAA" w:rsidRPr="00CF76E6" w:rsidRDefault="003B0EAA" w:rsidP="006970B0">
            <w:pPr>
              <w:jc w:val="center"/>
              <w:rPr>
                <w:sz w:val="20"/>
                <w:szCs w:val="20"/>
              </w:rPr>
            </w:pPr>
            <w:r w:rsidRPr="00CF76E6">
              <w:rPr>
                <w:sz w:val="20"/>
                <w:szCs w:val="20"/>
              </w:rPr>
              <w:t>=</w:t>
            </w:r>
          </w:p>
        </w:tc>
        <w:tc>
          <w:tcPr>
            <w:tcW w:w="2665" w:type="dxa"/>
            <w:tcBorders>
              <w:right w:val="single" w:sz="4" w:space="0" w:color="auto"/>
            </w:tcBorders>
          </w:tcPr>
          <w:p w14:paraId="4F873E42" w14:textId="61816E67" w:rsidR="003B0EAA" w:rsidRPr="00CF76E6" w:rsidRDefault="003B0EAA" w:rsidP="006970B0">
            <w:pPr>
              <w:rPr>
                <w:sz w:val="20"/>
                <w:szCs w:val="20"/>
              </w:rPr>
            </w:pPr>
            <w:r w:rsidRPr="00CF76E6">
              <w:rPr>
                <w:sz w:val="20"/>
                <w:szCs w:val="20"/>
              </w:rPr>
              <w:t xml:space="preserve">Total number of Immunisation Administration Fees paid for period (for example, 1 July 2023 to </w:t>
            </w:r>
            <w:r w:rsidR="00837CB8">
              <w:rPr>
                <w:sz w:val="20"/>
                <w:szCs w:val="20"/>
              </w:rPr>
              <w:t>30 November</w:t>
            </w:r>
            <w:r w:rsidRPr="00CF76E6">
              <w:rPr>
                <w:sz w:val="20"/>
                <w:szCs w:val="20"/>
              </w:rPr>
              <w:t xml:space="preserve"> 2023)</w:t>
            </w:r>
            <w:r>
              <w:rPr>
                <w:sz w:val="20"/>
                <w:szCs w:val="20"/>
              </w:rPr>
              <w:t>, by month</w:t>
            </w:r>
          </w:p>
        </w:tc>
        <w:tc>
          <w:tcPr>
            <w:tcW w:w="396" w:type="dxa"/>
            <w:tcBorders>
              <w:left w:val="single" w:sz="4" w:space="0" w:color="auto"/>
            </w:tcBorders>
          </w:tcPr>
          <w:p w14:paraId="126C417F" w14:textId="77777777" w:rsidR="003B0EAA" w:rsidRPr="00CF76E6" w:rsidRDefault="003B0EAA" w:rsidP="006970B0">
            <w:pPr>
              <w:jc w:val="center"/>
              <w:rPr>
                <w:sz w:val="20"/>
                <w:szCs w:val="20"/>
              </w:rPr>
            </w:pPr>
            <w:r w:rsidRPr="00CF76E6">
              <w:rPr>
                <w:sz w:val="20"/>
                <w:szCs w:val="20"/>
              </w:rPr>
              <w:t>x</w:t>
            </w:r>
          </w:p>
        </w:tc>
        <w:tc>
          <w:tcPr>
            <w:tcW w:w="2665" w:type="dxa"/>
            <w:tcBorders>
              <w:right w:val="single" w:sz="4" w:space="0" w:color="auto"/>
            </w:tcBorders>
          </w:tcPr>
          <w:p w14:paraId="5E195E9B" w14:textId="77777777" w:rsidR="003B0EAA" w:rsidRPr="00CF76E6" w:rsidRDefault="003B0EAA" w:rsidP="006970B0">
            <w:pPr>
              <w:rPr>
                <w:sz w:val="20"/>
                <w:szCs w:val="20"/>
              </w:rPr>
            </w:pPr>
            <w:r w:rsidRPr="293B2C55">
              <w:rPr>
                <w:sz w:val="20"/>
                <w:szCs w:val="20"/>
              </w:rPr>
              <w:t>$</w:t>
            </w:r>
            <w:r>
              <w:rPr>
                <w:sz w:val="20"/>
                <w:szCs w:val="20"/>
              </w:rPr>
              <w:t>8.21</w:t>
            </w:r>
          </w:p>
        </w:tc>
      </w:tr>
      <w:tr w:rsidR="003B0EAA" w:rsidRPr="00CF76E6" w14:paraId="4CC2EF22" w14:textId="77777777" w:rsidTr="00903DE4">
        <w:tc>
          <w:tcPr>
            <w:tcW w:w="2551" w:type="dxa"/>
            <w:tcBorders>
              <w:bottom w:val="nil"/>
              <w:right w:val="single" w:sz="4" w:space="0" w:color="auto"/>
            </w:tcBorders>
          </w:tcPr>
          <w:p w14:paraId="124B2066" w14:textId="77777777" w:rsidR="003B0EAA" w:rsidRPr="00CF76E6" w:rsidRDefault="003B0EAA" w:rsidP="006970B0">
            <w:pPr>
              <w:rPr>
                <w:sz w:val="20"/>
                <w:szCs w:val="20"/>
              </w:rPr>
            </w:pPr>
          </w:p>
        </w:tc>
        <w:tc>
          <w:tcPr>
            <w:tcW w:w="454" w:type="dxa"/>
            <w:tcBorders>
              <w:left w:val="single" w:sz="4" w:space="0" w:color="auto"/>
              <w:bottom w:val="nil"/>
            </w:tcBorders>
          </w:tcPr>
          <w:p w14:paraId="6726AEE3" w14:textId="77777777" w:rsidR="003B0EAA" w:rsidRPr="00CF76E6" w:rsidRDefault="003B0EAA" w:rsidP="006970B0">
            <w:pPr>
              <w:jc w:val="center"/>
              <w:rPr>
                <w:sz w:val="20"/>
                <w:szCs w:val="20"/>
              </w:rPr>
            </w:pPr>
            <w:r w:rsidRPr="00CF76E6">
              <w:rPr>
                <w:sz w:val="20"/>
                <w:szCs w:val="20"/>
              </w:rPr>
              <w:t>=</w:t>
            </w:r>
          </w:p>
        </w:tc>
        <w:tc>
          <w:tcPr>
            <w:tcW w:w="2665" w:type="dxa"/>
            <w:tcBorders>
              <w:bottom w:val="nil"/>
              <w:right w:val="single" w:sz="4" w:space="0" w:color="auto"/>
            </w:tcBorders>
          </w:tcPr>
          <w:p w14:paraId="52101F64" w14:textId="77777777" w:rsidR="003B0EAA" w:rsidRPr="00CF76E6" w:rsidRDefault="003B0EAA" w:rsidP="006970B0">
            <w:pPr>
              <w:rPr>
                <w:sz w:val="20"/>
                <w:szCs w:val="20"/>
              </w:rPr>
            </w:pPr>
            <w:r w:rsidRPr="00CF76E6">
              <w:rPr>
                <w:sz w:val="20"/>
                <w:szCs w:val="20"/>
              </w:rPr>
              <w:t>Amount to be invoiced</w:t>
            </w:r>
          </w:p>
        </w:tc>
        <w:tc>
          <w:tcPr>
            <w:tcW w:w="396" w:type="dxa"/>
            <w:tcBorders>
              <w:left w:val="single" w:sz="4" w:space="0" w:color="auto"/>
              <w:bottom w:val="nil"/>
            </w:tcBorders>
          </w:tcPr>
          <w:p w14:paraId="4F9132DE" w14:textId="77777777" w:rsidR="003B0EAA" w:rsidRPr="00CF76E6" w:rsidRDefault="003B0EAA" w:rsidP="006970B0">
            <w:pPr>
              <w:jc w:val="center"/>
              <w:rPr>
                <w:sz w:val="20"/>
                <w:szCs w:val="20"/>
              </w:rPr>
            </w:pPr>
          </w:p>
        </w:tc>
        <w:tc>
          <w:tcPr>
            <w:tcW w:w="2665" w:type="dxa"/>
            <w:tcBorders>
              <w:bottom w:val="nil"/>
              <w:right w:val="single" w:sz="4" w:space="0" w:color="auto"/>
            </w:tcBorders>
          </w:tcPr>
          <w:p w14:paraId="10594BF0" w14:textId="77777777" w:rsidR="003B0EAA" w:rsidRPr="00CF76E6" w:rsidRDefault="003B0EAA" w:rsidP="006970B0">
            <w:pPr>
              <w:rPr>
                <w:sz w:val="20"/>
                <w:szCs w:val="20"/>
              </w:rPr>
            </w:pPr>
          </w:p>
        </w:tc>
      </w:tr>
      <w:tr w:rsidR="003B0EAA" w:rsidRPr="00CF76E6" w14:paraId="058B6588" w14:textId="77777777" w:rsidTr="00903DE4">
        <w:tc>
          <w:tcPr>
            <w:tcW w:w="2551" w:type="dxa"/>
            <w:tcBorders>
              <w:bottom w:val="single" w:sz="4" w:space="0" w:color="auto"/>
              <w:right w:val="single" w:sz="4" w:space="0" w:color="auto"/>
            </w:tcBorders>
          </w:tcPr>
          <w:p w14:paraId="6D5CC6FD" w14:textId="77777777" w:rsidR="003B0EAA" w:rsidRPr="00CF76E6" w:rsidRDefault="003B0EAA" w:rsidP="006970B0">
            <w:pPr>
              <w:rPr>
                <w:sz w:val="20"/>
                <w:szCs w:val="20"/>
              </w:rPr>
            </w:pPr>
          </w:p>
        </w:tc>
        <w:tc>
          <w:tcPr>
            <w:tcW w:w="454" w:type="dxa"/>
            <w:tcBorders>
              <w:left w:val="single" w:sz="4" w:space="0" w:color="auto"/>
              <w:bottom w:val="single" w:sz="4" w:space="0" w:color="auto"/>
            </w:tcBorders>
          </w:tcPr>
          <w:p w14:paraId="1B4AB75F" w14:textId="77777777" w:rsidR="003B0EAA" w:rsidRPr="00CF76E6" w:rsidRDefault="003B0EAA" w:rsidP="006970B0">
            <w:pPr>
              <w:jc w:val="center"/>
              <w:rPr>
                <w:sz w:val="20"/>
                <w:szCs w:val="20"/>
              </w:rPr>
            </w:pPr>
            <w:r w:rsidRPr="00CF76E6">
              <w:rPr>
                <w:sz w:val="20"/>
                <w:szCs w:val="20"/>
              </w:rPr>
              <w:t>+</w:t>
            </w:r>
          </w:p>
        </w:tc>
        <w:tc>
          <w:tcPr>
            <w:tcW w:w="2665" w:type="dxa"/>
            <w:tcBorders>
              <w:bottom w:val="single" w:sz="4" w:space="0" w:color="auto"/>
              <w:right w:val="single" w:sz="4" w:space="0" w:color="auto"/>
            </w:tcBorders>
          </w:tcPr>
          <w:p w14:paraId="1C697AE0" w14:textId="77777777" w:rsidR="003B0EAA" w:rsidRPr="00CF76E6" w:rsidRDefault="003B0EAA" w:rsidP="006970B0">
            <w:pPr>
              <w:rPr>
                <w:sz w:val="20"/>
                <w:szCs w:val="20"/>
              </w:rPr>
            </w:pPr>
            <w:r w:rsidRPr="00CF76E6">
              <w:rPr>
                <w:sz w:val="20"/>
                <w:szCs w:val="20"/>
              </w:rPr>
              <w:t>GST</w:t>
            </w:r>
          </w:p>
        </w:tc>
        <w:tc>
          <w:tcPr>
            <w:tcW w:w="396" w:type="dxa"/>
            <w:tcBorders>
              <w:left w:val="single" w:sz="4" w:space="0" w:color="auto"/>
              <w:bottom w:val="single" w:sz="4" w:space="0" w:color="auto"/>
            </w:tcBorders>
          </w:tcPr>
          <w:p w14:paraId="159BA22B" w14:textId="77777777" w:rsidR="003B0EAA" w:rsidRPr="00CF76E6" w:rsidRDefault="003B0EAA" w:rsidP="006970B0">
            <w:pPr>
              <w:jc w:val="center"/>
              <w:rPr>
                <w:sz w:val="20"/>
                <w:szCs w:val="20"/>
              </w:rPr>
            </w:pPr>
          </w:p>
        </w:tc>
        <w:tc>
          <w:tcPr>
            <w:tcW w:w="2665" w:type="dxa"/>
            <w:tcBorders>
              <w:bottom w:val="single" w:sz="4" w:space="0" w:color="auto"/>
              <w:right w:val="single" w:sz="4" w:space="0" w:color="auto"/>
            </w:tcBorders>
          </w:tcPr>
          <w:p w14:paraId="0EA90758" w14:textId="77777777" w:rsidR="003B0EAA" w:rsidRPr="00CF76E6" w:rsidRDefault="003B0EAA" w:rsidP="006970B0">
            <w:pPr>
              <w:rPr>
                <w:sz w:val="20"/>
                <w:szCs w:val="20"/>
              </w:rPr>
            </w:pPr>
          </w:p>
        </w:tc>
      </w:tr>
    </w:tbl>
    <w:p w14:paraId="4FC2CC7A" w14:textId="77777777" w:rsidR="003B0EAA" w:rsidRDefault="003B0EAA" w:rsidP="003B0EAA">
      <w:pPr>
        <w:spacing w:after="0" w:line="240" w:lineRule="auto"/>
        <w:ind w:left="360"/>
        <w:rPr>
          <w:sz w:val="14"/>
          <w:szCs w:val="14"/>
          <w:highlight w:val="yellow"/>
        </w:rPr>
      </w:pPr>
    </w:p>
    <w:p w14:paraId="6FBE1C06" w14:textId="77777777" w:rsidR="009C3BB8" w:rsidRDefault="009C3BB8" w:rsidP="003B0EAA">
      <w:pPr>
        <w:spacing w:after="0" w:line="240" w:lineRule="auto"/>
        <w:ind w:left="360"/>
        <w:rPr>
          <w:sz w:val="14"/>
          <w:szCs w:val="14"/>
          <w:highlight w:val="yellow"/>
        </w:rPr>
        <w:sectPr w:rsidR="009C3BB8" w:rsidSect="00673C02">
          <w:headerReference w:type="default" r:id="rId16"/>
          <w:footerReference w:type="default" r:id="rId17"/>
          <w:headerReference w:type="first" r:id="rId18"/>
          <w:footerReference w:type="first" r:id="rId19"/>
          <w:pgSz w:w="11906" w:h="16838"/>
          <w:pgMar w:top="1134" w:right="1134" w:bottom="709" w:left="1134" w:header="709" w:footer="709" w:gutter="0"/>
          <w:cols w:space="708"/>
          <w:titlePg/>
          <w:docGrid w:linePitch="360"/>
        </w:sectPr>
      </w:pPr>
    </w:p>
    <w:p w14:paraId="344FFFE5" w14:textId="3A496618" w:rsidR="009C3BB8" w:rsidRDefault="009C3BB8" w:rsidP="00903DE4">
      <w:pPr>
        <w:pStyle w:val="Heading1"/>
      </w:pPr>
      <w:r w:rsidRPr="00993524">
        <w:lastRenderedPageBreak/>
        <w:t xml:space="preserve">Appendix </w:t>
      </w:r>
      <w:r>
        <w:t>3 – Schedule of payments and washups</w:t>
      </w:r>
    </w:p>
    <w:p w14:paraId="36686251" w14:textId="77777777" w:rsidR="00A91B57" w:rsidRDefault="00A91B57" w:rsidP="00EE4825">
      <w:pPr>
        <w:spacing w:after="0" w:line="240" w:lineRule="auto"/>
        <w:rPr>
          <w:sz w:val="22"/>
          <w:szCs w:val="22"/>
        </w:rPr>
      </w:pPr>
    </w:p>
    <w:p w14:paraId="7ADD8B39" w14:textId="4AE380A4" w:rsidR="00EE4825" w:rsidRPr="00341962" w:rsidRDefault="00EE4825" w:rsidP="00EE4825">
      <w:pPr>
        <w:spacing w:after="0" w:line="240" w:lineRule="auto"/>
        <w:rPr>
          <w:b/>
          <w:bCs/>
          <w:color w:val="00A1AC"/>
        </w:rPr>
      </w:pPr>
      <w:r w:rsidRPr="00341962">
        <w:rPr>
          <w:b/>
          <w:bCs/>
          <w:color w:val="00A1AC"/>
        </w:rPr>
        <w:t xml:space="preserve">1 December Start Date of Agreement </w:t>
      </w:r>
      <w:r w:rsidR="00A62F67">
        <w:rPr>
          <w:b/>
          <w:bCs/>
          <w:color w:val="00A1AC"/>
        </w:rPr>
        <w:t>–</w:t>
      </w:r>
      <w:r w:rsidRPr="00341962">
        <w:rPr>
          <w:b/>
          <w:bCs/>
          <w:color w:val="00A1AC"/>
        </w:rPr>
        <w:t xml:space="preserve"> </w:t>
      </w:r>
      <w:r w:rsidR="00A62F67">
        <w:rPr>
          <w:b/>
          <w:bCs/>
          <w:color w:val="00A1AC"/>
        </w:rPr>
        <w:t xml:space="preserve">Contract </w:t>
      </w:r>
      <w:r w:rsidRPr="00341962">
        <w:rPr>
          <w:b/>
          <w:bCs/>
          <w:color w:val="00A1AC"/>
        </w:rPr>
        <w:t xml:space="preserve">Year changing to </w:t>
      </w:r>
      <w:r w:rsidR="00341962">
        <w:rPr>
          <w:b/>
          <w:bCs/>
          <w:color w:val="00A1AC"/>
        </w:rPr>
        <w:t xml:space="preserve">1 </w:t>
      </w:r>
      <w:r w:rsidRPr="00341962">
        <w:rPr>
          <w:b/>
          <w:bCs/>
          <w:color w:val="00A1AC"/>
        </w:rPr>
        <w:t xml:space="preserve">July to </w:t>
      </w:r>
      <w:r w:rsidR="00341962">
        <w:rPr>
          <w:b/>
          <w:bCs/>
          <w:color w:val="00A1AC"/>
        </w:rPr>
        <w:t xml:space="preserve">30 </w:t>
      </w:r>
      <w:r w:rsidRPr="00341962">
        <w:rPr>
          <w:b/>
          <w:bCs/>
          <w:color w:val="00A1AC"/>
        </w:rPr>
        <w:t>June</w:t>
      </w:r>
    </w:p>
    <w:p w14:paraId="3A004D33" w14:textId="77777777" w:rsidR="00EE4825" w:rsidRPr="00990261" w:rsidRDefault="00EE4825" w:rsidP="00EE4825">
      <w:pPr>
        <w:spacing w:after="0" w:line="240" w:lineRule="auto"/>
        <w:rPr>
          <w:sz w:val="22"/>
          <w:szCs w:val="22"/>
        </w:rPr>
      </w:pPr>
    </w:p>
    <w:tbl>
      <w:tblPr>
        <w:tblW w:w="15188" w:type="dxa"/>
        <w:tblInd w:w="-5" w:type="dxa"/>
        <w:tblLayout w:type="fixed"/>
        <w:tblLook w:val="04A0" w:firstRow="1" w:lastRow="0" w:firstColumn="1" w:lastColumn="0" w:noHBand="0" w:noVBand="1"/>
      </w:tblPr>
      <w:tblGrid>
        <w:gridCol w:w="1527"/>
        <w:gridCol w:w="1515"/>
        <w:gridCol w:w="1516"/>
        <w:gridCol w:w="1536"/>
        <w:gridCol w:w="1515"/>
        <w:gridCol w:w="1516"/>
        <w:gridCol w:w="1516"/>
        <w:gridCol w:w="1515"/>
        <w:gridCol w:w="1516"/>
        <w:gridCol w:w="1516"/>
      </w:tblGrid>
      <w:tr w:rsidR="00341962" w:rsidRPr="00341962" w14:paraId="7A1496EB" w14:textId="77777777" w:rsidTr="00903DE4">
        <w:trPr>
          <w:trHeight w:val="288"/>
          <w:tblHead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6139"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35349676"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July/Aug/Sept 2023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14:paraId="3D7CF3AD"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Oct/Nov 2023</w:t>
            </w:r>
          </w:p>
        </w:tc>
        <w:tc>
          <w:tcPr>
            <w:tcW w:w="1536" w:type="dxa"/>
            <w:tcBorders>
              <w:top w:val="single" w:sz="4" w:space="0" w:color="auto"/>
              <w:left w:val="nil"/>
              <w:bottom w:val="single" w:sz="4" w:space="0" w:color="auto"/>
              <w:right w:val="single" w:sz="4" w:space="0" w:color="auto"/>
            </w:tcBorders>
            <w:shd w:val="clear" w:color="auto" w:fill="00A1AC"/>
            <w:noWrap/>
            <w:vAlign w:val="center"/>
            <w:hideMark/>
          </w:tcPr>
          <w:p w14:paraId="7D9D0045"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Dec-23</w:t>
            </w:r>
          </w:p>
        </w:tc>
        <w:tc>
          <w:tcPr>
            <w:tcW w:w="1515" w:type="dxa"/>
            <w:tcBorders>
              <w:top w:val="single" w:sz="4" w:space="0" w:color="auto"/>
              <w:left w:val="nil"/>
              <w:bottom w:val="single" w:sz="4" w:space="0" w:color="auto"/>
              <w:right w:val="single" w:sz="4" w:space="0" w:color="auto"/>
            </w:tcBorders>
            <w:shd w:val="clear" w:color="auto" w:fill="00A1AC"/>
            <w:noWrap/>
            <w:vAlign w:val="center"/>
            <w:hideMark/>
          </w:tcPr>
          <w:p w14:paraId="0B2061C3"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Jan-24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745331B4"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Feb-24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36A6CB9D"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Mar-24</w:t>
            </w:r>
          </w:p>
        </w:tc>
        <w:tc>
          <w:tcPr>
            <w:tcW w:w="1515" w:type="dxa"/>
            <w:tcBorders>
              <w:top w:val="single" w:sz="4" w:space="0" w:color="auto"/>
              <w:left w:val="nil"/>
              <w:bottom w:val="single" w:sz="4" w:space="0" w:color="auto"/>
              <w:right w:val="single" w:sz="4" w:space="0" w:color="auto"/>
            </w:tcBorders>
            <w:shd w:val="clear" w:color="auto" w:fill="00A1AC"/>
            <w:noWrap/>
            <w:vAlign w:val="center"/>
            <w:hideMark/>
          </w:tcPr>
          <w:p w14:paraId="37DE1E60"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Apr-24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5F4028A2"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Nov/Dec 2024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3B63ADF0" w14:textId="77777777" w:rsidR="00A91B57" w:rsidRPr="00341962" w:rsidRDefault="00A91B57" w:rsidP="00903DE4">
            <w:pPr>
              <w:spacing w:before="40" w:after="40" w:line="240" w:lineRule="auto"/>
              <w:rPr>
                <w:rFonts w:eastAsia="Times New Roman"/>
                <w:b/>
                <w:bCs/>
                <w:color w:val="000000"/>
                <w:sz w:val="16"/>
                <w:szCs w:val="16"/>
                <w:lang w:eastAsia="en-NZ"/>
              </w:rPr>
            </w:pPr>
            <w:r w:rsidRPr="00341962">
              <w:rPr>
                <w:rFonts w:eastAsia="Times New Roman"/>
                <w:b/>
                <w:bCs/>
                <w:color w:val="000000"/>
                <w:sz w:val="16"/>
                <w:szCs w:val="16"/>
                <w:lang w:eastAsia="en-NZ"/>
              </w:rPr>
              <w:t>April/May 2025</w:t>
            </w:r>
          </w:p>
        </w:tc>
      </w:tr>
      <w:tr w:rsidR="00090B09" w:rsidRPr="00341962" w14:paraId="0F943788" w14:textId="77777777" w:rsidTr="003E3EE5">
        <w:trPr>
          <w:trHeight w:val="2235"/>
        </w:trPr>
        <w:tc>
          <w:tcPr>
            <w:tcW w:w="1527" w:type="dxa"/>
            <w:tcBorders>
              <w:top w:val="nil"/>
              <w:left w:val="single" w:sz="4" w:space="0" w:color="auto"/>
              <w:bottom w:val="single" w:sz="4" w:space="0" w:color="auto"/>
              <w:right w:val="single" w:sz="4" w:space="0" w:color="auto"/>
            </w:tcBorders>
            <w:shd w:val="clear" w:color="auto" w:fill="auto"/>
            <w:noWrap/>
            <w:hideMark/>
          </w:tcPr>
          <w:p w14:paraId="02EEA13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CPAM Invoices</w:t>
            </w:r>
          </w:p>
        </w:tc>
        <w:tc>
          <w:tcPr>
            <w:tcW w:w="1515" w:type="dxa"/>
            <w:tcBorders>
              <w:top w:val="nil"/>
              <w:left w:val="nil"/>
              <w:bottom w:val="single" w:sz="4" w:space="0" w:color="auto"/>
              <w:right w:val="single" w:sz="4" w:space="0" w:color="auto"/>
            </w:tcBorders>
            <w:shd w:val="clear" w:color="auto" w:fill="auto"/>
            <w:noWrap/>
            <w:hideMark/>
          </w:tcPr>
          <w:p w14:paraId="17AABD54" w14:textId="3A5ADA36"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003173A2" w:rsidRPr="00341962">
              <w:rPr>
                <w:rFonts w:eastAsia="Times New Roman"/>
                <w:color w:val="000000"/>
                <w:sz w:val="16"/>
                <w:szCs w:val="16"/>
                <w:lang w:eastAsia="en-NZ"/>
              </w:rPr>
              <w:t xml:space="preserve"> </w:t>
            </w:r>
            <w:r w:rsidRPr="00341962">
              <w:rPr>
                <w:rFonts w:eastAsia="Times New Roman"/>
                <w:color w:val="000000"/>
                <w:sz w:val="16"/>
                <w:szCs w:val="16"/>
                <w:lang w:eastAsia="en-NZ"/>
              </w:rPr>
              <w:t>rate</w:t>
            </w:r>
          </w:p>
        </w:tc>
        <w:tc>
          <w:tcPr>
            <w:tcW w:w="1516" w:type="dxa"/>
            <w:tcBorders>
              <w:top w:val="nil"/>
              <w:left w:val="nil"/>
              <w:bottom w:val="single" w:sz="4" w:space="0" w:color="auto"/>
              <w:right w:val="single" w:sz="4" w:space="0" w:color="auto"/>
            </w:tcBorders>
            <w:shd w:val="clear" w:color="auto" w:fill="auto"/>
            <w:noWrap/>
            <w:hideMark/>
          </w:tcPr>
          <w:p w14:paraId="0C2E01E8" w14:textId="4A722242"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36" w:type="dxa"/>
            <w:tcBorders>
              <w:top w:val="nil"/>
              <w:left w:val="nil"/>
              <w:bottom w:val="single" w:sz="4" w:space="0" w:color="auto"/>
              <w:right w:val="single" w:sz="4" w:space="0" w:color="auto"/>
            </w:tcBorders>
            <w:shd w:val="clear" w:color="auto" w:fill="auto"/>
            <w:hideMark/>
          </w:tcPr>
          <w:p w14:paraId="5C0BE936" w14:textId="326C9CC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Invoice Submitted for November services, so charged new rate.</w:t>
            </w:r>
            <w:r w:rsidRPr="00341962">
              <w:rPr>
                <w:rFonts w:eastAsia="Times New Roman"/>
                <w:color w:val="000000"/>
                <w:sz w:val="16"/>
                <w:szCs w:val="16"/>
                <w:lang w:eastAsia="en-NZ"/>
              </w:rPr>
              <w:br/>
              <w:t>Invoice to also include wash up of difference from July to October 2023</w:t>
            </w:r>
            <w:r w:rsidRPr="00341962">
              <w:rPr>
                <w:rFonts w:eastAsia="Times New Roman"/>
                <w:color w:val="000000"/>
                <w:sz w:val="16"/>
                <w:szCs w:val="16"/>
                <w:lang w:eastAsia="en-NZ"/>
              </w:rPr>
              <w:br/>
              <w:t xml:space="preserve">Paid 20 November 2023 </w:t>
            </w:r>
          </w:p>
        </w:tc>
        <w:tc>
          <w:tcPr>
            <w:tcW w:w="1515" w:type="dxa"/>
            <w:tcBorders>
              <w:top w:val="nil"/>
              <w:left w:val="nil"/>
              <w:bottom w:val="single" w:sz="4" w:space="0" w:color="auto"/>
              <w:right w:val="single" w:sz="4" w:space="0" w:color="auto"/>
            </w:tcBorders>
            <w:shd w:val="clear" w:color="auto" w:fill="auto"/>
            <w:hideMark/>
          </w:tcPr>
          <w:p w14:paraId="4FFEA4D7"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December 2023 Invoice </w:t>
            </w:r>
            <w:r w:rsidRPr="00341962">
              <w:rPr>
                <w:rFonts w:eastAsia="Times New Roman"/>
                <w:color w:val="000000"/>
                <w:sz w:val="16"/>
                <w:szCs w:val="16"/>
                <w:lang w:eastAsia="en-NZ"/>
              </w:rPr>
              <w:br/>
              <w:t>New Rate</w:t>
            </w:r>
          </w:p>
        </w:tc>
        <w:tc>
          <w:tcPr>
            <w:tcW w:w="1516" w:type="dxa"/>
            <w:tcBorders>
              <w:top w:val="nil"/>
              <w:left w:val="nil"/>
              <w:bottom w:val="single" w:sz="4" w:space="0" w:color="auto"/>
              <w:right w:val="single" w:sz="4" w:space="0" w:color="auto"/>
            </w:tcBorders>
            <w:shd w:val="clear" w:color="auto" w:fill="auto"/>
            <w:hideMark/>
          </w:tcPr>
          <w:p w14:paraId="7706BF58" w14:textId="2236FC0F" w:rsidR="00A91B57" w:rsidRPr="00341962" w:rsidRDefault="00990261"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January</w:t>
            </w:r>
            <w:r w:rsidR="00A91B57" w:rsidRPr="00341962">
              <w:rPr>
                <w:rFonts w:eastAsia="Times New Roman"/>
                <w:color w:val="000000"/>
                <w:sz w:val="16"/>
                <w:szCs w:val="16"/>
                <w:lang w:eastAsia="en-NZ"/>
              </w:rPr>
              <w:t xml:space="preserve"> Invoice </w:t>
            </w:r>
            <w:r w:rsidR="00A91B57" w:rsidRPr="00341962">
              <w:rPr>
                <w:rFonts w:eastAsia="Times New Roman"/>
                <w:color w:val="000000"/>
                <w:sz w:val="16"/>
                <w:szCs w:val="16"/>
                <w:lang w:eastAsia="en-NZ"/>
              </w:rPr>
              <w:br/>
              <w:t>New Rate</w:t>
            </w:r>
          </w:p>
        </w:tc>
        <w:tc>
          <w:tcPr>
            <w:tcW w:w="1516" w:type="dxa"/>
            <w:tcBorders>
              <w:top w:val="nil"/>
              <w:left w:val="nil"/>
              <w:bottom w:val="single" w:sz="4" w:space="0" w:color="auto"/>
              <w:right w:val="single" w:sz="4" w:space="0" w:color="auto"/>
            </w:tcBorders>
            <w:shd w:val="clear" w:color="auto" w:fill="auto"/>
            <w:hideMark/>
          </w:tcPr>
          <w:p w14:paraId="58E77ABE"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February Invoice </w:t>
            </w:r>
            <w:r w:rsidRPr="00341962">
              <w:rPr>
                <w:rFonts w:eastAsia="Times New Roman"/>
                <w:color w:val="000000"/>
                <w:sz w:val="16"/>
                <w:szCs w:val="16"/>
                <w:lang w:eastAsia="en-NZ"/>
              </w:rPr>
              <w:br/>
              <w:t>New Rate</w:t>
            </w:r>
          </w:p>
        </w:tc>
        <w:tc>
          <w:tcPr>
            <w:tcW w:w="1515" w:type="dxa"/>
            <w:tcBorders>
              <w:top w:val="nil"/>
              <w:left w:val="nil"/>
              <w:bottom w:val="single" w:sz="4" w:space="0" w:color="auto"/>
              <w:right w:val="single" w:sz="4" w:space="0" w:color="auto"/>
            </w:tcBorders>
            <w:shd w:val="clear" w:color="auto" w:fill="auto"/>
            <w:hideMark/>
          </w:tcPr>
          <w:p w14:paraId="435CBAE4"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March Invoice</w:t>
            </w:r>
            <w:r w:rsidRPr="00341962">
              <w:rPr>
                <w:rFonts w:eastAsia="Times New Roman"/>
                <w:color w:val="000000"/>
                <w:sz w:val="16"/>
                <w:szCs w:val="16"/>
                <w:lang w:eastAsia="en-NZ"/>
              </w:rPr>
              <w:br/>
              <w:t>New Rate</w:t>
            </w:r>
          </w:p>
        </w:tc>
        <w:tc>
          <w:tcPr>
            <w:tcW w:w="1516" w:type="dxa"/>
            <w:tcBorders>
              <w:top w:val="nil"/>
              <w:left w:val="nil"/>
              <w:bottom w:val="single" w:sz="4" w:space="0" w:color="auto"/>
              <w:right w:val="single" w:sz="4" w:space="0" w:color="auto"/>
            </w:tcBorders>
            <w:shd w:val="clear" w:color="auto" w:fill="auto"/>
            <w:noWrap/>
            <w:hideMark/>
          </w:tcPr>
          <w:p w14:paraId="577A9DE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609C340"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63DF5377"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hideMark/>
          </w:tcPr>
          <w:p w14:paraId="4423289C" w14:textId="4280A405"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Handling Fee (x </w:t>
            </w:r>
            <w:r w:rsidR="00341962" w:rsidRPr="00341962">
              <w:rPr>
                <w:rFonts w:eastAsia="Times New Roman"/>
                <w:color w:val="000000"/>
                <w:sz w:val="16"/>
                <w:szCs w:val="16"/>
                <w:lang w:eastAsia="en-NZ"/>
              </w:rPr>
              <w:t>multiplier</w:t>
            </w:r>
            <w:r w:rsidRPr="00341962">
              <w:rPr>
                <w:rFonts w:eastAsia="Times New Roman"/>
                <w:color w:val="000000"/>
                <w:sz w:val="16"/>
                <w:szCs w:val="16"/>
                <w:lang w:eastAsia="en-NZ"/>
              </w:rPr>
              <w:t xml:space="preserve"> where applicable)</w:t>
            </w:r>
          </w:p>
        </w:tc>
        <w:tc>
          <w:tcPr>
            <w:tcW w:w="1515" w:type="dxa"/>
            <w:tcBorders>
              <w:top w:val="nil"/>
              <w:left w:val="nil"/>
              <w:bottom w:val="single" w:sz="4" w:space="0" w:color="auto"/>
              <w:right w:val="single" w:sz="4" w:space="0" w:color="auto"/>
            </w:tcBorders>
            <w:shd w:val="clear" w:color="auto" w:fill="auto"/>
            <w:hideMark/>
          </w:tcPr>
          <w:p w14:paraId="13D9B819" w14:textId="1799133F"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22785F3D" w14:textId="6684267C"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36" w:type="dxa"/>
            <w:tcBorders>
              <w:top w:val="nil"/>
              <w:left w:val="nil"/>
              <w:bottom w:val="single" w:sz="4" w:space="0" w:color="auto"/>
              <w:right w:val="single" w:sz="4" w:space="0" w:color="auto"/>
            </w:tcBorders>
            <w:shd w:val="clear" w:color="auto" w:fill="auto"/>
            <w:hideMark/>
          </w:tcPr>
          <w:p w14:paraId="7EEA7DEC"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Handling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04EDD3FA"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32E9E06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5153C82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Handling Fee</w:t>
            </w:r>
          </w:p>
        </w:tc>
        <w:tc>
          <w:tcPr>
            <w:tcW w:w="1515" w:type="dxa"/>
            <w:tcBorders>
              <w:top w:val="nil"/>
              <w:left w:val="nil"/>
              <w:bottom w:val="single" w:sz="4" w:space="0" w:color="auto"/>
              <w:right w:val="single" w:sz="4" w:space="0" w:color="auto"/>
            </w:tcBorders>
            <w:shd w:val="clear" w:color="auto" w:fill="auto"/>
            <w:noWrap/>
            <w:hideMark/>
          </w:tcPr>
          <w:p w14:paraId="16328B76"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2C1CFB0B"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6ED7B247"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5D27865E"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0991D7D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Pack Fee</w:t>
            </w:r>
          </w:p>
        </w:tc>
        <w:tc>
          <w:tcPr>
            <w:tcW w:w="1515" w:type="dxa"/>
            <w:tcBorders>
              <w:top w:val="nil"/>
              <w:left w:val="nil"/>
              <w:bottom w:val="single" w:sz="4" w:space="0" w:color="auto"/>
              <w:right w:val="single" w:sz="4" w:space="0" w:color="auto"/>
            </w:tcBorders>
            <w:shd w:val="clear" w:color="auto" w:fill="auto"/>
            <w:hideMark/>
          </w:tcPr>
          <w:p w14:paraId="3B133F1C" w14:textId="76C551A3"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6C68D861" w14:textId="0AD9DE51"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36" w:type="dxa"/>
            <w:tcBorders>
              <w:top w:val="nil"/>
              <w:left w:val="nil"/>
              <w:bottom w:val="single" w:sz="4" w:space="0" w:color="auto"/>
              <w:right w:val="single" w:sz="4" w:space="0" w:color="auto"/>
            </w:tcBorders>
            <w:shd w:val="clear" w:color="auto" w:fill="auto"/>
            <w:hideMark/>
          </w:tcPr>
          <w:p w14:paraId="0D41FED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Pack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37D98240"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2E66A16D"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324B93B6"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Pack Fee</w:t>
            </w:r>
          </w:p>
        </w:tc>
        <w:tc>
          <w:tcPr>
            <w:tcW w:w="1515" w:type="dxa"/>
            <w:tcBorders>
              <w:top w:val="nil"/>
              <w:left w:val="nil"/>
              <w:bottom w:val="single" w:sz="4" w:space="0" w:color="auto"/>
              <w:right w:val="single" w:sz="4" w:space="0" w:color="auto"/>
            </w:tcBorders>
            <w:shd w:val="clear" w:color="auto" w:fill="auto"/>
            <w:noWrap/>
            <w:hideMark/>
          </w:tcPr>
          <w:p w14:paraId="186E810A"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625920E4"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04FB6E1"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646E2522"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505A9991"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Immunisation Fee</w:t>
            </w:r>
          </w:p>
        </w:tc>
        <w:tc>
          <w:tcPr>
            <w:tcW w:w="1515" w:type="dxa"/>
            <w:tcBorders>
              <w:top w:val="nil"/>
              <w:left w:val="nil"/>
              <w:bottom w:val="single" w:sz="4" w:space="0" w:color="auto"/>
              <w:right w:val="single" w:sz="4" w:space="0" w:color="auto"/>
            </w:tcBorders>
            <w:shd w:val="clear" w:color="auto" w:fill="auto"/>
            <w:noWrap/>
            <w:hideMark/>
          </w:tcPr>
          <w:p w14:paraId="3EC22C36" w14:textId="633285E4"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3A26F9F8" w14:textId="24476C13"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36" w:type="dxa"/>
            <w:tcBorders>
              <w:top w:val="nil"/>
              <w:left w:val="nil"/>
              <w:bottom w:val="single" w:sz="4" w:space="0" w:color="auto"/>
              <w:right w:val="single" w:sz="4" w:space="0" w:color="auto"/>
            </w:tcBorders>
            <w:shd w:val="clear" w:color="auto" w:fill="auto"/>
            <w:hideMark/>
          </w:tcPr>
          <w:p w14:paraId="04507D95"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Admin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1EEE727B"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3CAA98B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77B2BCD6"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Admin Fee</w:t>
            </w:r>
          </w:p>
        </w:tc>
        <w:tc>
          <w:tcPr>
            <w:tcW w:w="1515" w:type="dxa"/>
            <w:tcBorders>
              <w:top w:val="nil"/>
              <w:left w:val="nil"/>
              <w:bottom w:val="single" w:sz="4" w:space="0" w:color="auto"/>
              <w:right w:val="single" w:sz="4" w:space="0" w:color="auto"/>
            </w:tcBorders>
            <w:shd w:val="clear" w:color="auto" w:fill="auto"/>
            <w:noWrap/>
            <w:hideMark/>
          </w:tcPr>
          <w:p w14:paraId="1F035BB3"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5EE1A28A"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1257109"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0A6AF6FB" w14:textId="77777777" w:rsidTr="003E3EE5">
        <w:trPr>
          <w:trHeight w:val="1440"/>
        </w:trPr>
        <w:tc>
          <w:tcPr>
            <w:tcW w:w="1527" w:type="dxa"/>
            <w:tcBorders>
              <w:top w:val="nil"/>
              <w:left w:val="single" w:sz="4" w:space="0" w:color="auto"/>
              <w:bottom w:val="single" w:sz="4" w:space="0" w:color="auto"/>
              <w:right w:val="single" w:sz="4" w:space="0" w:color="auto"/>
            </w:tcBorders>
            <w:shd w:val="clear" w:color="auto" w:fill="auto"/>
            <w:hideMark/>
          </w:tcPr>
          <w:p w14:paraId="70937266"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Immunisation co-administration (influenza + shingles) Fee</w:t>
            </w:r>
          </w:p>
        </w:tc>
        <w:tc>
          <w:tcPr>
            <w:tcW w:w="1515" w:type="dxa"/>
            <w:tcBorders>
              <w:top w:val="nil"/>
              <w:left w:val="nil"/>
              <w:bottom w:val="single" w:sz="4" w:space="0" w:color="auto"/>
              <w:right w:val="single" w:sz="4" w:space="0" w:color="auto"/>
            </w:tcBorders>
            <w:shd w:val="clear" w:color="auto" w:fill="auto"/>
            <w:hideMark/>
          </w:tcPr>
          <w:p w14:paraId="6398A638"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w:t>
            </w:r>
          </w:p>
        </w:tc>
        <w:tc>
          <w:tcPr>
            <w:tcW w:w="1516" w:type="dxa"/>
            <w:tcBorders>
              <w:top w:val="nil"/>
              <w:left w:val="nil"/>
              <w:bottom w:val="single" w:sz="4" w:space="0" w:color="auto"/>
              <w:right w:val="single" w:sz="4" w:space="0" w:color="auto"/>
            </w:tcBorders>
            <w:shd w:val="clear" w:color="auto" w:fill="auto"/>
            <w:hideMark/>
          </w:tcPr>
          <w:p w14:paraId="722D9339"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w:t>
            </w:r>
          </w:p>
        </w:tc>
        <w:tc>
          <w:tcPr>
            <w:tcW w:w="1536" w:type="dxa"/>
            <w:tcBorders>
              <w:top w:val="nil"/>
              <w:left w:val="nil"/>
              <w:bottom w:val="single" w:sz="4" w:space="0" w:color="auto"/>
              <w:right w:val="single" w:sz="4" w:space="0" w:color="auto"/>
            </w:tcBorders>
            <w:shd w:val="clear" w:color="auto" w:fill="auto"/>
            <w:hideMark/>
          </w:tcPr>
          <w:p w14:paraId="5975EC97"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New service line commences 1 December 2023: back dated to 1 August 2023 (when shingles vaccines was first funded through the ICPSA</w:t>
            </w:r>
          </w:p>
        </w:tc>
        <w:tc>
          <w:tcPr>
            <w:tcW w:w="1515" w:type="dxa"/>
            <w:tcBorders>
              <w:top w:val="nil"/>
              <w:left w:val="nil"/>
              <w:bottom w:val="single" w:sz="4" w:space="0" w:color="auto"/>
              <w:right w:val="single" w:sz="4" w:space="0" w:color="auto"/>
            </w:tcBorders>
            <w:shd w:val="clear" w:color="auto" w:fill="auto"/>
            <w:noWrap/>
            <w:hideMark/>
          </w:tcPr>
          <w:p w14:paraId="1C023280"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1B582395"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1F59BEC2"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New Admin Fee</w:t>
            </w:r>
          </w:p>
        </w:tc>
        <w:tc>
          <w:tcPr>
            <w:tcW w:w="1515" w:type="dxa"/>
            <w:tcBorders>
              <w:top w:val="nil"/>
              <w:left w:val="nil"/>
              <w:bottom w:val="single" w:sz="4" w:space="0" w:color="auto"/>
              <w:right w:val="single" w:sz="4" w:space="0" w:color="auto"/>
            </w:tcBorders>
            <w:shd w:val="clear" w:color="auto" w:fill="auto"/>
            <w:noWrap/>
            <w:hideMark/>
          </w:tcPr>
          <w:p w14:paraId="50F7D1B9"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hideMark/>
          </w:tcPr>
          <w:p w14:paraId="4E35775B"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7430AD0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33FD7D23" w14:textId="77777777" w:rsidTr="003E3EE5">
        <w:trPr>
          <w:trHeight w:val="1152"/>
        </w:trPr>
        <w:tc>
          <w:tcPr>
            <w:tcW w:w="1527" w:type="dxa"/>
            <w:tcBorders>
              <w:top w:val="nil"/>
              <w:left w:val="single" w:sz="4" w:space="0" w:color="auto"/>
              <w:bottom w:val="single" w:sz="4" w:space="0" w:color="auto"/>
              <w:right w:val="single" w:sz="4" w:space="0" w:color="auto"/>
            </w:tcBorders>
            <w:shd w:val="clear" w:color="auto" w:fill="auto"/>
            <w:hideMark/>
          </w:tcPr>
          <w:p w14:paraId="4491C463"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lastRenderedPageBreak/>
              <w:t>APAS</w:t>
            </w:r>
          </w:p>
        </w:tc>
        <w:tc>
          <w:tcPr>
            <w:tcW w:w="1515" w:type="dxa"/>
            <w:tcBorders>
              <w:top w:val="nil"/>
              <w:left w:val="nil"/>
              <w:bottom w:val="single" w:sz="4" w:space="0" w:color="auto"/>
              <w:right w:val="single" w:sz="4" w:space="0" w:color="auto"/>
            </w:tcBorders>
            <w:shd w:val="clear" w:color="auto" w:fill="auto"/>
            <w:hideMark/>
          </w:tcPr>
          <w:p w14:paraId="2727F590"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January/February/March 2023 prescriptions &amp; visits, paying out the variation 4 Payment Pool</w:t>
            </w:r>
          </w:p>
        </w:tc>
        <w:tc>
          <w:tcPr>
            <w:tcW w:w="1516" w:type="dxa"/>
            <w:tcBorders>
              <w:top w:val="nil"/>
              <w:left w:val="nil"/>
              <w:bottom w:val="single" w:sz="4" w:space="0" w:color="auto"/>
              <w:right w:val="single" w:sz="4" w:space="0" w:color="auto"/>
            </w:tcBorders>
            <w:shd w:val="clear" w:color="auto" w:fill="auto"/>
            <w:hideMark/>
          </w:tcPr>
          <w:p w14:paraId="430468DC"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April/May/June 2023 prescriptions &amp; visits, paying out the variation 4 Payment Pool</w:t>
            </w:r>
          </w:p>
        </w:tc>
        <w:tc>
          <w:tcPr>
            <w:tcW w:w="1536" w:type="dxa"/>
            <w:tcBorders>
              <w:top w:val="nil"/>
              <w:left w:val="nil"/>
              <w:bottom w:val="single" w:sz="4" w:space="0" w:color="auto"/>
              <w:right w:val="single" w:sz="4" w:space="0" w:color="auto"/>
            </w:tcBorders>
            <w:shd w:val="clear" w:color="auto" w:fill="auto"/>
            <w:hideMark/>
          </w:tcPr>
          <w:p w14:paraId="1B3787B5"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April/May/June 2023 prescriptions &amp; visits, paying out the variation 4 Payment Pool</w:t>
            </w:r>
          </w:p>
        </w:tc>
        <w:tc>
          <w:tcPr>
            <w:tcW w:w="1515" w:type="dxa"/>
            <w:tcBorders>
              <w:top w:val="nil"/>
              <w:left w:val="nil"/>
              <w:bottom w:val="single" w:sz="4" w:space="0" w:color="auto"/>
              <w:right w:val="single" w:sz="4" w:space="0" w:color="auto"/>
            </w:tcBorders>
            <w:shd w:val="clear" w:color="auto" w:fill="auto"/>
            <w:hideMark/>
          </w:tcPr>
          <w:p w14:paraId="3C5DDEAE"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July/August/September 2023 prescriptions &amp; visits, paying out the variation 5 Payment Pool</w:t>
            </w:r>
          </w:p>
        </w:tc>
        <w:tc>
          <w:tcPr>
            <w:tcW w:w="1516" w:type="dxa"/>
            <w:tcBorders>
              <w:top w:val="nil"/>
              <w:left w:val="nil"/>
              <w:bottom w:val="single" w:sz="4" w:space="0" w:color="auto"/>
              <w:right w:val="single" w:sz="4" w:space="0" w:color="auto"/>
            </w:tcBorders>
            <w:shd w:val="clear" w:color="auto" w:fill="auto"/>
            <w:hideMark/>
          </w:tcPr>
          <w:p w14:paraId="78348E54"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July/August/September 2023 prescriptions &amp; visits, paying out the variation 5 Payment Pool</w:t>
            </w:r>
          </w:p>
        </w:tc>
        <w:tc>
          <w:tcPr>
            <w:tcW w:w="1516" w:type="dxa"/>
            <w:tcBorders>
              <w:top w:val="nil"/>
              <w:left w:val="nil"/>
              <w:bottom w:val="single" w:sz="4" w:space="0" w:color="auto"/>
              <w:right w:val="single" w:sz="4" w:space="0" w:color="auto"/>
            </w:tcBorders>
            <w:shd w:val="clear" w:color="auto" w:fill="auto"/>
            <w:hideMark/>
          </w:tcPr>
          <w:p w14:paraId="1345138C"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July/August/September 2023 prescriptions &amp; visits, paying out the variation 5 Payment Pool</w:t>
            </w:r>
          </w:p>
        </w:tc>
        <w:tc>
          <w:tcPr>
            <w:tcW w:w="1515" w:type="dxa"/>
            <w:tcBorders>
              <w:top w:val="nil"/>
              <w:left w:val="nil"/>
              <w:bottom w:val="single" w:sz="4" w:space="0" w:color="auto"/>
              <w:right w:val="single" w:sz="4" w:space="0" w:color="auto"/>
            </w:tcBorders>
            <w:shd w:val="clear" w:color="auto" w:fill="auto"/>
            <w:hideMark/>
          </w:tcPr>
          <w:p w14:paraId="5C0B8C0B"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Payments are calculated using the October/November/December 2023 prescriptions &amp; visits, paying out the variation 5 Payment Pool</w:t>
            </w:r>
          </w:p>
        </w:tc>
        <w:tc>
          <w:tcPr>
            <w:tcW w:w="1516" w:type="dxa"/>
            <w:tcBorders>
              <w:top w:val="nil"/>
              <w:left w:val="nil"/>
              <w:bottom w:val="single" w:sz="4" w:space="0" w:color="auto"/>
              <w:right w:val="single" w:sz="4" w:space="0" w:color="auto"/>
            </w:tcBorders>
            <w:shd w:val="clear" w:color="auto" w:fill="auto"/>
            <w:hideMark/>
          </w:tcPr>
          <w:p w14:paraId="420865F3"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573C00F4"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5A630020" w14:textId="77777777" w:rsidTr="003E3EE5">
        <w:trPr>
          <w:trHeight w:val="1440"/>
        </w:trPr>
        <w:tc>
          <w:tcPr>
            <w:tcW w:w="1527" w:type="dxa"/>
            <w:tcBorders>
              <w:top w:val="nil"/>
              <w:left w:val="single" w:sz="4" w:space="0" w:color="auto"/>
              <w:bottom w:val="single" w:sz="4" w:space="0" w:color="auto"/>
              <w:right w:val="single" w:sz="4" w:space="0" w:color="auto"/>
            </w:tcBorders>
            <w:shd w:val="clear" w:color="auto" w:fill="auto"/>
            <w:noWrap/>
            <w:hideMark/>
          </w:tcPr>
          <w:p w14:paraId="1EB6822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Case Mix</w:t>
            </w:r>
          </w:p>
        </w:tc>
        <w:tc>
          <w:tcPr>
            <w:tcW w:w="1515" w:type="dxa"/>
            <w:tcBorders>
              <w:top w:val="nil"/>
              <w:left w:val="nil"/>
              <w:bottom w:val="single" w:sz="4" w:space="0" w:color="auto"/>
              <w:right w:val="single" w:sz="4" w:space="0" w:color="auto"/>
            </w:tcBorders>
            <w:shd w:val="clear" w:color="auto" w:fill="auto"/>
            <w:hideMark/>
          </w:tcPr>
          <w:p w14:paraId="5AABF539" w14:textId="3747099F"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Actuals for April, May and June - 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hideMark/>
          </w:tcPr>
          <w:p w14:paraId="11EB6A7F" w14:textId="6CD41C98"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July and August actual paid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 Actual July (paid October 2023) and August Actual (paid November 2023) at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rate</w:t>
            </w:r>
          </w:p>
        </w:tc>
        <w:tc>
          <w:tcPr>
            <w:tcW w:w="1536" w:type="dxa"/>
            <w:tcBorders>
              <w:top w:val="nil"/>
              <w:left w:val="nil"/>
              <w:bottom w:val="single" w:sz="4" w:space="0" w:color="auto"/>
              <w:right w:val="single" w:sz="4" w:space="0" w:color="auto"/>
            </w:tcBorders>
            <w:shd w:val="clear" w:color="auto" w:fill="auto"/>
            <w:hideMark/>
          </w:tcPr>
          <w:p w14:paraId="0F613500" w14:textId="3E1EEE7B"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Actual September 2023 Case Mix paid at </w:t>
            </w:r>
            <w:r w:rsidR="00904680">
              <w:rPr>
                <w:rFonts w:eastAsia="Times New Roman"/>
                <w:color w:val="000000"/>
                <w:sz w:val="16"/>
                <w:szCs w:val="16"/>
                <w:lang w:eastAsia="en-NZ"/>
              </w:rPr>
              <w:t>c</w:t>
            </w:r>
            <w:r w:rsidR="003173A2">
              <w:rPr>
                <w:rFonts w:eastAsia="Times New Roman"/>
                <w:color w:val="000000"/>
                <w:sz w:val="16"/>
                <w:szCs w:val="16"/>
                <w:lang w:eastAsia="en-NZ"/>
              </w:rPr>
              <w:t>urrent</w:t>
            </w:r>
            <w:r w:rsidRPr="00341962">
              <w:rPr>
                <w:rFonts w:eastAsia="Times New Roman"/>
                <w:color w:val="000000"/>
                <w:sz w:val="16"/>
                <w:szCs w:val="16"/>
                <w:lang w:eastAsia="en-NZ"/>
              </w:rPr>
              <w:t xml:space="preserve"> </w:t>
            </w:r>
            <w:r w:rsidR="00904680">
              <w:rPr>
                <w:rFonts w:eastAsia="Times New Roman"/>
                <w:color w:val="000000"/>
                <w:sz w:val="16"/>
                <w:szCs w:val="16"/>
                <w:lang w:eastAsia="en-NZ"/>
              </w:rPr>
              <w:t>r</w:t>
            </w:r>
            <w:r w:rsidRPr="00341962">
              <w:rPr>
                <w:rFonts w:eastAsia="Times New Roman"/>
                <w:color w:val="000000"/>
                <w:sz w:val="16"/>
                <w:szCs w:val="16"/>
                <w:lang w:eastAsia="en-NZ"/>
              </w:rPr>
              <w:t>ate</w:t>
            </w:r>
            <w:r w:rsidRPr="00341962">
              <w:rPr>
                <w:rFonts w:eastAsia="Times New Roman"/>
                <w:color w:val="000000"/>
                <w:sz w:val="16"/>
                <w:szCs w:val="16"/>
                <w:lang w:eastAsia="en-NZ"/>
              </w:rPr>
              <w:br/>
              <w:t>Case Mix Advance based on September 2023 Actual</w:t>
            </w:r>
          </w:p>
        </w:tc>
        <w:tc>
          <w:tcPr>
            <w:tcW w:w="1515" w:type="dxa"/>
            <w:tcBorders>
              <w:top w:val="nil"/>
              <w:left w:val="nil"/>
              <w:bottom w:val="single" w:sz="4" w:space="0" w:color="auto"/>
              <w:right w:val="single" w:sz="4" w:space="0" w:color="auto"/>
            </w:tcBorders>
            <w:shd w:val="clear" w:color="auto" w:fill="auto"/>
            <w:hideMark/>
          </w:tcPr>
          <w:p w14:paraId="1F3AF095"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Actual October 2023 Case Mix paid at New Rate</w:t>
            </w:r>
            <w:r w:rsidRPr="00341962">
              <w:rPr>
                <w:rFonts w:eastAsia="Times New Roman"/>
                <w:color w:val="000000"/>
                <w:sz w:val="16"/>
                <w:szCs w:val="16"/>
                <w:lang w:eastAsia="en-NZ"/>
              </w:rPr>
              <w:br/>
              <w:t>Case Mix Advance based on October 2023 Actual</w:t>
            </w:r>
          </w:p>
        </w:tc>
        <w:tc>
          <w:tcPr>
            <w:tcW w:w="1516" w:type="dxa"/>
            <w:tcBorders>
              <w:top w:val="nil"/>
              <w:left w:val="nil"/>
              <w:bottom w:val="single" w:sz="4" w:space="0" w:color="auto"/>
              <w:right w:val="single" w:sz="4" w:space="0" w:color="auto"/>
            </w:tcBorders>
            <w:shd w:val="clear" w:color="auto" w:fill="auto"/>
            <w:hideMark/>
          </w:tcPr>
          <w:p w14:paraId="332C44B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Actual November 2023 Case Mix paid at New Rate</w:t>
            </w:r>
            <w:r w:rsidRPr="00341962">
              <w:rPr>
                <w:rFonts w:eastAsia="Times New Roman"/>
                <w:color w:val="000000"/>
                <w:sz w:val="16"/>
                <w:szCs w:val="16"/>
                <w:lang w:eastAsia="en-NZ"/>
              </w:rPr>
              <w:br/>
              <w:t>Case Mix Advance based on November 2023 Actual</w:t>
            </w:r>
          </w:p>
        </w:tc>
        <w:tc>
          <w:tcPr>
            <w:tcW w:w="1516" w:type="dxa"/>
            <w:tcBorders>
              <w:top w:val="nil"/>
              <w:left w:val="nil"/>
              <w:bottom w:val="single" w:sz="4" w:space="0" w:color="auto"/>
              <w:right w:val="single" w:sz="4" w:space="0" w:color="auto"/>
            </w:tcBorders>
            <w:shd w:val="clear" w:color="auto" w:fill="auto"/>
            <w:hideMark/>
          </w:tcPr>
          <w:p w14:paraId="44551059"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Actual December 2023 Case Mix paid at New Rate</w:t>
            </w:r>
            <w:r w:rsidRPr="00341962">
              <w:rPr>
                <w:rFonts w:eastAsia="Times New Roman"/>
                <w:color w:val="000000"/>
                <w:sz w:val="16"/>
                <w:szCs w:val="16"/>
                <w:lang w:eastAsia="en-NZ"/>
              </w:rPr>
              <w:br/>
              <w:t>Case Mix Advance based on December 2023 Actual</w:t>
            </w:r>
          </w:p>
        </w:tc>
        <w:tc>
          <w:tcPr>
            <w:tcW w:w="1515" w:type="dxa"/>
            <w:tcBorders>
              <w:top w:val="nil"/>
              <w:left w:val="nil"/>
              <w:bottom w:val="single" w:sz="4" w:space="0" w:color="auto"/>
              <w:right w:val="single" w:sz="4" w:space="0" w:color="auto"/>
            </w:tcBorders>
            <w:shd w:val="clear" w:color="auto" w:fill="auto"/>
            <w:hideMark/>
          </w:tcPr>
          <w:p w14:paraId="0E610771"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Actual January 2024 Case Mix paid at New Rate</w:t>
            </w:r>
            <w:r w:rsidRPr="00341962">
              <w:rPr>
                <w:rFonts w:eastAsia="Times New Roman"/>
                <w:color w:val="000000"/>
                <w:sz w:val="16"/>
                <w:szCs w:val="16"/>
                <w:lang w:eastAsia="en-NZ"/>
              </w:rPr>
              <w:br/>
              <w:t>Case Mix Advance based on January 2024 Actual</w:t>
            </w:r>
          </w:p>
        </w:tc>
        <w:tc>
          <w:tcPr>
            <w:tcW w:w="1516" w:type="dxa"/>
            <w:tcBorders>
              <w:top w:val="nil"/>
              <w:left w:val="nil"/>
              <w:bottom w:val="single" w:sz="4" w:space="0" w:color="auto"/>
              <w:right w:val="single" w:sz="4" w:space="0" w:color="auto"/>
            </w:tcBorders>
            <w:shd w:val="clear" w:color="auto" w:fill="auto"/>
            <w:noWrap/>
            <w:hideMark/>
          </w:tcPr>
          <w:p w14:paraId="3B673D1D"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02A04AD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1DDE6EBD"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71D19AC6" w14:textId="7777777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Wash Up of Handling/Pack Fees</w:t>
            </w:r>
          </w:p>
        </w:tc>
        <w:tc>
          <w:tcPr>
            <w:tcW w:w="1515" w:type="dxa"/>
            <w:tcBorders>
              <w:top w:val="nil"/>
              <w:left w:val="nil"/>
              <w:bottom w:val="single" w:sz="4" w:space="0" w:color="auto"/>
              <w:right w:val="single" w:sz="4" w:space="0" w:color="auto"/>
            </w:tcBorders>
            <w:shd w:val="clear" w:color="auto" w:fill="auto"/>
            <w:noWrap/>
            <w:hideMark/>
          </w:tcPr>
          <w:p w14:paraId="112B95BE"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501C5E95"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36" w:type="dxa"/>
            <w:tcBorders>
              <w:top w:val="nil"/>
              <w:left w:val="nil"/>
              <w:bottom w:val="single" w:sz="4" w:space="0" w:color="auto"/>
              <w:right w:val="single" w:sz="4" w:space="0" w:color="auto"/>
            </w:tcBorders>
            <w:shd w:val="clear" w:color="auto" w:fill="auto"/>
            <w:noWrap/>
            <w:hideMark/>
          </w:tcPr>
          <w:p w14:paraId="6B655BA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2A7B357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53BE2D6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41E0C433"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66D3B510" w14:textId="2C5C7271"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EOM - Difference paid from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to new fees from 1 July to 30 November 2023</w:t>
            </w:r>
          </w:p>
        </w:tc>
        <w:tc>
          <w:tcPr>
            <w:tcW w:w="1516" w:type="dxa"/>
            <w:tcBorders>
              <w:top w:val="nil"/>
              <w:left w:val="nil"/>
              <w:bottom w:val="single" w:sz="4" w:space="0" w:color="auto"/>
              <w:right w:val="single" w:sz="4" w:space="0" w:color="auto"/>
            </w:tcBorders>
            <w:shd w:val="clear" w:color="auto" w:fill="auto"/>
            <w:noWrap/>
            <w:hideMark/>
          </w:tcPr>
          <w:p w14:paraId="62D60D2A"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48C3E2BE"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6DF102B0"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hideMark/>
          </w:tcPr>
          <w:p w14:paraId="794B08B8" w14:textId="70A0D5FA"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Wash Up </w:t>
            </w:r>
            <w:r w:rsidR="00341962" w:rsidRPr="00341962">
              <w:rPr>
                <w:rFonts w:eastAsia="Times New Roman"/>
                <w:color w:val="000000"/>
                <w:sz w:val="16"/>
                <w:szCs w:val="16"/>
                <w:lang w:eastAsia="en-NZ"/>
              </w:rPr>
              <w:t>Immunisation</w:t>
            </w:r>
            <w:r w:rsidRPr="00341962">
              <w:rPr>
                <w:rFonts w:eastAsia="Times New Roman"/>
                <w:color w:val="000000"/>
                <w:sz w:val="16"/>
                <w:szCs w:val="16"/>
                <w:lang w:eastAsia="en-NZ"/>
              </w:rPr>
              <w:t xml:space="preserve"> Admin Fees/</w:t>
            </w:r>
            <w:r w:rsidRPr="00341962">
              <w:rPr>
                <w:rFonts w:eastAsia="Times New Roman"/>
                <w:color w:val="000000"/>
                <w:sz w:val="16"/>
                <w:szCs w:val="16"/>
                <w:lang w:eastAsia="en-NZ"/>
              </w:rPr>
              <w:br/>
              <w:t xml:space="preserve">Including co-administration </w:t>
            </w:r>
          </w:p>
        </w:tc>
        <w:tc>
          <w:tcPr>
            <w:tcW w:w="1515" w:type="dxa"/>
            <w:tcBorders>
              <w:top w:val="nil"/>
              <w:left w:val="nil"/>
              <w:bottom w:val="single" w:sz="4" w:space="0" w:color="auto"/>
              <w:right w:val="single" w:sz="4" w:space="0" w:color="auto"/>
            </w:tcBorders>
            <w:shd w:val="clear" w:color="auto" w:fill="auto"/>
            <w:noWrap/>
            <w:hideMark/>
          </w:tcPr>
          <w:p w14:paraId="4E9A86A9"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92CD923"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36" w:type="dxa"/>
            <w:tcBorders>
              <w:top w:val="nil"/>
              <w:left w:val="nil"/>
              <w:bottom w:val="single" w:sz="4" w:space="0" w:color="auto"/>
              <w:right w:val="single" w:sz="4" w:space="0" w:color="auto"/>
            </w:tcBorders>
            <w:shd w:val="clear" w:color="auto" w:fill="auto"/>
            <w:noWrap/>
            <w:hideMark/>
          </w:tcPr>
          <w:p w14:paraId="6892E216"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65F8660B"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056F9E19"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2610E05A"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707BAA2B" w14:textId="4AB5D0EC"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xml:space="preserve">EOM - Difference paid from </w:t>
            </w:r>
            <w:r w:rsidR="003173A2">
              <w:rPr>
                <w:rFonts w:eastAsia="Times New Roman"/>
                <w:color w:val="000000"/>
                <w:sz w:val="16"/>
                <w:szCs w:val="16"/>
                <w:lang w:eastAsia="en-NZ"/>
              </w:rPr>
              <w:t>current</w:t>
            </w:r>
            <w:r w:rsidRPr="00341962">
              <w:rPr>
                <w:rFonts w:eastAsia="Times New Roman"/>
                <w:color w:val="000000"/>
                <w:sz w:val="16"/>
                <w:szCs w:val="16"/>
                <w:lang w:eastAsia="en-NZ"/>
              </w:rPr>
              <w:t xml:space="preserve"> to new fees from 1 July to 30 November 2023</w:t>
            </w:r>
          </w:p>
        </w:tc>
        <w:tc>
          <w:tcPr>
            <w:tcW w:w="1516" w:type="dxa"/>
            <w:tcBorders>
              <w:top w:val="nil"/>
              <w:left w:val="nil"/>
              <w:bottom w:val="single" w:sz="4" w:space="0" w:color="auto"/>
              <w:right w:val="single" w:sz="4" w:space="0" w:color="auto"/>
            </w:tcBorders>
            <w:shd w:val="clear" w:color="auto" w:fill="auto"/>
            <w:noWrap/>
            <w:hideMark/>
          </w:tcPr>
          <w:p w14:paraId="533C2CC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468EC38E"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3670930C" w14:textId="77777777" w:rsidTr="003E3EE5">
        <w:trPr>
          <w:trHeight w:val="1399"/>
        </w:trPr>
        <w:tc>
          <w:tcPr>
            <w:tcW w:w="1527" w:type="dxa"/>
            <w:tcBorders>
              <w:top w:val="nil"/>
              <w:left w:val="single" w:sz="4" w:space="0" w:color="auto"/>
              <w:bottom w:val="single" w:sz="4" w:space="0" w:color="auto"/>
              <w:right w:val="single" w:sz="4" w:space="0" w:color="auto"/>
            </w:tcBorders>
            <w:shd w:val="clear" w:color="auto" w:fill="auto"/>
            <w:noWrap/>
            <w:hideMark/>
          </w:tcPr>
          <w:p w14:paraId="52010D8D"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Wash Up APAS</w:t>
            </w:r>
          </w:p>
        </w:tc>
        <w:tc>
          <w:tcPr>
            <w:tcW w:w="1515" w:type="dxa"/>
            <w:tcBorders>
              <w:top w:val="nil"/>
              <w:left w:val="nil"/>
              <w:bottom w:val="single" w:sz="4" w:space="0" w:color="auto"/>
              <w:right w:val="single" w:sz="4" w:space="0" w:color="auto"/>
            </w:tcBorders>
            <w:shd w:val="clear" w:color="auto" w:fill="auto"/>
            <w:hideMark/>
          </w:tcPr>
          <w:p w14:paraId="0D71BE8E"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5FA80961"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36" w:type="dxa"/>
            <w:tcBorders>
              <w:top w:val="nil"/>
              <w:left w:val="nil"/>
              <w:bottom w:val="single" w:sz="4" w:space="0" w:color="auto"/>
              <w:right w:val="single" w:sz="4" w:space="0" w:color="auto"/>
            </w:tcBorders>
            <w:shd w:val="clear" w:color="auto" w:fill="auto"/>
            <w:hideMark/>
          </w:tcPr>
          <w:p w14:paraId="4C7CA621"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64FE1C4C"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0390876C"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5AA7FEB8"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nil"/>
              <w:right w:val="nil"/>
            </w:tcBorders>
            <w:shd w:val="clear" w:color="auto" w:fill="auto"/>
            <w:hideMark/>
          </w:tcPr>
          <w:p w14:paraId="79E3B36E" w14:textId="352A0DA7" w:rsidR="00A91B57" w:rsidRPr="00341962" w:rsidRDefault="00A91B57" w:rsidP="00903DE4">
            <w:pPr>
              <w:spacing w:before="40" w:after="40" w:line="240" w:lineRule="auto"/>
              <w:rPr>
                <w:rFonts w:eastAsia="Times New Roman"/>
                <w:sz w:val="16"/>
                <w:szCs w:val="16"/>
                <w:lang w:eastAsia="en-NZ"/>
              </w:rPr>
            </w:pPr>
            <w:r w:rsidRPr="00341962">
              <w:rPr>
                <w:rFonts w:eastAsia="Times New Roman"/>
                <w:sz w:val="16"/>
                <w:szCs w:val="16"/>
                <w:lang w:eastAsia="en-NZ"/>
              </w:rPr>
              <w:t xml:space="preserve">EOM - Difference deducted from </w:t>
            </w:r>
            <w:r w:rsidR="003173A2">
              <w:rPr>
                <w:rFonts w:eastAsia="Times New Roman"/>
                <w:sz w:val="16"/>
                <w:szCs w:val="16"/>
                <w:lang w:eastAsia="en-NZ"/>
              </w:rPr>
              <w:t>current</w:t>
            </w:r>
            <w:r w:rsidRPr="00341962">
              <w:rPr>
                <w:rFonts w:eastAsia="Times New Roman"/>
                <w:sz w:val="16"/>
                <w:szCs w:val="16"/>
                <w:lang w:eastAsia="en-NZ"/>
              </w:rPr>
              <w:t xml:space="preserve"> to new $ pool for July through December 2023 - clawback set for April 2024</w:t>
            </w:r>
          </w:p>
        </w:tc>
        <w:tc>
          <w:tcPr>
            <w:tcW w:w="1516" w:type="dxa"/>
            <w:tcBorders>
              <w:top w:val="nil"/>
              <w:left w:val="single" w:sz="4" w:space="0" w:color="auto"/>
              <w:bottom w:val="single" w:sz="4" w:space="0" w:color="auto"/>
              <w:right w:val="single" w:sz="4" w:space="0" w:color="auto"/>
            </w:tcBorders>
            <w:shd w:val="clear" w:color="auto" w:fill="auto"/>
            <w:noWrap/>
            <w:hideMark/>
          </w:tcPr>
          <w:p w14:paraId="2F6773F4"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2ED82E2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r w:rsidR="00090B09" w:rsidRPr="00341962" w14:paraId="5DB8C556"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17C60243"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Wash Up Case Mix</w:t>
            </w:r>
          </w:p>
        </w:tc>
        <w:tc>
          <w:tcPr>
            <w:tcW w:w="1515" w:type="dxa"/>
            <w:tcBorders>
              <w:top w:val="nil"/>
              <w:left w:val="nil"/>
              <w:bottom w:val="single" w:sz="4" w:space="0" w:color="auto"/>
              <w:right w:val="single" w:sz="4" w:space="0" w:color="auto"/>
            </w:tcBorders>
            <w:shd w:val="clear" w:color="auto" w:fill="auto"/>
            <w:noWrap/>
            <w:hideMark/>
          </w:tcPr>
          <w:p w14:paraId="22518215"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2BF82CE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36" w:type="dxa"/>
            <w:tcBorders>
              <w:top w:val="nil"/>
              <w:left w:val="nil"/>
              <w:bottom w:val="single" w:sz="4" w:space="0" w:color="auto"/>
              <w:right w:val="single" w:sz="4" w:space="0" w:color="auto"/>
            </w:tcBorders>
            <w:shd w:val="clear" w:color="auto" w:fill="auto"/>
            <w:noWrap/>
            <w:hideMark/>
          </w:tcPr>
          <w:p w14:paraId="6ADE97FD"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7879C675"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72BF78F4"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36900B9F"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c>
          <w:tcPr>
            <w:tcW w:w="1515" w:type="dxa"/>
            <w:tcBorders>
              <w:top w:val="single" w:sz="4" w:space="0" w:color="auto"/>
              <w:left w:val="nil"/>
              <w:bottom w:val="single" w:sz="4" w:space="0" w:color="auto"/>
              <w:right w:val="single" w:sz="4" w:space="0" w:color="auto"/>
            </w:tcBorders>
            <w:shd w:val="clear" w:color="auto" w:fill="auto"/>
            <w:hideMark/>
          </w:tcPr>
          <w:p w14:paraId="4F1AAAA7" w14:textId="3669780B"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July, August and September 2023 End of Year Final Actual Case Mix Wash Up paid at new rate</w:t>
            </w:r>
          </w:p>
        </w:tc>
        <w:tc>
          <w:tcPr>
            <w:tcW w:w="1516" w:type="dxa"/>
            <w:tcBorders>
              <w:top w:val="nil"/>
              <w:left w:val="nil"/>
              <w:bottom w:val="single" w:sz="4" w:space="0" w:color="auto"/>
              <w:right w:val="single" w:sz="4" w:space="0" w:color="auto"/>
            </w:tcBorders>
            <w:shd w:val="clear" w:color="auto" w:fill="auto"/>
            <w:hideMark/>
          </w:tcPr>
          <w:p w14:paraId="4D11A4FB"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Rest of months would be BAU wash up</w:t>
            </w:r>
          </w:p>
        </w:tc>
        <w:tc>
          <w:tcPr>
            <w:tcW w:w="1516" w:type="dxa"/>
            <w:tcBorders>
              <w:top w:val="nil"/>
              <w:left w:val="nil"/>
              <w:bottom w:val="single" w:sz="4" w:space="0" w:color="auto"/>
              <w:right w:val="single" w:sz="4" w:space="0" w:color="auto"/>
            </w:tcBorders>
            <w:shd w:val="clear" w:color="auto" w:fill="auto"/>
            <w:noWrap/>
            <w:hideMark/>
          </w:tcPr>
          <w:p w14:paraId="38F302A2" w14:textId="77777777" w:rsidR="00A91B57" w:rsidRPr="00341962" w:rsidRDefault="00A91B57" w:rsidP="00903DE4">
            <w:pPr>
              <w:spacing w:before="40" w:after="40" w:line="240" w:lineRule="auto"/>
              <w:rPr>
                <w:rFonts w:eastAsia="Times New Roman"/>
                <w:color w:val="000000"/>
                <w:sz w:val="16"/>
                <w:szCs w:val="16"/>
                <w:lang w:eastAsia="en-NZ"/>
              </w:rPr>
            </w:pPr>
            <w:r w:rsidRPr="00341962">
              <w:rPr>
                <w:rFonts w:eastAsia="Times New Roman"/>
                <w:color w:val="000000"/>
                <w:sz w:val="16"/>
                <w:szCs w:val="16"/>
                <w:lang w:eastAsia="en-NZ"/>
              </w:rPr>
              <w:t> </w:t>
            </w:r>
          </w:p>
        </w:tc>
      </w:tr>
    </w:tbl>
    <w:p w14:paraId="1183C545" w14:textId="77777777" w:rsidR="00341962" w:rsidRDefault="00341962" w:rsidP="00090B09">
      <w:pPr>
        <w:keepNext/>
        <w:spacing w:after="0" w:line="240" w:lineRule="auto"/>
        <w:rPr>
          <w:b/>
          <w:bCs/>
          <w:color w:val="00A1AC"/>
          <w:sz w:val="22"/>
          <w:szCs w:val="22"/>
        </w:rPr>
      </w:pPr>
    </w:p>
    <w:p w14:paraId="6463F854" w14:textId="77777777" w:rsidR="00341962" w:rsidRDefault="00341962">
      <w:pPr>
        <w:rPr>
          <w:b/>
          <w:bCs/>
          <w:color w:val="00A1AC"/>
          <w:sz w:val="22"/>
          <w:szCs w:val="22"/>
        </w:rPr>
      </w:pPr>
      <w:r>
        <w:rPr>
          <w:b/>
          <w:bCs/>
          <w:color w:val="00A1AC"/>
          <w:sz w:val="22"/>
          <w:szCs w:val="22"/>
        </w:rPr>
        <w:br w:type="page"/>
      </w:r>
    </w:p>
    <w:p w14:paraId="30BB1551" w14:textId="2D0380D4" w:rsidR="00EE4825" w:rsidRPr="00341962" w:rsidRDefault="00EE4825" w:rsidP="00090B09">
      <w:pPr>
        <w:keepNext/>
        <w:spacing w:after="0" w:line="240" w:lineRule="auto"/>
        <w:rPr>
          <w:b/>
          <w:bCs/>
          <w:color w:val="00A1AC"/>
          <w:sz w:val="22"/>
          <w:szCs w:val="22"/>
        </w:rPr>
      </w:pPr>
      <w:r w:rsidRPr="00341962">
        <w:rPr>
          <w:b/>
          <w:bCs/>
          <w:color w:val="00A1AC"/>
          <w:sz w:val="22"/>
          <w:szCs w:val="22"/>
        </w:rPr>
        <w:lastRenderedPageBreak/>
        <w:t xml:space="preserve">1 December Start Date of Agreement </w:t>
      </w:r>
      <w:r w:rsidR="00A62F67">
        <w:rPr>
          <w:b/>
          <w:bCs/>
          <w:color w:val="00A1AC"/>
          <w:sz w:val="22"/>
          <w:szCs w:val="22"/>
        </w:rPr>
        <w:t>–</w:t>
      </w:r>
      <w:r w:rsidRPr="00341962">
        <w:rPr>
          <w:b/>
          <w:bCs/>
          <w:color w:val="00A1AC"/>
          <w:sz w:val="22"/>
          <w:szCs w:val="22"/>
        </w:rPr>
        <w:t xml:space="preserve"> </w:t>
      </w:r>
      <w:r w:rsidR="00A62F67">
        <w:rPr>
          <w:b/>
          <w:bCs/>
          <w:color w:val="00A1AC"/>
          <w:sz w:val="22"/>
          <w:szCs w:val="22"/>
        </w:rPr>
        <w:t xml:space="preserve">Contract </w:t>
      </w:r>
      <w:r w:rsidRPr="00341962">
        <w:rPr>
          <w:b/>
          <w:bCs/>
          <w:color w:val="00A1AC"/>
          <w:sz w:val="22"/>
          <w:szCs w:val="22"/>
        </w:rPr>
        <w:t>Year remain</w:t>
      </w:r>
      <w:r w:rsidR="00A62F67">
        <w:rPr>
          <w:b/>
          <w:bCs/>
          <w:color w:val="00A1AC"/>
          <w:sz w:val="22"/>
          <w:szCs w:val="22"/>
        </w:rPr>
        <w:t>ing</w:t>
      </w:r>
      <w:r w:rsidRPr="00341962">
        <w:rPr>
          <w:b/>
          <w:bCs/>
          <w:color w:val="00A1AC"/>
          <w:sz w:val="22"/>
          <w:szCs w:val="22"/>
        </w:rPr>
        <w:t xml:space="preserve"> a</w:t>
      </w:r>
      <w:r w:rsidR="00972F72">
        <w:rPr>
          <w:b/>
          <w:bCs/>
          <w:color w:val="00A1AC"/>
          <w:sz w:val="22"/>
          <w:szCs w:val="22"/>
        </w:rPr>
        <w:t>s</w:t>
      </w:r>
      <w:r w:rsidRPr="00341962">
        <w:rPr>
          <w:b/>
          <w:bCs/>
          <w:color w:val="00A1AC"/>
          <w:sz w:val="22"/>
          <w:szCs w:val="22"/>
        </w:rPr>
        <w:t xml:space="preserve"> </w:t>
      </w:r>
      <w:r w:rsidR="00341962">
        <w:rPr>
          <w:b/>
          <w:bCs/>
          <w:color w:val="00A1AC"/>
          <w:sz w:val="22"/>
          <w:szCs w:val="22"/>
        </w:rPr>
        <w:t xml:space="preserve">1 </w:t>
      </w:r>
      <w:r w:rsidRPr="00341962">
        <w:rPr>
          <w:b/>
          <w:bCs/>
          <w:color w:val="00A1AC"/>
          <w:sz w:val="22"/>
          <w:szCs w:val="22"/>
        </w:rPr>
        <w:t xml:space="preserve">October to </w:t>
      </w:r>
      <w:r w:rsidR="00341962">
        <w:rPr>
          <w:b/>
          <w:bCs/>
          <w:color w:val="00A1AC"/>
          <w:sz w:val="22"/>
          <w:szCs w:val="22"/>
        </w:rPr>
        <w:t xml:space="preserve">30 </w:t>
      </w:r>
      <w:r w:rsidRPr="00341962">
        <w:rPr>
          <w:b/>
          <w:bCs/>
          <w:color w:val="00A1AC"/>
          <w:sz w:val="22"/>
          <w:szCs w:val="22"/>
        </w:rPr>
        <w:t>September</w:t>
      </w:r>
    </w:p>
    <w:p w14:paraId="40B6476A" w14:textId="77777777" w:rsidR="00EE4825" w:rsidRPr="00EE4825" w:rsidRDefault="00EE4825" w:rsidP="00EE4825">
      <w:pPr>
        <w:spacing w:after="0" w:line="240" w:lineRule="auto"/>
        <w:rPr>
          <w:sz w:val="10"/>
          <w:szCs w:val="10"/>
          <w:highlight w:val="yellow"/>
        </w:rPr>
      </w:pPr>
    </w:p>
    <w:tbl>
      <w:tblPr>
        <w:tblW w:w="15190" w:type="dxa"/>
        <w:tblInd w:w="-5" w:type="dxa"/>
        <w:tblLayout w:type="fixed"/>
        <w:tblLook w:val="04A0" w:firstRow="1" w:lastRow="0" w:firstColumn="1" w:lastColumn="0" w:noHBand="0" w:noVBand="1"/>
      </w:tblPr>
      <w:tblGrid>
        <w:gridCol w:w="1527"/>
        <w:gridCol w:w="1515"/>
        <w:gridCol w:w="1516"/>
        <w:gridCol w:w="1538"/>
        <w:gridCol w:w="1515"/>
        <w:gridCol w:w="1516"/>
        <w:gridCol w:w="1516"/>
        <w:gridCol w:w="1515"/>
        <w:gridCol w:w="1516"/>
        <w:gridCol w:w="1516"/>
      </w:tblGrid>
      <w:tr w:rsidR="00090B09" w:rsidRPr="00943D58" w14:paraId="6F628411" w14:textId="77777777" w:rsidTr="00D10BA0">
        <w:trPr>
          <w:trHeight w:val="288"/>
          <w:tblHead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0E6A"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73EF1F8"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July/Aug/Sept 2023</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14:paraId="34D57B6E"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Oct/Nov 2023</w:t>
            </w:r>
          </w:p>
        </w:tc>
        <w:tc>
          <w:tcPr>
            <w:tcW w:w="1538" w:type="dxa"/>
            <w:tcBorders>
              <w:top w:val="single" w:sz="4" w:space="0" w:color="auto"/>
              <w:left w:val="nil"/>
              <w:bottom w:val="single" w:sz="4" w:space="0" w:color="auto"/>
              <w:right w:val="single" w:sz="4" w:space="0" w:color="auto"/>
            </w:tcBorders>
            <w:shd w:val="clear" w:color="auto" w:fill="00A1AC"/>
            <w:noWrap/>
            <w:vAlign w:val="center"/>
            <w:hideMark/>
          </w:tcPr>
          <w:p w14:paraId="7CECF79C"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Dec-23</w:t>
            </w:r>
          </w:p>
        </w:tc>
        <w:tc>
          <w:tcPr>
            <w:tcW w:w="1515" w:type="dxa"/>
            <w:tcBorders>
              <w:top w:val="single" w:sz="4" w:space="0" w:color="auto"/>
              <w:left w:val="nil"/>
              <w:bottom w:val="single" w:sz="4" w:space="0" w:color="auto"/>
              <w:right w:val="single" w:sz="4" w:space="0" w:color="auto"/>
            </w:tcBorders>
            <w:shd w:val="clear" w:color="auto" w:fill="00A1AC"/>
            <w:noWrap/>
            <w:vAlign w:val="center"/>
            <w:hideMark/>
          </w:tcPr>
          <w:p w14:paraId="29E414E8"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Jan-24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2E02DE3A"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Feb-24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3F1417A9"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Mar-24</w:t>
            </w:r>
          </w:p>
        </w:tc>
        <w:tc>
          <w:tcPr>
            <w:tcW w:w="1515" w:type="dxa"/>
            <w:tcBorders>
              <w:top w:val="single" w:sz="4" w:space="0" w:color="auto"/>
              <w:left w:val="nil"/>
              <w:bottom w:val="single" w:sz="4" w:space="0" w:color="auto"/>
              <w:right w:val="single" w:sz="4" w:space="0" w:color="auto"/>
            </w:tcBorders>
            <w:shd w:val="clear" w:color="auto" w:fill="00A1AC"/>
            <w:noWrap/>
            <w:vAlign w:val="center"/>
            <w:hideMark/>
          </w:tcPr>
          <w:p w14:paraId="00DC77E7"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Apr-24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24F093AA"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Nov/Dec 2024</w:t>
            </w:r>
          </w:p>
        </w:tc>
        <w:tc>
          <w:tcPr>
            <w:tcW w:w="1516" w:type="dxa"/>
            <w:tcBorders>
              <w:top w:val="single" w:sz="4" w:space="0" w:color="auto"/>
              <w:left w:val="nil"/>
              <w:bottom w:val="single" w:sz="4" w:space="0" w:color="auto"/>
              <w:right w:val="single" w:sz="4" w:space="0" w:color="auto"/>
            </w:tcBorders>
            <w:shd w:val="clear" w:color="auto" w:fill="00A1AC"/>
            <w:noWrap/>
            <w:vAlign w:val="center"/>
            <w:hideMark/>
          </w:tcPr>
          <w:p w14:paraId="3C5DA3D2" w14:textId="77777777" w:rsidR="00090B09" w:rsidRPr="00D10BA0" w:rsidRDefault="00090B09" w:rsidP="00D10BA0">
            <w:pPr>
              <w:spacing w:before="40" w:after="40" w:line="240" w:lineRule="auto"/>
              <w:rPr>
                <w:rFonts w:eastAsia="Times New Roman"/>
                <w:b/>
                <w:bCs/>
                <w:color w:val="000000"/>
                <w:sz w:val="16"/>
                <w:szCs w:val="16"/>
                <w:lang w:eastAsia="en-NZ"/>
              </w:rPr>
            </w:pPr>
            <w:r w:rsidRPr="00D10BA0">
              <w:rPr>
                <w:rFonts w:eastAsia="Times New Roman"/>
                <w:b/>
                <w:bCs/>
                <w:color w:val="000000"/>
                <w:sz w:val="16"/>
                <w:szCs w:val="16"/>
                <w:lang w:eastAsia="en-NZ"/>
              </w:rPr>
              <w:t>April/May 2025</w:t>
            </w:r>
          </w:p>
        </w:tc>
      </w:tr>
      <w:tr w:rsidR="00090B09" w:rsidRPr="00943D58" w14:paraId="72268EB0" w14:textId="77777777" w:rsidTr="003E3EE5">
        <w:trPr>
          <w:trHeight w:val="1728"/>
        </w:trPr>
        <w:tc>
          <w:tcPr>
            <w:tcW w:w="1527" w:type="dxa"/>
            <w:tcBorders>
              <w:top w:val="single" w:sz="4" w:space="0" w:color="auto"/>
              <w:left w:val="single" w:sz="4" w:space="0" w:color="auto"/>
              <w:bottom w:val="single" w:sz="4" w:space="0" w:color="auto"/>
              <w:right w:val="single" w:sz="4" w:space="0" w:color="auto"/>
            </w:tcBorders>
            <w:shd w:val="clear" w:color="auto" w:fill="auto"/>
            <w:noWrap/>
            <w:hideMark/>
          </w:tcPr>
          <w:p w14:paraId="4765354D"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CPAM Invoices</w:t>
            </w:r>
          </w:p>
        </w:tc>
        <w:tc>
          <w:tcPr>
            <w:tcW w:w="1515" w:type="dxa"/>
            <w:tcBorders>
              <w:top w:val="single" w:sz="4" w:space="0" w:color="auto"/>
              <w:left w:val="nil"/>
              <w:bottom w:val="single" w:sz="4" w:space="0" w:color="auto"/>
              <w:right w:val="single" w:sz="4" w:space="0" w:color="auto"/>
            </w:tcBorders>
            <w:shd w:val="clear" w:color="auto" w:fill="auto"/>
            <w:noWrap/>
            <w:hideMark/>
          </w:tcPr>
          <w:p w14:paraId="10BA9860" w14:textId="062FAFB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16" w:type="dxa"/>
            <w:tcBorders>
              <w:top w:val="single" w:sz="4" w:space="0" w:color="auto"/>
              <w:left w:val="nil"/>
              <w:bottom w:val="single" w:sz="4" w:space="0" w:color="auto"/>
              <w:right w:val="single" w:sz="4" w:space="0" w:color="auto"/>
            </w:tcBorders>
            <w:shd w:val="clear" w:color="auto" w:fill="auto"/>
            <w:noWrap/>
            <w:hideMark/>
          </w:tcPr>
          <w:p w14:paraId="617466B3" w14:textId="087D2F69"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38" w:type="dxa"/>
            <w:tcBorders>
              <w:top w:val="single" w:sz="4" w:space="0" w:color="auto"/>
              <w:left w:val="nil"/>
              <w:bottom w:val="single" w:sz="4" w:space="0" w:color="auto"/>
              <w:right w:val="single" w:sz="4" w:space="0" w:color="auto"/>
            </w:tcBorders>
            <w:shd w:val="clear" w:color="auto" w:fill="auto"/>
            <w:hideMark/>
          </w:tcPr>
          <w:p w14:paraId="4994DA56" w14:textId="0AE33C6F"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Invoice </w:t>
            </w:r>
            <w:r w:rsidR="003E3EE5" w:rsidRPr="00D10BA0">
              <w:rPr>
                <w:rFonts w:eastAsia="Times New Roman"/>
                <w:color w:val="000000"/>
                <w:sz w:val="16"/>
                <w:szCs w:val="16"/>
                <w:lang w:eastAsia="en-NZ"/>
              </w:rPr>
              <w:t>s</w:t>
            </w:r>
            <w:r w:rsidRPr="00D10BA0">
              <w:rPr>
                <w:rFonts w:eastAsia="Times New Roman"/>
                <w:color w:val="000000"/>
                <w:sz w:val="16"/>
                <w:szCs w:val="16"/>
                <w:lang w:eastAsia="en-NZ"/>
              </w:rPr>
              <w:t>ubmitted for November services, so charged new rate.</w:t>
            </w:r>
            <w:r w:rsidR="00090B09" w:rsidRPr="00D10BA0">
              <w:rPr>
                <w:rFonts w:eastAsia="Times New Roman"/>
                <w:color w:val="000000"/>
                <w:sz w:val="16"/>
                <w:szCs w:val="16"/>
                <w:lang w:eastAsia="en-NZ"/>
              </w:rPr>
              <w:t xml:space="preserve"> </w:t>
            </w:r>
            <w:r w:rsidRPr="00D10BA0">
              <w:rPr>
                <w:rFonts w:eastAsia="Times New Roman"/>
                <w:color w:val="000000"/>
                <w:sz w:val="16"/>
                <w:szCs w:val="16"/>
                <w:lang w:eastAsia="en-NZ"/>
              </w:rPr>
              <w:t>Invoice to also include wash up of difference from October 2023</w:t>
            </w:r>
            <w:r w:rsidR="003E3EE5" w:rsidRPr="00D10BA0">
              <w:rPr>
                <w:rFonts w:eastAsia="Times New Roman"/>
                <w:color w:val="000000"/>
                <w:sz w:val="16"/>
                <w:szCs w:val="16"/>
                <w:lang w:eastAsia="en-NZ"/>
              </w:rPr>
              <w:t xml:space="preserve"> </w:t>
            </w:r>
            <w:r w:rsidRPr="00D10BA0">
              <w:rPr>
                <w:rFonts w:eastAsia="Times New Roman"/>
                <w:color w:val="000000"/>
                <w:sz w:val="16"/>
                <w:szCs w:val="16"/>
                <w:lang w:eastAsia="en-NZ"/>
              </w:rPr>
              <w:t xml:space="preserve">Paid 20 November 2023 </w:t>
            </w:r>
          </w:p>
        </w:tc>
        <w:tc>
          <w:tcPr>
            <w:tcW w:w="1515" w:type="dxa"/>
            <w:tcBorders>
              <w:top w:val="single" w:sz="4" w:space="0" w:color="auto"/>
              <w:left w:val="nil"/>
              <w:bottom w:val="single" w:sz="4" w:space="0" w:color="auto"/>
              <w:right w:val="single" w:sz="4" w:space="0" w:color="auto"/>
            </w:tcBorders>
            <w:shd w:val="clear" w:color="auto" w:fill="auto"/>
            <w:hideMark/>
          </w:tcPr>
          <w:p w14:paraId="6E88F20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December 2023 Invoice </w:t>
            </w:r>
            <w:r w:rsidRPr="00D10BA0">
              <w:rPr>
                <w:rFonts w:eastAsia="Times New Roman"/>
                <w:color w:val="000000"/>
                <w:sz w:val="16"/>
                <w:szCs w:val="16"/>
                <w:lang w:eastAsia="en-NZ"/>
              </w:rPr>
              <w:br/>
              <w:t>New Rate</w:t>
            </w:r>
          </w:p>
        </w:tc>
        <w:tc>
          <w:tcPr>
            <w:tcW w:w="1516" w:type="dxa"/>
            <w:tcBorders>
              <w:top w:val="single" w:sz="4" w:space="0" w:color="auto"/>
              <w:left w:val="nil"/>
              <w:bottom w:val="single" w:sz="4" w:space="0" w:color="auto"/>
              <w:right w:val="single" w:sz="4" w:space="0" w:color="auto"/>
            </w:tcBorders>
            <w:shd w:val="clear" w:color="auto" w:fill="auto"/>
            <w:hideMark/>
          </w:tcPr>
          <w:p w14:paraId="16B8E543" w14:textId="72C8F7FA"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January Invoice </w:t>
            </w:r>
            <w:r w:rsidRPr="00D10BA0">
              <w:rPr>
                <w:rFonts w:eastAsia="Times New Roman"/>
                <w:color w:val="000000"/>
                <w:sz w:val="16"/>
                <w:szCs w:val="16"/>
                <w:lang w:eastAsia="en-NZ"/>
              </w:rPr>
              <w:br/>
              <w:t>New Rate</w:t>
            </w:r>
          </w:p>
        </w:tc>
        <w:tc>
          <w:tcPr>
            <w:tcW w:w="1516" w:type="dxa"/>
            <w:tcBorders>
              <w:top w:val="single" w:sz="4" w:space="0" w:color="auto"/>
              <w:left w:val="nil"/>
              <w:bottom w:val="single" w:sz="4" w:space="0" w:color="auto"/>
              <w:right w:val="single" w:sz="4" w:space="0" w:color="auto"/>
            </w:tcBorders>
            <w:shd w:val="clear" w:color="auto" w:fill="auto"/>
            <w:hideMark/>
          </w:tcPr>
          <w:p w14:paraId="4E3FE72C"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February Invoice </w:t>
            </w:r>
            <w:r w:rsidRPr="00D10BA0">
              <w:rPr>
                <w:rFonts w:eastAsia="Times New Roman"/>
                <w:color w:val="000000"/>
                <w:sz w:val="16"/>
                <w:szCs w:val="16"/>
                <w:lang w:eastAsia="en-NZ"/>
              </w:rPr>
              <w:br/>
              <w:t>New Rate</w:t>
            </w:r>
          </w:p>
        </w:tc>
        <w:tc>
          <w:tcPr>
            <w:tcW w:w="1515" w:type="dxa"/>
            <w:tcBorders>
              <w:top w:val="single" w:sz="4" w:space="0" w:color="auto"/>
              <w:left w:val="nil"/>
              <w:bottom w:val="single" w:sz="4" w:space="0" w:color="auto"/>
              <w:right w:val="single" w:sz="4" w:space="0" w:color="auto"/>
            </w:tcBorders>
            <w:shd w:val="clear" w:color="auto" w:fill="auto"/>
            <w:hideMark/>
          </w:tcPr>
          <w:p w14:paraId="049466CB"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March Invoice</w:t>
            </w:r>
            <w:r w:rsidRPr="00D10BA0">
              <w:rPr>
                <w:rFonts w:eastAsia="Times New Roman"/>
                <w:color w:val="000000"/>
                <w:sz w:val="16"/>
                <w:szCs w:val="16"/>
                <w:lang w:eastAsia="en-NZ"/>
              </w:rPr>
              <w:br/>
              <w:t>New Rate</w:t>
            </w:r>
          </w:p>
        </w:tc>
        <w:tc>
          <w:tcPr>
            <w:tcW w:w="1516" w:type="dxa"/>
            <w:tcBorders>
              <w:top w:val="single" w:sz="4" w:space="0" w:color="auto"/>
              <w:left w:val="nil"/>
              <w:bottom w:val="single" w:sz="4" w:space="0" w:color="auto"/>
              <w:right w:val="single" w:sz="4" w:space="0" w:color="auto"/>
            </w:tcBorders>
            <w:shd w:val="clear" w:color="auto" w:fill="auto"/>
            <w:noWrap/>
            <w:hideMark/>
          </w:tcPr>
          <w:p w14:paraId="4C382B2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single" w:sz="4" w:space="0" w:color="auto"/>
              <w:left w:val="nil"/>
              <w:bottom w:val="single" w:sz="4" w:space="0" w:color="auto"/>
              <w:right w:val="single" w:sz="4" w:space="0" w:color="auto"/>
            </w:tcBorders>
            <w:shd w:val="clear" w:color="auto" w:fill="auto"/>
            <w:noWrap/>
            <w:hideMark/>
          </w:tcPr>
          <w:p w14:paraId="21DB390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2F919AF2"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hideMark/>
          </w:tcPr>
          <w:p w14:paraId="4C3CE009" w14:textId="3E4D6EA6"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Handling Fee (x </w:t>
            </w:r>
            <w:r w:rsidR="00943D58" w:rsidRPr="00D10BA0">
              <w:rPr>
                <w:rFonts w:eastAsia="Times New Roman"/>
                <w:color w:val="000000"/>
                <w:sz w:val="16"/>
                <w:szCs w:val="16"/>
                <w:lang w:eastAsia="en-NZ"/>
              </w:rPr>
              <w:t>multiplier</w:t>
            </w:r>
            <w:r w:rsidRPr="00D10BA0">
              <w:rPr>
                <w:rFonts w:eastAsia="Times New Roman"/>
                <w:color w:val="000000"/>
                <w:sz w:val="16"/>
                <w:szCs w:val="16"/>
                <w:lang w:eastAsia="en-NZ"/>
              </w:rPr>
              <w:t xml:space="preserve"> where applicable)</w:t>
            </w:r>
          </w:p>
        </w:tc>
        <w:tc>
          <w:tcPr>
            <w:tcW w:w="1515" w:type="dxa"/>
            <w:tcBorders>
              <w:top w:val="nil"/>
              <w:left w:val="nil"/>
              <w:bottom w:val="single" w:sz="4" w:space="0" w:color="auto"/>
              <w:right w:val="single" w:sz="4" w:space="0" w:color="auto"/>
            </w:tcBorders>
            <w:shd w:val="clear" w:color="auto" w:fill="auto"/>
            <w:hideMark/>
          </w:tcPr>
          <w:p w14:paraId="566B9AE6" w14:textId="7D099E1B"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79225D64" w14:textId="47A79881"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38" w:type="dxa"/>
            <w:tcBorders>
              <w:top w:val="nil"/>
              <w:left w:val="nil"/>
              <w:bottom w:val="single" w:sz="4" w:space="0" w:color="auto"/>
              <w:right w:val="single" w:sz="4" w:space="0" w:color="auto"/>
            </w:tcBorders>
            <w:shd w:val="clear" w:color="auto" w:fill="auto"/>
            <w:hideMark/>
          </w:tcPr>
          <w:p w14:paraId="3665BE7D"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Handling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7849904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39320AC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4FD54E1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Handling Fee</w:t>
            </w:r>
          </w:p>
        </w:tc>
        <w:tc>
          <w:tcPr>
            <w:tcW w:w="1515" w:type="dxa"/>
            <w:tcBorders>
              <w:top w:val="nil"/>
              <w:left w:val="nil"/>
              <w:bottom w:val="single" w:sz="4" w:space="0" w:color="auto"/>
              <w:right w:val="single" w:sz="4" w:space="0" w:color="auto"/>
            </w:tcBorders>
            <w:shd w:val="clear" w:color="auto" w:fill="auto"/>
            <w:noWrap/>
            <w:hideMark/>
          </w:tcPr>
          <w:p w14:paraId="4521863F"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Handling Fee</w:t>
            </w:r>
          </w:p>
        </w:tc>
        <w:tc>
          <w:tcPr>
            <w:tcW w:w="1516" w:type="dxa"/>
            <w:tcBorders>
              <w:top w:val="nil"/>
              <w:left w:val="nil"/>
              <w:bottom w:val="single" w:sz="4" w:space="0" w:color="auto"/>
              <w:right w:val="single" w:sz="4" w:space="0" w:color="auto"/>
            </w:tcBorders>
            <w:shd w:val="clear" w:color="auto" w:fill="auto"/>
            <w:noWrap/>
            <w:hideMark/>
          </w:tcPr>
          <w:p w14:paraId="3227FA1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42B186EA"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1517909A"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7FF20AE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Pack Fee</w:t>
            </w:r>
          </w:p>
        </w:tc>
        <w:tc>
          <w:tcPr>
            <w:tcW w:w="1515" w:type="dxa"/>
            <w:tcBorders>
              <w:top w:val="nil"/>
              <w:left w:val="nil"/>
              <w:bottom w:val="single" w:sz="4" w:space="0" w:color="auto"/>
              <w:right w:val="single" w:sz="4" w:space="0" w:color="auto"/>
            </w:tcBorders>
            <w:shd w:val="clear" w:color="auto" w:fill="auto"/>
            <w:hideMark/>
          </w:tcPr>
          <w:p w14:paraId="03985932" w14:textId="153BD6F0"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06A28598" w14:textId="00A27705"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38" w:type="dxa"/>
            <w:tcBorders>
              <w:top w:val="nil"/>
              <w:left w:val="nil"/>
              <w:bottom w:val="single" w:sz="4" w:space="0" w:color="auto"/>
              <w:right w:val="single" w:sz="4" w:space="0" w:color="auto"/>
            </w:tcBorders>
            <w:shd w:val="clear" w:color="auto" w:fill="auto"/>
            <w:hideMark/>
          </w:tcPr>
          <w:p w14:paraId="23EBD51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Pack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29598D2C"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6B8999F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18E46F6D"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Pack Fee</w:t>
            </w:r>
          </w:p>
        </w:tc>
        <w:tc>
          <w:tcPr>
            <w:tcW w:w="1515" w:type="dxa"/>
            <w:tcBorders>
              <w:top w:val="nil"/>
              <w:left w:val="nil"/>
              <w:bottom w:val="single" w:sz="4" w:space="0" w:color="auto"/>
              <w:right w:val="single" w:sz="4" w:space="0" w:color="auto"/>
            </w:tcBorders>
            <w:shd w:val="clear" w:color="auto" w:fill="auto"/>
            <w:noWrap/>
            <w:hideMark/>
          </w:tcPr>
          <w:p w14:paraId="0E93623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Pack Fee</w:t>
            </w:r>
          </w:p>
        </w:tc>
        <w:tc>
          <w:tcPr>
            <w:tcW w:w="1516" w:type="dxa"/>
            <w:tcBorders>
              <w:top w:val="nil"/>
              <w:left w:val="nil"/>
              <w:bottom w:val="single" w:sz="4" w:space="0" w:color="auto"/>
              <w:right w:val="single" w:sz="4" w:space="0" w:color="auto"/>
            </w:tcBorders>
            <w:shd w:val="clear" w:color="auto" w:fill="auto"/>
            <w:noWrap/>
            <w:hideMark/>
          </w:tcPr>
          <w:p w14:paraId="472BCBF8"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763CC9D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170EE27B"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44131B9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Immunisation Fee</w:t>
            </w:r>
          </w:p>
        </w:tc>
        <w:tc>
          <w:tcPr>
            <w:tcW w:w="1515" w:type="dxa"/>
            <w:tcBorders>
              <w:top w:val="nil"/>
              <w:left w:val="nil"/>
              <w:bottom w:val="single" w:sz="4" w:space="0" w:color="auto"/>
              <w:right w:val="single" w:sz="4" w:space="0" w:color="auto"/>
            </w:tcBorders>
            <w:shd w:val="clear" w:color="auto" w:fill="auto"/>
            <w:noWrap/>
            <w:hideMark/>
          </w:tcPr>
          <w:p w14:paraId="2C1754AA" w14:textId="51ECD451"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noWrap/>
            <w:hideMark/>
          </w:tcPr>
          <w:p w14:paraId="1617D68D" w14:textId="72CD7FBF"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38" w:type="dxa"/>
            <w:tcBorders>
              <w:top w:val="nil"/>
              <w:left w:val="nil"/>
              <w:bottom w:val="single" w:sz="4" w:space="0" w:color="auto"/>
              <w:right w:val="single" w:sz="4" w:space="0" w:color="auto"/>
            </w:tcBorders>
            <w:shd w:val="clear" w:color="auto" w:fill="auto"/>
            <w:hideMark/>
          </w:tcPr>
          <w:p w14:paraId="2B8E9C1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Admin Fee will be paid on all items with dispensing date of 1 December or later</w:t>
            </w:r>
          </w:p>
        </w:tc>
        <w:tc>
          <w:tcPr>
            <w:tcW w:w="1515" w:type="dxa"/>
            <w:tcBorders>
              <w:top w:val="nil"/>
              <w:left w:val="nil"/>
              <w:bottom w:val="single" w:sz="4" w:space="0" w:color="auto"/>
              <w:right w:val="single" w:sz="4" w:space="0" w:color="auto"/>
            </w:tcBorders>
            <w:shd w:val="clear" w:color="auto" w:fill="auto"/>
            <w:noWrap/>
            <w:hideMark/>
          </w:tcPr>
          <w:p w14:paraId="1905FE8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160296C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7C5E1A7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Admin Fee</w:t>
            </w:r>
          </w:p>
        </w:tc>
        <w:tc>
          <w:tcPr>
            <w:tcW w:w="1515" w:type="dxa"/>
            <w:tcBorders>
              <w:top w:val="nil"/>
              <w:left w:val="nil"/>
              <w:bottom w:val="single" w:sz="4" w:space="0" w:color="auto"/>
              <w:right w:val="single" w:sz="4" w:space="0" w:color="auto"/>
            </w:tcBorders>
            <w:shd w:val="clear" w:color="auto" w:fill="auto"/>
            <w:noWrap/>
            <w:hideMark/>
          </w:tcPr>
          <w:p w14:paraId="412940F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66ADE40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38119F0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44DCD7A4" w14:textId="77777777" w:rsidTr="003E3EE5">
        <w:trPr>
          <w:trHeight w:val="409"/>
        </w:trPr>
        <w:tc>
          <w:tcPr>
            <w:tcW w:w="1527" w:type="dxa"/>
            <w:tcBorders>
              <w:top w:val="nil"/>
              <w:left w:val="single" w:sz="4" w:space="0" w:color="auto"/>
              <w:bottom w:val="single" w:sz="4" w:space="0" w:color="auto"/>
              <w:right w:val="single" w:sz="4" w:space="0" w:color="auto"/>
            </w:tcBorders>
            <w:shd w:val="clear" w:color="auto" w:fill="auto"/>
            <w:hideMark/>
          </w:tcPr>
          <w:p w14:paraId="311343BA"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Immunisation co-administration (influenza + shingles) Fee</w:t>
            </w:r>
          </w:p>
        </w:tc>
        <w:tc>
          <w:tcPr>
            <w:tcW w:w="1515" w:type="dxa"/>
            <w:tcBorders>
              <w:top w:val="nil"/>
              <w:left w:val="nil"/>
              <w:bottom w:val="single" w:sz="4" w:space="0" w:color="auto"/>
              <w:right w:val="single" w:sz="4" w:space="0" w:color="auto"/>
            </w:tcBorders>
            <w:shd w:val="clear" w:color="auto" w:fill="auto"/>
            <w:hideMark/>
          </w:tcPr>
          <w:p w14:paraId="4B1A1581"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w:t>
            </w:r>
          </w:p>
        </w:tc>
        <w:tc>
          <w:tcPr>
            <w:tcW w:w="1516" w:type="dxa"/>
            <w:tcBorders>
              <w:top w:val="nil"/>
              <w:left w:val="nil"/>
              <w:bottom w:val="single" w:sz="4" w:space="0" w:color="auto"/>
              <w:right w:val="single" w:sz="4" w:space="0" w:color="auto"/>
            </w:tcBorders>
            <w:shd w:val="clear" w:color="auto" w:fill="auto"/>
            <w:hideMark/>
          </w:tcPr>
          <w:p w14:paraId="42B7D506"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w:t>
            </w:r>
          </w:p>
        </w:tc>
        <w:tc>
          <w:tcPr>
            <w:tcW w:w="1538" w:type="dxa"/>
            <w:tcBorders>
              <w:top w:val="nil"/>
              <w:left w:val="nil"/>
              <w:bottom w:val="single" w:sz="4" w:space="0" w:color="auto"/>
              <w:right w:val="single" w:sz="4" w:space="0" w:color="auto"/>
            </w:tcBorders>
            <w:shd w:val="clear" w:color="auto" w:fill="auto"/>
            <w:hideMark/>
          </w:tcPr>
          <w:p w14:paraId="217414E2" w14:textId="14CF95AF"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 xml:space="preserve">New service line </w:t>
            </w:r>
            <w:r w:rsidR="003E3EE5" w:rsidRPr="00D10BA0">
              <w:rPr>
                <w:rFonts w:eastAsia="Times New Roman"/>
                <w:sz w:val="16"/>
                <w:szCs w:val="16"/>
                <w:lang w:eastAsia="en-NZ"/>
              </w:rPr>
              <w:t xml:space="preserve">commences </w:t>
            </w:r>
            <w:r w:rsidRPr="00D10BA0">
              <w:rPr>
                <w:rFonts w:eastAsia="Times New Roman"/>
                <w:sz w:val="16"/>
                <w:szCs w:val="16"/>
                <w:lang w:eastAsia="en-NZ"/>
              </w:rPr>
              <w:t>1 December 2023: back dated to 1 August 2023 (when shingles vaccines was first funded through the ICPSA</w:t>
            </w:r>
          </w:p>
        </w:tc>
        <w:tc>
          <w:tcPr>
            <w:tcW w:w="1515" w:type="dxa"/>
            <w:tcBorders>
              <w:top w:val="nil"/>
              <w:left w:val="nil"/>
              <w:bottom w:val="single" w:sz="4" w:space="0" w:color="auto"/>
              <w:right w:val="single" w:sz="4" w:space="0" w:color="auto"/>
            </w:tcBorders>
            <w:shd w:val="clear" w:color="auto" w:fill="auto"/>
            <w:noWrap/>
            <w:hideMark/>
          </w:tcPr>
          <w:p w14:paraId="7D51E370"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498F2883"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141207ED"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New Admin Fee</w:t>
            </w:r>
          </w:p>
        </w:tc>
        <w:tc>
          <w:tcPr>
            <w:tcW w:w="1515" w:type="dxa"/>
            <w:tcBorders>
              <w:top w:val="nil"/>
              <w:left w:val="nil"/>
              <w:bottom w:val="single" w:sz="4" w:space="0" w:color="auto"/>
              <w:right w:val="single" w:sz="4" w:space="0" w:color="auto"/>
            </w:tcBorders>
            <w:shd w:val="clear" w:color="auto" w:fill="auto"/>
            <w:noWrap/>
            <w:hideMark/>
          </w:tcPr>
          <w:p w14:paraId="12C6DCE0"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New Admin Fee</w:t>
            </w:r>
          </w:p>
        </w:tc>
        <w:tc>
          <w:tcPr>
            <w:tcW w:w="1516" w:type="dxa"/>
            <w:tcBorders>
              <w:top w:val="nil"/>
              <w:left w:val="nil"/>
              <w:bottom w:val="single" w:sz="4" w:space="0" w:color="auto"/>
              <w:right w:val="single" w:sz="4" w:space="0" w:color="auto"/>
            </w:tcBorders>
            <w:shd w:val="clear" w:color="auto" w:fill="auto"/>
            <w:noWrap/>
            <w:hideMark/>
          </w:tcPr>
          <w:p w14:paraId="721445A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0EC208EB"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436778" w:rsidRPr="00943D58" w14:paraId="159F2F28" w14:textId="77777777" w:rsidTr="003E3EE5">
        <w:trPr>
          <w:trHeight w:val="1152"/>
        </w:trPr>
        <w:tc>
          <w:tcPr>
            <w:tcW w:w="1527" w:type="dxa"/>
            <w:tcBorders>
              <w:top w:val="nil"/>
              <w:left w:val="single" w:sz="4" w:space="0" w:color="auto"/>
              <w:bottom w:val="single" w:sz="4" w:space="0" w:color="auto"/>
              <w:right w:val="single" w:sz="4" w:space="0" w:color="auto"/>
            </w:tcBorders>
            <w:shd w:val="clear" w:color="auto" w:fill="auto"/>
            <w:hideMark/>
          </w:tcPr>
          <w:p w14:paraId="6749983A"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APAS</w:t>
            </w:r>
          </w:p>
        </w:tc>
        <w:tc>
          <w:tcPr>
            <w:tcW w:w="1515" w:type="dxa"/>
            <w:tcBorders>
              <w:top w:val="nil"/>
              <w:left w:val="nil"/>
              <w:bottom w:val="single" w:sz="4" w:space="0" w:color="auto"/>
              <w:right w:val="single" w:sz="4" w:space="0" w:color="auto"/>
            </w:tcBorders>
            <w:shd w:val="clear" w:color="auto" w:fill="auto"/>
            <w:hideMark/>
          </w:tcPr>
          <w:p w14:paraId="0D61C742"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 xml:space="preserve">Payments are calculated using the January/February/March 2023 prescriptions &amp; </w:t>
            </w:r>
            <w:r w:rsidRPr="00D10BA0">
              <w:rPr>
                <w:rFonts w:eastAsia="Times New Roman"/>
                <w:sz w:val="16"/>
                <w:szCs w:val="16"/>
                <w:lang w:eastAsia="en-NZ"/>
              </w:rPr>
              <w:lastRenderedPageBreak/>
              <w:t>visits, using the variation 4 $ pool</w:t>
            </w:r>
          </w:p>
        </w:tc>
        <w:tc>
          <w:tcPr>
            <w:tcW w:w="1516" w:type="dxa"/>
            <w:tcBorders>
              <w:top w:val="nil"/>
              <w:left w:val="nil"/>
              <w:bottom w:val="single" w:sz="4" w:space="0" w:color="auto"/>
              <w:right w:val="single" w:sz="4" w:space="0" w:color="auto"/>
            </w:tcBorders>
            <w:shd w:val="clear" w:color="auto" w:fill="auto"/>
            <w:hideMark/>
          </w:tcPr>
          <w:p w14:paraId="7B25EED0"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xml:space="preserve">Payments are calculated using the April/May/June 2023 prescriptions &amp; </w:t>
            </w:r>
            <w:r w:rsidRPr="00D10BA0">
              <w:rPr>
                <w:rFonts w:eastAsia="Times New Roman"/>
                <w:sz w:val="16"/>
                <w:szCs w:val="16"/>
                <w:lang w:eastAsia="en-NZ"/>
              </w:rPr>
              <w:lastRenderedPageBreak/>
              <w:t>visits, using the variation 4 $ pool</w:t>
            </w:r>
          </w:p>
        </w:tc>
        <w:tc>
          <w:tcPr>
            <w:tcW w:w="1538" w:type="dxa"/>
            <w:tcBorders>
              <w:top w:val="nil"/>
              <w:left w:val="nil"/>
              <w:bottom w:val="single" w:sz="4" w:space="0" w:color="auto"/>
              <w:right w:val="single" w:sz="4" w:space="0" w:color="auto"/>
            </w:tcBorders>
            <w:shd w:val="clear" w:color="auto" w:fill="auto"/>
            <w:hideMark/>
          </w:tcPr>
          <w:p w14:paraId="79479878"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xml:space="preserve">Payments are calculated using the April/May/June 2023 prescriptions </w:t>
            </w:r>
            <w:r w:rsidRPr="00D10BA0">
              <w:rPr>
                <w:rFonts w:eastAsia="Times New Roman"/>
                <w:sz w:val="16"/>
                <w:szCs w:val="16"/>
                <w:lang w:eastAsia="en-NZ"/>
              </w:rPr>
              <w:lastRenderedPageBreak/>
              <w:t>&amp; visits, using the variation 4 $ pool</w:t>
            </w:r>
          </w:p>
        </w:tc>
        <w:tc>
          <w:tcPr>
            <w:tcW w:w="1515" w:type="dxa"/>
            <w:tcBorders>
              <w:top w:val="nil"/>
              <w:left w:val="nil"/>
              <w:bottom w:val="single" w:sz="4" w:space="0" w:color="auto"/>
              <w:right w:val="single" w:sz="4" w:space="0" w:color="auto"/>
            </w:tcBorders>
            <w:shd w:val="clear" w:color="auto" w:fill="auto"/>
            <w:hideMark/>
          </w:tcPr>
          <w:p w14:paraId="4AB13DFC"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xml:space="preserve">Payments are calculated using the July/August/September 2023 prescriptions &amp; </w:t>
            </w:r>
            <w:r w:rsidRPr="00D10BA0">
              <w:rPr>
                <w:rFonts w:eastAsia="Times New Roman"/>
                <w:sz w:val="16"/>
                <w:szCs w:val="16"/>
                <w:lang w:eastAsia="en-NZ"/>
              </w:rPr>
              <w:lastRenderedPageBreak/>
              <w:t>visits, using the variation 5 $ pool</w:t>
            </w:r>
          </w:p>
        </w:tc>
        <w:tc>
          <w:tcPr>
            <w:tcW w:w="1516" w:type="dxa"/>
            <w:tcBorders>
              <w:top w:val="nil"/>
              <w:left w:val="nil"/>
              <w:bottom w:val="single" w:sz="4" w:space="0" w:color="auto"/>
              <w:right w:val="single" w:sz="4" w:space="0" w:color="auto"/>
            </w:tcBorders>
            <w:shd w:val="clear" w:color="auto" w:fill="auto"/>
            <w:hideMark/>
          </w:tcPr>
          <w:p w14:paraId="0CA3D945"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xml:space="preserve">Payments are calculated using the July/August/September 2023 prescriptions &amp; </w:t>
            </w:r>
            <w:r w:rsidRPr="00D10BA0">
              <w:rPr>
                <w:rFonts w:eastAsia="Times New Roman"/>
                <w:sz w:val="16"/>
                <w:szCs w:val="16"/>
                <w:lang w:eastAsia="en-NZ"/>
              </w:rPr>
              <w:lastRenderedPageBreak/>
              <w:t>visits, using the variation 5 $ pool</w:t>
            </w:r>
          </w:p>
        </w:tc>
        <w:tc>
          <w:tcPr>
            <w:tcW w:w="1516" w:type="dxa"/>
            <w:tcBorders>
              <w:top w:val="nil"/>
              <w:left w:val="nil"/>
              <w:bottom w:val="single" w:sz="4" w:space="0" w:color="auto"/>
              <w:right w:val="single" w:sz="4" w:space="0" w:color="auto"/>
            </w:tcBorders>
            <w:shd w:val="clear" w:color="auto" w:fill="auto"/>
            <w:hideMark/>
          </w:tcPr>
          <w:p w14:paraId="04D2F50D"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xml:space="preserve">Payments are calculated using the July/August/September 2023 prescriptions &amp; </w:t>
            </w:r>
            <w:r w:rsidRPr="00D10BA0">
              <w:rPr>
                <w:rFonts w:eastAsia="Times New Roman"/>
                <w:sz w:val="16"/>
                <w:szCs w:val="16"/>
                <w:lang w:eastAsia="en-NZ"/>
              </w:rPr>
              <w:lastRenderedPageBreak/>
              <w:t>visits, using the variation 5 $ pool</w:t>
            </w:r>
          </w:p>
        </w:tc>
        <w:tc>
          <w:tcPr>
            <w:tcW w:w="1515" w:type="dxa"/>
            <w:tcBorders>
              <w:top w:val="nil"/>
              <w:left w:val="nil"/>
              <w:bottom w:val="single" w:sz="4" w:space="0" w:color="auto"/>
              <w:right w:val="single" w:sz="4" w:space="0" w:color="auto"/>
            </w:tcBorders>
            <w:shd w:val="clear" w:color="auto" w:fill="auto"/>
            <w:hideMark/>
          </w:tcPr>
          <w:p w14:paraId="2C0FA40E" w14:textId="42651586"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Payments are calculated using the October</w:t>
            </w:r>
            <w:r w:rsidR="003E3EE5" w:rsidRPr="00D10BA0">
              <w:rPr>
                <w:rFonts w:eastAsia="Times New Roman"/>
                <w:sz w:val="16"/>
                <w:szCs w:val="16"/>
                <w:lang w:eastAsia="en-NZ"/>
              </w:rPr>
              <w:t xml:space="preserve">/ </w:t>
            </w:r>
            <w:r w:rsidRPr="00D10BA0">
              <w:rPr>
                <w:rFonts w:eastAsia="Times New Roman"/>
                <w:sz w:val="16"/>
                <w:szCs w:val="16"/>
                <w:lang w:eastAsia="en-NZ"/>
              </w:rPr>
              <w:t>November/</w:t>
            </w:r>
            <w:r w:rsidR="003E3EE5" w:rsidRPr="00D10BA0">
              <w:rPr>
                <w:rFonts w:eastAsia="Times New Roman"/>
                <w:sz w:val="16"/>
                <w:szCs w:val="16"/>
                <w:lang w:eastAsia="en-NZ"/>
              </w:rPr>
              <w:t xml:space="preserve"> </w:t>
            </w:r>
            <w:r w:rsidRPr="00D10BA0">
              <w:rPr>
                <w:rFonts w:eastAsia="Times New Roman"/>
                <w:sz w:val="16"/>
                <w:szCs w:val="16"/>
                <w:lang w:eastAsia="en-NZ"/>
              </w:rPr>
              <w:t xml:space="preserve">December 2023 prescriptions &amp; </w:t>
            </w:r>
            <w:r w:rsidRPr="00D10BA0">
              <w:rPr>
                <w:rFonts w:eastAsia="Times New Roman"/>
                <w:sz w:val="16"/>
                <w:szCs w:val="16"/>
                <w:lang w:eastAsia="en-NZ"/>
              </w:rPr>
              <w:lastRenderedPageBreak/>
              <w:t>visits, using the variation 5 $ pool.</w:t>
            </w:r>
          </w:p>
        </w:tc>
        <w:tc>
          <w:tcPr>
            <w:tcW w:w="1516" w:type="dxa"/>
            <w:tcBorders>
              <w:top w:val="nil"/>
              <w:left w:val="nil"/>
              <w:bottom w:val="single" w:sz="4" w:space="0" w:color="auto"/>
              <w:right w:val="single" w:sz="4" w:space="0" w:color="auto"/>
            </w:tcBorders>
            <w:shd w:val="clear" w:color="auto" w:fill="auto"/>
            <w:hideMark/>
          </w:tcPr>
          <w:p w14:paraId="6F1566A1"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lastRenderedPageBreak/>
              <w:t> </w:t>
            </w:r>
          </w:p>
        </w:tc>
        <w:tc>
          <w:tcPr>
            <w:tcW w:w="1516" w:type="dxa"/>
            <w:tcBorders>
              <w:top w:val="nil"/>
              <w:left w:val="nil"/>
              <w:bottom w:val="single" w:sz="4" w:space="0" w:color="auto"/>
              <w:right w:val="single" w:sz="4" w:space="0" w:color="auto"/>
            </w:tcBorders>
            <w:shd w:val="clear" w:color="auto" w:fill="auto"/>
            <w:hideMark/>
          </w:tcPr>
          <w:p w14:paraId="230F1B83"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 </w:t>
            </w:r>
          </w:p>
        </w:tc>
      </w:tr>
      <w:tr w:rsidR="00090B09" w:rsidRPr="00943D58" w14:paraId="0D74F702" w14:textId="77777777" w:rsidTr="003E3EE5">
        <w:trPr>
          <w:trHeight w:val="1440"/>
        </w:trPr>
        <w:tc>
          <w:tcPr>
            <w:tcW w:w="1527" w:type="dxa"/>
            <w:tcBorders>
              <w:top w:val="nil"/>
              <w:left w:val="single" w:sz="4" w:space="0" w:color="auto"/>
              <w:bottom w:val="single" w:sz="4" w:space="0" w:color="auto"/>
              <w:right w:val="single" w:sz="4" w:space="0" w:color="auto"/>
            </w:tcBorders>
            <w:shd w:val="clear" w:color="auto" w:fill="auto"/>
            <w:noWrap/>
            <w:hideMark/>
          </w:tcPr>
          <w:p w14:paraId="16E0DEB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Case Mix</w:t>
            </w:r>
          </w:p>
        </w:tc>
        <w:tc>
          <w:tcPr>
            <w:tcW w:w="1515" w:type="dxa"/>
            <w:tcBorders>
              <w:top w:val="nil"/>
              <w:left w:val="nil"/>
              <w:bottom w:val="single" w:sz="4" w:space="0" w:color="auto"/>
              <w:right w:val="single" w:sz="4" w:space="0" w:color="auto"/>
            </w:tcBorders>
            <w:shd w:val="clear" w:color="auto" w:fill="auto"/>
            <w:hideMark/>
          </w:tcPr>
          <w:p w14:paraId="4BCCA30A" w14:textId="0A813AEE"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Actuals for April, May and June - 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16" w:type="dxa"/>
            <w:tcBorders>
              <w:top w:val="nil"/>
              <w:left w:val="nil"/>
              <w:bottom w:val="single" w:sz="4" w:space="0" w:color="auto"/>
              <w:right w:val="single" w:sz="4" w:space="0" w:color="auto"/>
            </w:tcBorders>
            <w:shd w:val="clear" w:color="auto" w:fill="auto"/>
            <w:hideMark/>
          </w:tcPr>
          <w:p w14:paraId="049795F2" w14:textId="6B972943"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July and August actual paid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 Actual July (paid October 2023) and August Actual (paid November 2023) at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rate</w:t>
            </w:r>
          </w:p>
        </w:tc>
        <w:tc>
          <w:tcPr>
            <w:tcW w:w="1538" w:type="dxa"/>
            <w:tcBorders>
              <w:top w:val="nil"/>
              <w:left w:val="nil"/>
              <w:bottom w:val="single" w:sz="4" w:space="0" w:color="auto"/>
              <w:right w:val="single" w:sz="4" w:space="0" w:color="auto"/>
            </w:tcBorders>
            <w:shd w:val="clear" w:color="auto" w:fill="auto"/>
            <w:hideMark/>
          </w:tcPr>
          <w:p w14:paraId="46601A30" w14:textId="317E4012"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Actual September 2023 Case Mix paid at </w:t>
            </w:r>
            <w:r w:rsidR="00904680" w:rsidRPr="00D10BA0">
              <w:rPr>
                <w:rFonts w:eastAsia="Times New Roman"/>
                <w:color w:val="000000"/>
                <w:sz w:val="16"/>
                <w:szCs w:val="16"/>
                <w:lang w:eastAsia="en-NZ"/>
              </w:rPr>
              <w:t>c</w:t>
            </w:r>
            <w:r w:rsidR="003173A2" w:rsidRPr="00D10BA0">
              <w:rPr>
                <w:rFonts w:eastAsia="Times New Roman"/>
                <w:color w:val="000000"/>
                <w:sz w:val="16"/>
                <w:szCs w:val="16"/>
                <w:lang w:eastAsia="en-NZ"/>
              </w:rPr>
              <w:t>urrent</w:t>
            </w:r>
            <w:r w:rsidRPr="00D10BA0">
              <w:rPr>
                <w:rFonts w:eastAsia="Times New Roman"/>
                <w:color w:val="000000"/>
                <w:sz w:val="16"/>
                <w:szCs w:val="16"/>
                <w:lang w:eastAsia="en-NZ"/>
              </w:rPr>
              <w:t xml:space="preserve"> </w:t>
            </w:r>
            <w:r w:rsidR="00904680" w:rsidRPr="00D10BA0">
              <w:rPr>
                <w:rFonts w:eastAsia="Times New Roman"/>
                <w:color w:val="000000"/>
                <w:sz w:val="16"/>
                <w:szCs w:val="16"/>
                <w:lang w:eastAsia="en-NZ"/>
              </w:rPr>
              <w:t>r</w:t>
            </w:r>
            <w:r w:rsidRPr="00D10BA0">
              <w:rPr>
                <w:rFonts w:eastAsia="Times New Roman"/>
                <w:color w:val="000000"/>
                <w:sz w:val="16"/>
                <w:szCs w:val="16"/>
                <w:lang w:eastAsia="en-NZ"/>
              </w:rPr>
              <w:t>ate</w:t>
            </w:r>
            <w:r w:rsidRPr="00D10BA0">
              <w:rPr>
                <w:rFonts w:eastAsia="Times New Roman"/>
                <w:color w:val="000000"/>
                <w:sz w:val="16"/>
                <w:szCs w:val="16"/>
                <w:lang w:eastAsia="en-NZ"/>
              </w:rPr>
              <w:br/>
              <w:t>Case Mix Advance based on September 2023 Actual</w:t>
            </w:r>
          </w:p>
        </w:tc>
        <w:tc>
          <w:tcPr>
            <w:tcW w:w="1515" w:type="dxa"/>
            <w:tcBorders>
              <w:top w:val="nil"/>
              <w:left w:val="nil"/>
              <w:bottom w:val="single" w:sz="4" w:space="0" w:color="auto"/>
              <w:right w:val="single" w:sz="4" w:space="0" w:color="auto"/>
            </w:tcBorders>
            <w:shd w:val="clear" w:color="auto" w:fill="auto"/>
            <w:hideMark/>
          </w:tcPr>
          <w:p w14:paraId="6FD982E5"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Actual October 2023 Case Mix paid at New Rate</w:t>
            </w:r>
            <w:r w:rsidRPr="00D10BA0">
              <w:rPr>
                <w:rFonts w:eastAsia="Times New Roman"/>
                <w:color w:val="000000"/>
                <w:sz w:val="16"/>
                <w:szCs w:val="16"/>
                <w:lang w:eastAsia="en-NZ"/>
              </w:rPr>
              <w:br/>
              <w:t>Case Mix Advance based on October 2023 Actual</w:t>
            </w:r>
          </w:p>
        </w:tc>
        <w:tc>
          <w:tcPr>
            <w:tcW w:w="1516" w:type="dxa"/>
            <w:tcBorders>
              <w:top w:val="nil"/>
              <w:left w:val="nil"/>
              <w:bottom w:val="single" w:sz="4" w:space="0" w:color="auto"/>
              <w:right w:val="single" w:sz="4" w:space="0" w:color="auto"/>
            </w:tcBorders>
            <w:shd w:val="clear" w:color="auto" w:fill="auto"/>
            <w:hideMark/>
          </w:tcPr>
          <w:p w14:paraId="067F74C5"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Actual November 2023 Case Mix paid at New Rate</w:t>
            </w:r>
            <w:r w:rsidRPr="00D10BA0">
              <w:rPr>
                <w:rFonts w:eastAsia="Times New Roman"/>
                <w:color w:val="000000"/>
                <w:sz w:val="16"/>
                <w:szCs w:val="16"/>
                <w:lang w:eastAsia="en-NZ"/>
              </w:rPr>
              <w:br/>
              <w:t>Case Mix Advance based on November 2023 Actual</w:t>
            </w:r>
          </w:p>
        </w:tc>
        <w:tc>
          <w:tcPr>
            <w:tcW w:w="1516" w:type="dxa"/>
            <w:tcBorders>
              <w:top w:val="nil"/>
              <w:left w:val="nil"/>
              <w:bottom w:val="single" w:sz="4" w:space="0" w:color="auto"/>
              <w:right w:val="single" w:sz="4" w:space="0" w:color="auto"/>
            </w:tcBorders>
            <w:shd w:val="clear" w:color="auto" w:fill="auto"/>
            <w:hideMark/>
          </w:tcPr>
          <w:p w14:paraId="62AF5A7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Actual December 2023 Case Mix paid at New Rate</w:t>
            </w:r>
            <w:r w:rsidRPr="00D10BA0">
              <w:rPr>
                <w:rFonts w:eastAsia="Times New Roman"/>
                <w:color w:val="000000"/>
                <w:sz w:val="16"/>
                <w:szCs w:val="16"/>
                <w:lang w:eastAsia="en-NZ"/>
              </w:rPr>
              <w:br/>
              <w:t>Case Mix Advance based on December 2023 Actual</w:t>
            </w:r>
          </w:p>
        </w:tc>
        <w:tc>
          <w:tcPr>
            <w:tcW w:w="1515" w:type="dxa"/>
            <w:tcBorders>
              <w:top w:val="nil"/>
              <w:left w:val="nil"/>
              <w:bottom w:val="single" w:sz="4" w:space="0" w:color="auto"/>
              <w:right w:val="single" w:sz="4" w:space="0" w:color="auto"/>
            </w:tcBorders>
            <w:shd w:val="clear" w:color="auto" w:fill="auto"/>
            <w:hideMark/>
          </w:tcPr>
          <w:p w14:paraId="7C2F851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Actual January 2024 Case Mix paid at New Rate</w:t>
            </w:r>
            <w:r w:rsidRPr="00D10BA0">
              <w:rPr>
                <w:rFonts w:eastAsia="Times New Roman"/>
                <w:color w:val="000000"/>
                <w:sz w:val="16"/>
                <w:szCs w:val="16"/>
                <w:lang w:eastAsia="en-NZ"/>
              </w:rPr>
              <w:br/>
              <w:t>Case Mix Advance based on January 2024 Actual</w:t>
            </w:r>
          </w:p>
        </w:tc>
        <w:tc>
          <w:tcPr>
            <w:tcW w:w="1516" w:type="dxa"/>
            <w:tcBorders>
              <w:top w:val="nil"/>
              <w:left w:val="nil"/>
              <w:bottom w:val="single" w:sz="4" w:space="0" w:color="auto"/>
              <w:right w:val="single" w:sz="4" w:space="0" w:color="auto"/>
            </w:tcBorders>
            <w:shd w:val="clear" w:color="auto" w:fill="auto"/>
            <w:noWrap/>
            <w:hideMark/>
          </w:tcPr>
          <w:p w14:paraId="4610A93A"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0838FE0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7DC86F24"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noWrap/>
            <w:hideMark/>
          </w:tcPr>
          <w:p w14:paraId="1DE2FD63" w14:textId="77777777"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Wash Up of Handling/Pack Fees</w:t>
            </w:r>
          </w:p>
        </w:tc>
        <w:tc>
          <w:tcPr>
            <w:tcW w:w="1515" w:type="dxa"/>
            <w:tcBorders>
              <w:top w:val="nil"/>
              <w:left w:val="nil"/>
              <w:bottom w:val="single" w:sz="4" w:space="0" w:color="auto"/>
              <w:right w:val="single" w:sz="4" w:space="0" w:color="auto"/>
            </w:tcBorders>
            <w:shd w:val="clear" w:color="auto" w:fill="auto"/>
            <w:noWrap/>
            <w:hideMark/>
          </w:tcPr>
          <w:p w14:paraId="281F9390"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5E6CB18F"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38" w:type="dxa"/>
            <w:tcBorders>
              <w:top w:val="nil"/>
              <w:left w:val="nil"/>
              <w:bottom w:val="single" w:sz="4" w:space="0" w:color="auto"/>
              <w:right w:val="single" w:sz="4" w:space="0" w:color="auto"/>
            </w:tcBorders>
            <w:shd w:val="clear" w:color="auto" w:fill="auto"/>
            <w:noWrap/>
            <w:hideMark/>
          </w:tcPr>
          <w:p w14:paraId="0AE4A84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0118396F"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9600D0D"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14E16845"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2669D50E" w14:textId="5E36EA1A"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EOM - Difference paid from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to new fees from 1 October 2023 to 30 November 2023</w:t>
            </w:r>
          </w:p>
        </w:tc>
        <w:tc>
          <w:tcPr>
            <w:tcW w:w="1516" w:type="dxa"/>
            <w:tcBorders>
              <w:top w:val="nil"/>
              <w:left w:val="nil"/>
              <w:bottom w:val="single" w:sz="4" w:space="0" w:color="auto"/>
              <w:right w:val="single" w:sz="4" w:space="0" w:color="auto"/>
            </w:tcBorders>
            <w:shd w:val="clear" w:color="auto" w:fill="auto"/>
            <w:noWrap/>
            <w:hideMark/>
          </w:tcPr>
          <w:p w14:paraId="451F3BD6"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5A47565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090B09" w:rsidRPr="00943D58" w14:paraId="04717150" w14:textId="77777777" w:rsidTr="003E3EE5">
        <w:trPr>
          <w:trHeight w:val="864"/>
        </w:trPr>
        <w:tc>
          <w:tcPr>
            <w:tcW w:w="1527" w:type="dxa"/>
            <w:tcBorders>
              <w:top w:val="nil"/>
              <w:left w:val="single" w:sz="4" w:space="0" w:color="auto"/>
              <w:bottom w:val="single" w:sz="4" w:space="0" w:color="auto"/>
              <w:right w:val="single" w:sz="4" w:space="0" w:color="auto"/>
            </w:tcBorders>
            <w:shd w:val="clear" w:color="auto" w:fill="auto"/>
            <w:hideMark/>
          </w:tcPr>
          <w:p w14:paraId="0D5CBDFA" w14:textId="69AF6C1C"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Wash Up </w:t>
            </w:r>
            <w:r w:rsidR="00341962" w:rsidRPr="00D10BA0">
              <w:rPr>
                <w:rFonts w:eastAsia="Times New Roman"/>
                <w:color w:val="000000"/>
                <w:sz w:val="16"/>
                <w:szCs w:val="16"/>
                <w:lang w:eastAsia="en-NZ"/>
              </w:rPr>
              <w:t>Immunisation</w:t>
            </w:r>
            <w:r w:rsidRPr="00D10BA0">
              <w:rPr>
                <w:rFonts w:eastAsia="Times New Roman"/>
                <w:color w:val="000000"/>
                <w:sz w:val="16"/>
                <w:szCs w:val="16"/>
                <w:lang w:eastAsia="en-NZ"/>
              </w:rPr>
              <w:t xml:space="preserve"> Admin Fees/</w:t>
            </w:r>
            <w:r w:rsidRPr="00D10BA0">
              <w:rPr>
                <w:rFonts w:eastAsia="Times New Roman"/>
                <w:color w:val="000000"/>
                <w:sz w:val="16"/>
                <w:szCs w:val="16"/>
                <w:lang w:eastAsia="en-NZ"/>
              </w:rPr>
              <w:br/>
              <w:t xml:space="preserve">Including co-administration </w:t>
            </w:r>
          </w:p>
        </w:tc>
        <w:tc>
          <w:tcPr>
            <w:tcW w:w="1515" w:type="dxa"/>
            <w:tcBorders>
              <w:top w:val="nil"/>
              <w:left w:val="nil"/>
              <w:bottom w:val="single" w:sz="4" w:space="0" w:color="auto"/>
              <w:right w:val="single" w:sz="4" w:space="0" w:color="auto"/>
            </w:tcBorders>
            <w:shd w:val="clear" w:color="auto" w:fill="auto"/>
            <w:noWrap/>
            <w:hideMark/>
          </w:tcPr>
          <w:p w14:paraId="39F0EA1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6A50B4F7"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38" w:type="dxa"/>
            <w:tcBorders>
              <w:top w:val="nil"/>
              <w:left w:val="nil"/>
              <w:bottom w:val="single" w:sz="4" w:space="0" w:color="auto"/>
              <w:right w:val="single" w:sz="4" w:space="0" w:color="auto"/>
            </w:tcBorders>
            <w:shd w:val="clear" w:color="auto" w:fill="auto"/>
            <w:noWrap/>
            <w:hideMark/>
          </w:tcPr>
          <w:p w14:paraId="353B4E4F"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3F37F9BA"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617423EB"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3F92D5EC"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7F25999E" w14:textId="67CA207F"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xml:space="preserve">EOM - Difference paid from </w:t>
            </w:r>
            <w:r w:rsidR="003173A2" w:rsidRPr="00D10BA0">
              <w:rPr>
                <w:rFonts w:eastAsia="Times New Roman"/>
                <w:color w:val="000000"/>
                <w:sz w:val="16"/>
                <w:szCs w:val="16"/>
                <w:lang w:eastAsia="en-NZ"/>
              </w:rPr>
              <w:t>current</w:t>
            </w:r>
            <w:r w:rsidRPr="00D10BA0">
              <w:rPr>
                <w:rFonts w:eastAsia="Times New Roman"/>
                <w:color w:val="000000"/>
                <w:sz w:val="16"/>
                <w:szCs w:val="16"/>
                <w:lang w:eastAsia="en-NZ"/>
              </w:rPr>
              <w:t xml:space="preserve"> to new fees from 1 July 2023 to 30 November 2023</w:t>
            </w:r>
          </w:p>
        </w:tc>
        <w:tc>
          <w:tcPr>
            <w:tcW w:w="1516" w:type="dxa"/>
            <w:tcBorders>
              <w:top w:val="nil"/>
              <w:left w:val="nil"/>
              <w:bottom w:val="single" w:sz="4" w:space="0" w:color="auto"/>
              <w:right w:val="single" w:sz="4" w:space="0" w:color="auto"/>
            </w:tcBorders>
            <w:shd w:val="clear" w:color="auto" w:fill="auto"/>
            <w:noWrap/>
            <w:hideMark/>
          </w:tcPr>
          <w:p w14:paraId="60834F4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2884A9C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436778" w:rsidRPr="00943D58" w14:paraId="2DB2E988" w14:textId="77777777" w:rsidTr="003E3EE5">
        <w:trPr>
          <w:trHeight w:val="409"/>
        </w:trPr>
        <w:tc>
          <w:tcPr>
            <w:tcW w:w="1527" w:type="dxa"/>
            <w:tcBorders>
              <w:top w:val="nil"/>
              <w:left w:val="single" w:sz="4" w:space="0" w:color="auto"/>
              <w:bottom w:val="single" w:sz="4" w:space="0" w:color="auto"/>
              <w:right w:val="single" w:sz="4" w:space="0" w:color="auto"/>
            </w:tcBorders>
            <w:shd w:val="clear" w:color="auto" w:fill="auto"/>
            <w:noWrap/>
            <w:hideMark/>
          </w:tcPr>
          <w:p w14:paraId="0F14CAE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Wash Up APAS</w:t>
            </w:r>
          </w:p>
        </w:tc>
        <w:tc>
          <w:tcPr>
            <w:tcW w:w="1515" w:type="dxa"/>
            <w:tcBorders>
              <w:top w:val="nil"/>
              <w:left w:val="nil"/>
              <w:bottom w:val="single" w:sz="4" w:space="0" w:color="auto"/>
              <w:right w:val="single" w:sz="4" w:space="0" w:color="auto"/>
            </w:tcBorders>
            <w:shd w:val="clear" w:color="auto" w:fill="auto"/>
            <w:hideMark/>
          </w:tcPr>
          <w:p w14:paraId="2BB7D1C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45F7E0C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38" w:type="dxa"/>
            <w:tcBorders>
              <w:top w:val="nil"/>
              <w:left w:val="nil"/>
              <w:bottom w:val="single" w:sz="4" w:space="0" w:color="auto"/>
              <w:right w:val="single" w:sz="4" w:space="0" w:color="auto"/>
            </w:tcBorders>
            <w:shd w:val="clear" w:color="auto" w:fill="auto"/>
            <w:hideMark/>
          </w:tcPr>
          <w:p w14:paraId="5176836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hideMark/>
          </w:tcPr>
          <w:p w14:paraId="4A9B520B"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43A74B1C"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03F94638"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single" w:sz="4" w:space="0" w:color="auto"/>
              <w:left w:val="nil"/>
              <w:bottom w:val="single" w:sz="4" w:space="0" w:color="auto"/>
              <w:right w:val="nil"/>
            </w:tcBorders>
            <w:shd w:val="clear" w:color="auto" w:fill="auto"/>
            <w:hideMark/>
          </w:tcPr>
          <w:p w14:paraId="0D078C0B" w14:textId="6E399EF9" w:rsidR="00EE4825" w:rsidRPr="00D10BA0" w:rsidRDefault="00EE4825" w:rsidP="00D10BA0">
            <w:pPr>
              <w:spacing w:before="40" w:after="40" w:line="240" w:lineRule="auto"/>
              <w:rPr>
                <w:rFonts w:eastAsia="Times New Roman"/>
                <w:sz w:val="16"/>
                <w:szCs w:val="16"/>
                <w:lang w:eastAsia="en-NZ"/>
              </w:rPr>
            </w:pPr>
            <w:r w:rsidRPr="00D10BA0">
              <w:rPr>
                <w:rFonts w:eastAsia="Times New Roman"/>
                <w:sz w:val="16"/>
                <w:szCs w:val="16"/>
                <w:lang w:eastAsia="en-NZ"/>
              </w:rPr>
              <w:t xml:space="preserve">EOM - Difference deducted from </w:t>
            </w:r>
            <w:r w:rsidR="003173A2" w:rsidRPr="00D10BA0">
              <w:rPr>
                <w:rFonts w:eastAsia="Times New Roman"/>
                <w:sz w:val="16"/>
                <w:szCs w:val="16"/>
                <w:lang w:eastAsia="en-NZ"/>
              </w:rPr>
              <w:t>current</w:t>
            </w:r>
            <w:r w:rsidRPr="00D10BA0">
              <w:rPr>
                <w:rFonts w:eastAsia="Times New Roman"/>
                <w:sz w:val="16"/>
                <w:szCs w:val="16"/>
                <w:lang w:eastAsia="en-NZ"/>
              </w:rPr>
              <w:t xml:space="preserve"> to new $ pool for October through December 2023 - clawback set for April 2024</w:t>
            </w:r>
          </w:p>
        </w:tc>
        <w:tc>
          <w:tcPr>
            <w:tcW w:w="1516" w:type="dxa"/>
            <w:tcBorders>
              <w:top w:val="nil"/>
              <w:left w:val="single" w:sz="4" w:space="0" w:color="auto"/>
              <w:bottom w:val="single" w:sz="4" w:space="0" w:color="auto"/>
              <w:right w:val="single" w:sz="4" w:space="0" w:color="auto"/>
            </w:tcBorders>
            <w:shd w:val="clear" w:color="auto" w:fill="auto"/>
            <w:hideMark/>
          </w:tcPr>
          <w:p w14:paraId="75943039"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510AFDA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r>
      <w:tr w:rsidR="00436778" w:rsidRPr="00943D58" w14:paraId="45587D27" w14:textId="77777777" w:rsidTr="003E3EE5">
        <w:trPr>
          <w:trHeight w:val="1152"/>
        </w:trPr>
        <w:tc>
          <w:tcPr>
            <w:tcW w:w="1527" w:type="dxa"/>
            <w:tcBorders>
              <w:top w:val="nil"/>
              <w:left w:val="single" w:sz="4" w:space="0" w:color="auto"/>
              <w:bottom w:val="single" w:sz="4" w:space="0" w:color="auto"/>
              <w:right w:val="single" w:sz="4" w:space="0" w:color="auto"/>
            </w:tcBorders>
            <w:shd w:val="clear" w:color="auto" w:fill="auto"/>
            <w:noWrap/>
            <w:hideMark/>
          </w:tcPr>
          <w:p w14:paraId="43B5E0C5"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Wash Up Case Mix</w:t>
            </w:r>
          </w:p>
        </w:tc>
        <w:tc>
          <w:tcPr>
            <w:tcW w:w="1515" w:type="dxa"/>
            <w:tcBorders>
              <w:top w:val="nil"/>
              <w:left w:val="nil"/>
              <w:bottom w:val="single" w:sz="4" w:space="0" w:color="auto"/>
              <w:right w:val="single" w:sz="4" w:space="0" w:color="auto"/>
            </w:tcBorders>
            <w:shd w:val="clear" w:color="auto" w:fill="auto"/>
            <w:noWrap/>
            <w:hideMark/>
          </w:tcPr>
          <w:p w14:paraId="337CC1A8"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541E0693"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38" w:type="dxa"/>
            <w:tcBorders>
              <w:top w:val="nil"/>
              <w:left w:val="nil"/>
              <w:bottom w:val="single" w:sz="4" w:space="0" w:color="auto"/>
              <w:right w:val="single" w:sz="4" w:space="0" w:color="auto"/>
            </w:tcBorders>
            <w:shd w:val="clear" w:color="auto" w:fill="auto"/>
            <w:noWrap/>
            <w:hideMark/>
          </w:tcPr>
          <w:p w14:paraId="1EEF0641"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nil"/>
              <w:left w:val="nil"/>
              <w:bottom w:val="single" w:sz="4" w:space="0" w:color="auto"/>
              <w:right w:val="single" w:sz="4" w:space="0" w:color="auto"/>
            </w:tcBorders>
            <w:shd w:val="clear" w:color="auto" w:fill="auto"/>
            <w:noWrap/>
            <w:hideMark/>
          </w:tcPr>
          <w:p w14:paraId="52CF9EB7"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0208A7AE"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noWrap/>
            <w:hideMark/>
          </w:tcPr>
          <w:p w14:paraId="21155F7B"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5" w:type="dxa"/>
            <w:tcBorders>
              <w:top w:val="single" w:sz="4" w:space="0" w:color="auto"/>
              <w:left w:val="nil"/>
              <w:bottom w:val="single" w:sz="4" w:space="0" w:color="auto"/>
              <w:right w:val="single" w:sz="4" w:space="0" w:color="auto"/>
            </w:tcBorders>
            <w:shd w:val="clear" w:color="auto" w:fill="auto"/>
            <w:noWrap/>
            <w:hideMark/>
          </w:tcPr>
          <w:p w14:paraId="4BFCBE0A"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3A1353A2" w14:textId="77777777"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 </w:t>
            </w:r>
          </w:p>
        </w:tc>
        <w:tc>
          <w:tcPr>
            <w:tcW w:w="1516" w:type="dxa"/>
            <w:tcBorders>
              <w:top w:val="nil"/>
              <w:left w:val="nil"/>
              <w:bottom w:val="single" w:sz="4" w:space="0" w:color="auto"/>
              <w:right w:val="single" w:sz="4" w:space="0" w:color="auto"/>
            </w:tcBorders>
            <w:shd w:val="clear" w:color="auto" w:fill="auto"/>
            <w:hideMark/>
          </w:tcPr>
          <w:p w14:paraId="127C4B11" w14:textId="15E29686" w:rsidR="00EE4825" w:rsidRPr="00D10BA0" w:rsidRDefault="00EE4825" w:rsidP="00D10BA0">
            <w:pPr>
              <w:spacing w:before="40" w:after="40" w:line="240" w:lineRule="auto"/>
              <w:rPr>
                <w:rFonts w:eastAsia="Times New Roman"/>
                <w:color w:val="000000"/>
                <w:sz w:val="16"/>
                <w:szCs w:val="16"/>
                <w:lang w:eastAsia="en-NZ"/>
              </w:rPr>
            </w:pPr>
            <w:r w:rsidRPr="00D10BA0">
              <w:rPr>
                <w:rFonts w:eastAsia="Times New Roman"/>
                <w:color w:val="000000"/>
                <w:sz w:val="16"/>
                <w:szCs w:val="16"/>
                <w:lang w:eastAsia="en-NZ"/>
              </w:rPr>
              <w:t>End of Year Final Actual Case Mix Wash Up paid at new rate - normal BAU no changes needed</w:t>
            </w:r>
          </w:p>
        </w:tc>
      </w:tr>
    </w:tbl>
    <w:p w14:paraId="2A5959D5" w14:textId="77777777" w:rsidR="00EE4825" w:rsidRPr="00CF76E6" w:rsidRDefault="00EE4825" w:rsidP="00EE4825">
      <w:pPr>
        <w:spacing w:after="0" w:line="240" w:lineRule="auto"/>
        <w:rPr>
          <w:sz w:val="14"/>
          <w:szCs w:val="14"/>
          <w:highlight w:val="yellow"/>
        </w:rPr>
      </w:pPr>
    </w:p>
    <w:sectPr w:rsidR="00EE4825" w:rsidRPr="00CF76E6" w:rsidSect="009C3BB8">
      <w:head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4290" w14:textId="77777777" w:rsidR="005359BD" w:rsidRDefault="005359BD" w:rsidP="006447D4">
      <w:r>
        <w:separator/>
      </w:r>
    </w:p>
  </w:endnote>
  <w:endnote w:type="continuationSeparator" w:id="0">
    <w:p w14:paraId="2E5BE3E0" w14:textId="77777777" w:rsidR="005359BD" w:rsidRDefault="005359BD" w:rsidP="006447D4">
      <w:r>
        <w:continuationSeparator/>
      </w:r>
    </w:p>
  </w:endnote>
  <w:endnote w:type="continuationNotice" w:id="1">
    <w:p w14:paraId="75099242" w14:textId="77777777" w:rsidR="005359BD" w:rsidRDefault="00535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3378250"/>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3F49FF2" w14:textId="4CFE2F1F" w:rsidR="008768DC" w:rsidRPr="008768DC" w:rsidRDefault="008768DC">
            <w:pPr>
              <w:pStyle w:val="Footer"/>
              <w:jc w:val="right"/>
              <w:rPr>
                <w:sz w:val="18"/>
                <w:szCs w:val="18"/>
              </w:rPr>
            </w:pPr>
            <w:r w:rsidRPr="008768DC">
              <w:rPr>
                <w:sz w:val="18"/>
                <w:szCs w:val="18"/>
              </w:rPr>
              <w:t xml:space="preserve">Page </w:t>
            </w:r>
            <w:r w:rsidRPr="008768DC">
              <w:rPr>
                <w:b/>
                <w:bCs/>
                <w:sz w:val="18"/>
                <w:szCs w:val="18"/>
              </w:rPr>
              <w:fldChar w:fldCharType="begin"/>
            </w:r>
            <w:r w:rsidRPr="008768DC">
              <w:rPr>
                <w:b/>
                <w:bCs/>
                <w:sz w:val="18"/>
                <w:szCs w:val="18"/>
              </w:rPr>
              <w:instrText xml:space="preserve"> PAGE </w:instrText>
            </w:r>
            <w:r w:rsidRPr="008768DC">
              <w:rPr>
                <w:b/>
                <w:bCs/>
                <w:sz w:val="18"/>
                <w:szCs w:val="18"/>
              </w:rPr>
              <w:fldChar w:fldCharType="separate"/>
            </w:r>
            <w:r w:rsidRPr="008768DC">
              <w:rPr>
                <w:b/>
                <w:bCs/>
                <w:noProof/>
                <w:sz w:val="18"/>
                <w:szCs w:val="18"/>
              </w:rPr>
              <w:t>2</w:t>
            </w:r>
            <w:r w:rsidRPr="008768DC">
              <w:rPr>
                <w:b/>
                <w:bCs/>
                <w:sz w:val="18"/>
                <w:szCs w:val="18"/>
              </w:rPr>
              <w:fldChar w:fldCharType="end"/>
            </w:r>
            <w:r w:rsidRPr="008768DC">
              <w:rPr>
                <w:sz w:val="18"/>
                <w:szCs w:val="18"/>
              </w:rPr>
              <w:t xml:space="preserve"> of </w:t>
            </w:r>
            <w:r w:rsidRPr="008768DC">
              <w:rPr>
                <w:b/>
                <w:bCs/>
                <w:sz w:val="18"/>
                <w:szCs w:val="18"/>
              </w:rPr>
              <w:fldChar w:fldCharType="begin"/>
            </w:r>
            <w:r w:rsidRPr="008768DC">
              <w:rPr>
                <w:b/>
                <w:bCs/>
                <w:sz w:val="18"/>
                <w:szCs w:val="18"/>
              </w:rPr>
              <w:instrText xml:space="preserve"> NUMPAGES  </w:instrText>
            </w:r>
            <w:r w:rsidRPr="008768DC">
              <w:rPr>
                <w:b/>
                <w:bCs/>
                <w:sz w:val="18"/>
                <w:szCs w:val="18"/>
              </w:rPr>
              <w:fldChar w:fldCharType="separate"/>
            </w:r>
            <w:r w:rsidRPr="008768DC">
              <w:rPr>
                <w:b/>
                <w:bCs/>
                <w:noProof/>
                <w:sz w:val="18"/>
                <w:szCs w:val="18"/>
              </w:rPr>
              <w:t>2</w:t>
            </w:r>
            <w:r w:rsidRPr="008768DC">
              <w:rPr>
                <w:b/>
                <w:bCs/>
                <w:sz w:val="18"/>
                <w:szCs w:val="18"/>
              </w:rPr>
              <w:fldChar w:fldCharType="end"/>
            </w:r>
          </w:p>
        </w:sdtContent>
      </w:sdt>
    </w:sdtContent>
  </w:sdt>
  <w:p w14:paraId="25E410E3" w14:textId="1BDCA29B" w:rsidR="006447D4" w:rsidRDefault="00341962">
    <w:pPr>
      <w:pStyle w:val="Footer"/>
    </w:pPr>
    <w:r>
      <w:rPr>
        <w:noProof/>
      </w:rPr>
      <w:drawing>
        <wp:anchor distT="0" distB="0" distL="0" distR="0" simplePos="0" relativeHeight="251667968" behindDoc="1" locked="0" layoutInCell="1" allowOverlap="1" wp14:anchorId="7B8D4DF7" wp14:editId="4CBA09DC">
          <wp:simplePos x="15240" y="7217410"/>
          <wp:positionH relativeFrom="page">
            <wp:posOffset>15240</wp:posOffset>
          </wp:positionH>
          <wp:positionV relativeFrom="page">
            <wp:align>bottom</wp:align>
          </wp:positionV>
          <wp:extent cx="10677525" cy="323215"/>
          <wp:effectExtent l="0" t="0" r="9525"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323215"/>
                  </a:xfrm>
                  <a:prstGeom prst="rect">
                    <a:avLst/>
                  </a:prstGeom>
                </pic:spPr>
              </pic:pic>
            </a:graphicData>
          </a:graphic>
          <wp14:sizeRelH relativeFrom="margin">
            <wp14:pctWidth>0</wp14:pctWidth>
          </wp14:sizeRelH>
          <wp14:sizeRelV relativeFrom="margin">
            <wp14:pctHeight>0</wp14:pctHeight>
          </wp14:sizeRelV>
        </wp:anchor>
      </w:drawing>
    </w:r>
    <w:r w:rsidR="00400120">
      <w:rPr>
        <w:noProof/>
      </w:rPr>
      <w:drawing>
        <wp:anchor distT="0" distB="0" distL="0" distR="0" simplePos="0" relativeHeight="251659776" behindDoc="1" locked="0" layoutInCell="1" allowOverlap="1" wp14:anchorId="2C4663FB" wp14:editId="7C78C6A6">
          <wp:simplePos x="0" y="0"/>
          <wp:positionH relativeFrom="page">
            <wp:posOffset>4445</wp:posOffset>
          </wp:positionH>
          <wp:positionV relativeFrom="page">
            <wp:posOffset>10352736</wp:posOffset>
          </wp:positionV>
          <wp:extent cx="7558247" cy="323850"/>
          <wp:effectExtent l="0" t="0" r="508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7B6" w14:textId="55F1D425" w:rsidR="0010512C" w:rsidRDefault="00341962">
    <w:pPr>
      <w:pStyle w:val="Footer"/>
    </w:pPr>
    <w:r>
      <w:rPr>
        <w:noProof/>
      </w:rPr>
      <w:drawing>
        <wp:anchor distT="0" distB="0" distL="0" distR="0" simplePos="0" relativeHeight="251658752" behindDoc="1" locked="0" layoutInCell="1" allowOverlap="1" wp14:anchorId="29C603B8" wp14:editId="0033D7DF">
          <wp:simplePos x="0" y="0"/>
          <wp:positionH relativeFrom="page">
            <wp:align>right</wp:align>
          </wp:positionH>
          <wp:positionV relativeFrom="page">
            <wp:align>bottom</wp:align>
          </wp:positionV>
          <wp:extent cx="10677525" cy="323215"/>
          <wp:effectExtent l="0" t="0" r="9525"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323215"/>
                  </a:xfrm>
                  <a:prstGeom prst="rect">
                    <a:avLst/>
                  </a:prstGeom>
                </pic:spPr>
              </pic:pic>
            </a:graphicData>
          </a:graphic>
          <wp14:sizeRelH relativeFrom="margin">
            <wp14:pctWidth>0</wp14:pctWidth>
          </wp14:sizeRelH>
          <wp14:sizeRelV relativeFrom="margin">
            <wp14:pctHeight>0</wp14:pctHeight>
          </wp14:sizeRelV>
        </wp:anchor>
      </w:drawing>
    </w:r>
    <w:r w:rsidR="0005569B">
      <w:rPr>
        <w:noProof/>
      </w:rPr>
      <mc:AlternateContent>
        <mc:Choice Requires="wps">
          <w:drawing>
            <wp:anchor distT="0" distB="0" distL="114300" distR="114300" simplePos="0" relativeHeight="251656704" behindDoc="1" locked="0" layoutInCell="1" allowOverlap="1" wp14:anchorId="276FCB57" wp14:editId="3964860E">
              <wp:simplePos x="0" y="0"/>
              <wp:positionH relativeFrom="margin">
                <wp:align>left</wp:align>
              </wp:positionH>
              <wp:positionV relativeFrom="page">
                <wp:posOffset>9867900</wp:posOffset>
              </wp:positionV>
              <wp:extent cx="3124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2E87" w14:textId="77777777" w:rsidR="0005569B" w:rsidRDefault="0005569B" w:rsidP="0005569B">
                          <w:pPr>
                            <w:spacing w:before="13" w:after="0"/>
                            <w:ind w:left="23"/>
                            <w:rPr>
                              <w:b/>
                              <w:sz w:val="20"/>
                            </w:rPr>
                          </w:pPr>
                          <w:r>
                            <w:rPr>
                              <w:b/>
                              <w:color w:val="00A2AC"/>
                              <w:spacing w:val="-2"/>
                              <w:sz w:val="20"/>
                            </w:rPr>
                            <w:t>TeWhatuOra.govt.nz</w:t>
                          </w:r>
                        </w:p>
                        <w:p w14:paraId="0D76D633" w14:textId="77777777" w:rsidR="0005569B" w:rsidRPr="0005569B" w:rsidRDefault="0005569B" w:rsidP="0005569B">
                          <w:pPr>
                            <w:spacing w:before="13" w:after="0"/>
                            <w:ind w:left="23"/>
                            <w:rPr>
                              <w:bCs/>
                              <w:color w:val="00A2AC"/>
                              <w:spacing w:val="-2"/>
                              <w:sz w:val="20"/>
                            </w:rPr>
                          </w:pPr>
                          <w:r w:rsidRPr="0005569B">
                            <w:rPr>
                              <w:bCs/>
                              <w:color w:val="00A2AC"/>
                              <w:spacing w:val="-2"/>
                              <w:sz w:val="20"/>
                            </w:rPr>
                            <w:t>83 Molesworth Street, PO Box 5013</w:t>
                          </w:r>
                          <w:r w:rsidRPr="0005569B">
                            <w:rPr>
                              <w:bCs/>
                              <w:color w:val="00A2AC"/>
                              <w:spacing w:val="-2"/>
                              <w:sz w:val="20"/>
                            </w:rPr>
                            <w:br/>
                            <w:t>Wellington New Zealand 6140</w:t>
                          </w:r>
                        </w:p>
                        <w:p w14:paraId="47CB7183" w14:textId="437E2819" w:rsidR="0010512C" w:rsidRDefault="0010512C" w:rsidP="0010512C">
                          <w:pPr>
                            <w:spacing w:before="13" w:after="0"/>
                            <w:ind w:left="2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FCB57" id="_x0000_t202" coordsize="21600,21600" o:spt="202" path="m,l,21600r21600,l21600,xe">
              <v:stroke joinstyle="miter"/>
              <v:path gradientshapeok="t" o:connecttype="rect"/>
            </v:shapetype>
            <v:shape id="Text Box 3" o:spid="_x0000_s1028" type="#_x0000_t202" style="position:absolute;margin-left:0;margin-top:777pt;width:246pt;height: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" filled="f" stroked="f">
              <v:textbox inset="0,0,0,0">
                <w:txbxContent>
                  <w:p w14:paraId="60252E87" w14:textId="77777777" w:rsidR="0005569B" w:rsidRDefault="0005569B" w:rsidP="0005569B">
                    <w:pPr>
                      <w:spacing w:before="13" w:after="0"/>
                      <w:ind w:left="23"/>
                      <w:rPr>
                        <w:b/>
                        <w:sz w:val="20"/>
                      </w:rPr>
                    </w:pPr>
                    <w:r>
                      <w:rPr>
                        <w:b/>
                        <w:color w:val="00A2AC"/>
                        <w:spacing w:val="-2"/>
                        <w:sz w:val="20"/>
                      </w:rPr>
                      <w:t>TeWhatuOra.govt.nz</w:t>
                    </w:r>
                  </w:p>
                  <w:p w14:paraId="0D76D633" w14:textId="77777777" w:rsidR="0005569B" w:rsidRPr="0005569B" w:rsidRDefault="0005569B" w:rsidP="0005569B">
                    <w:pPr>
                      <w:spacing w:before="13" w:after="0"/>
                      <w:ind w:left="23"/>
                      <w:rPr>
                        <w:bCs/>
                        <w:color w:val="00A2AC"/>
                        <w:spacing w:val="-2"/>
                        <w:sz w:val="20"/>
                      </w:rPr>
                    </w:pPr>
                    <w:r w:rsidRPr="0005569B">
                      <w:rPr>
                        <w:bCs/>
                        <w:color w:val="00A2AC"/>
                        <w:spacing w:val="-2"/>
                        <w:sz w:val="20"/>
                      </w:rPr>
                      <w:t>83 Molesworth Street, PO Box 5013</w:t>
                    </w:r>
                    <w:r w:rsidRPr="0005569B">
                      <w:rPr>
                        <w:bCs/>
                        <w:color w:val="00A2AC"/>
                        <w:spacing w:val="-2"/>
                        <w:sz w:val="20"/>
                      </w:rPr>
                      <w:br/>
                      <w:t>Wellington New Zealand 6140</w:t>
                    </w:r>
                  </w:p>
                  <w:p w14:paraId="47CB7183" w14:textId="437E2819" w:rsidR="0010512C" w:rsidRDefault="0010512C" w:rsidP="0010512C">
                    <w:pPr>
                      <w:spacing w:before="13" w:after="0"/>
                      <w:ind w:left="23"/>
                      <w:rPr>
                        <w:b/>
                        <w:sz w:val="20"/>
                      </w:rPr>
                    </w:pPr>
                  </w:p>
                </w:txbxContent>
              </v:textbox>
              <w10:wrap anchorx="margin" anchory="page"/>
            </v:shape>
          </w:pict>
        </mc:Fallback>
      </mc:AlternateContent>
    </w:r>
    <w:r w:rsidR="0010512C">
      <w:rPr>
        <w:noProof/>
      </w:rPr>
      <w:drawing>
        <wp:anchor distT="0" distB="0" distL="0" distR="0" simplePos="0" relativeHeight="251657728" behindDoc="1" locked="0" layoutInCell="1" allowOverlap="1" wp14:anchorId="314607FE" wp14:editId="6BD773B8">
          <wp:simplePos x="0" y="0"/>
          <wp:positionH relativeFrom="margin">
            <wp:align>right</wp:align>
          </wp:positionH>
          <wp:positionV relativeFrom="margin">
            <wp:posOffset>9277334</wp:posOffset>
          </wp:positionV>
          <wp:extent cx="1732280" cy="314960"/>
          <wp:effectExtent l="0" t="0" r="1270" b="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 cstate="print"/>
                  <a:stretch>
                    <a:fillRect/>
                  </a:stretch>
                </pic:blipFill>
                <pic:spPr>
                  <a:xfrm>
                    <a:off x="0" y="0"/>
                    <a:ext cx="1732280" cy="3149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C850" w14:textId="77777777" w:rsidR="005359BD" w:rsidRDefault="005359BD" w:rsidP="006447D4">
      <w:r>
        <w:separator/>
      </w:r>
    </w:p>
  </w:footnote>
  <w:footnote w:type="continuationSeparator" w:id="0">
    <w:p w14:paraId="2B0172CE" w14:textId="77777777" w:rsidR="005359BD" w:rsidRDefault="005359BD" w:rsidP="006447D4">
      <w:r>
        <w:continuationSeparator/>
      </w:r>
    </w:p>
  </w:footnote>
  <w:footnote w:type="continuationNotice" w:id="1">
    <w:p w14:paraId="556C74A8" w14:textId="77777777" w:rsidR="005359BD" w:rsidRDefault="005359BD">
      <w:pPr>
        <w:spacing w:after="0" w:line="240" w:lineRule="auto"/>
      </w:pPr>
    </w:p>
  </w:footnote>
  <w:footnote w:id="2">
    <w:p w14:paraId="0B86A4CC" w14:textId="74D96EA1" w:rsidR="005817BF" w:rsidRDefault="005817BF" w:rsidP="005817BF">
      <w:pPr>
        <w:pStyle w:val="FootnoteText"/>
        <w:tabs>
          <w:tab w:val="left" w:pos="284"/>
        </w:tabs>
      </w:pPr>
      <w:r>
        <w:rPr>
          <w:rStyle w:val="FootnoteReference"/>
        </w:rPr>
        <w:footnoteRef/>
      </w:r>
      <w:r>
        <w:t xml:space="preserve"> </w:t>
      </w:r>
      <w:r>
        <w:tab/>
        <w:t>Letter to Community Pharmacy NAAR 2023 Representatives, Emma Prestidge</w:t>
      </w:r>
      <w:r w:rsidR="00D853F5">
        <w:t>,</w:t>
      </w:r>
      <w:r>
        <w:t xml:space="preserve"> 9 May 2023.</w:t>
      </w:r>
    </w:p>
    <w:p w14:paraId="476CEAF8" w14:textId="77777777" w:rsidR="005817BF" w:rsidRDefault="005817BF" w:rsidP="005817BF">
      <w:pPr>
        <w:pStyle w:val="FootnoteText"/>
      </w:pPr>
    </w:p>
    <w:p w14:paraId="387F0329" w14:textId="77777777" w:rsidR="005817BF" w:rsidRDefault="005817BF" w:rsidP="005817BF">
      <w:pPr>
        <w:pStyle w:val="FootnoteText"/>
      </w:pPr>
    </w:p>
  </w:footnote>
  <w:footnote w:id="3">
    <w:p w14:paraId="793DC9D4" w14:textId="77777777" w:rsidR="00522564" w:rsidRDefault="00522564" w:rsidP="00522564">
      <w:pPr>
        <w:pStyle w:val="FootnoteText"/>
        <w:tabs>
          <w:tab w:val="left" w:pos="284"/>
        </w:tabs>
        <w:ind w:left="284" w:hanging="284"/>
      </w:pPr>
      <w:r>
        <w:rPr>
          <w:rStyle w:val="FootnoteReference"/>
        </w:rPr>
        <w:footnoteRef/>
      </w:r>
      <w:r>
        <w:t xml:space="preserve"> </w:t>
      </w:r>
      <w:r>
        <w:tab/>
      </w:r>
      <w:r w:rsidRPr="002778AA">
        <w:t xml:space="preserve">Sapere. </w:t>
      </w:r>
      <w:hyperlink r:id="rId1" w:history="1">
        <w:r w:rsidRPr="002778AA">
          <w:rPr>
            <w:rStyle w:val="Hyperlink"/>
          </w:rPr>
          <w:t>Independent Review of Community Pharmacy Services (Stage One)</w:t>
        </w:r>
      </w:hyperlink>
      <w:r w:rsidRPr="002778AA">
        <w:t>. Sapere</w:t>
      </w:r>
      <w:r>
        <w:t>,</w:t>
      </w:r>
      <w:r w:rsidRPr="002778AA">
        <w:t xml:space="preserve"> December 2020</w:t>
      </w:r>
      <w:r>
        <w:t>.</w:t>
      </w:r>
    </w:p>
  </w:footnote>
  <w:footnote w:id="4">
    <w:p w14:paraId="5274B2FD" w14:textId="6DF1599B" w:rsidR="00522564" w:rsidRDefault="00522564" w:rsidP="00522564">
      <w:pPr>
        <w:pStyle w:val="FootnoteText"/>
        <w:tabs>
          <w:tab w:val="left" w:pos="284"/>
        </w:tabs>
        <w:ind w:left="284" w:hanging="284"/>
      </w:pPr>
      <w:r>
        <w:rPr>
          <w:rStyle w:val="FootnoteReference"/>
        </w:rPr>
        <w:footnoteRef/>
      </w:r>
      <w:r>
        <w:t xml:space="preserve"> </w:t>
      </w:r>
      <w:r>
        <w:tab/>
        <w:t>Grant Thornton</w:t>
      </w:r>
      <w:r w:rsidR="00074075">
        <w:t>/Strategic Pay</w:t>
      </w:r>
      <w:r>
        <w:t xml:space="preserve">. </w:t>
      </w:r>
      <w:hyperlink r:id="rId2" w:history="1">
        <w:r w:rsidRPr="002778AA">
          <w:rPr>
            <w:rStyle w:val="Hyperlink"/>
          </w:rPr>
          <w:t>Independent Review of Wage Cost Pressure</w:t>
        </w:r>
      </w:hyperlink>
      <w:r w:rsidR="00074075">
        <w:rPr>
          <w:rStyle w:val="Hyperlink"/>
        </w:rPr>
        <w:t>s</w:t>
      </w:r>
      <w:r>
        <w:t>. Grant Thornton</w:t>
      </w:r>
      <w:r w:rsidR="00074075">
        <w:t>/S</w:t>
      </w:r>
      <w:r w:rsidR="00215768">
        <w:t>trategic Pay</w:t>
      </w:r>
      <w:r>
        <w:t>, February 2021.</w:t>
      </w:r>
    </w:p>
    <w:p w14:paraId="15B64DAA" w14:textId="77777777" w:rsidR="00E06C49" w:rsidRDefault="00E06C49" w:rsidP="00522564">
      <w:pPr>
        <w:pStyle w:val="FootnoteText"/>
        <w:tabs>
          <w:tab w:val="left" w:pos="284"/>
        </w:tabs>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5E39CE0" w14:paraId="5ED325E6" w14:textId="77777777" w:rsidTr="65E39CE0">
      <w:trPr>
        <w:trHeight w:val="300"/>
      </w:trPr>
      <w:tc>
        <w:tcPr>
          <w:tcW w:w="3210" w:type="dxa"/>
        </w:tcPr>
        <w:p w14:paraId="0F122E74" w14:textId="4193B921" w:rsidR="65E39CE0" w:rsidRDefault="65E39CE0" w:rsidP="65E39CE0">
          <w:pPr>
            <w:pStyle w:val="Header"/>
            <w:ind w:left="-115"/>
            <w:rPr>
              <w:rFonts w:eastAsia="Calibri"/>
            </w:rPr>
          </w:pPr>
        </w:p>
      </w:tc>
      <w:tc>
        <w:tcPr>
          <w:tcW w:w="3210" w:type="dxa"/>
        </w:tcPr>
        <w:p w14:paraId="570F8309" w14:textId="6BC07A5C" w:rsidR="65E39CE0" w:rsidRDefault="65E39CE0" w:rsidP="65E39CE0">
          <w:pPr>
            <w:pStyle w:val="Header"/>
            <w:jc w:val="center"/>
            <w:rPr>
              <w:rFonts w:eastAsia="Calibri"/>
            </w:rPr>
          </w:pPr>
        </w:p>
      </w:tc>
      <w:tc>
        <w:tcPr>
          <w:tcW w:w="3210" w:type="dxa"/>
        </w:tcPr>
        <w:p w14:paraId="1276ABA3" w14:textId="20A3E235" w:rsidR="65E39CE0" w:rsidRDefault="65E39CE0" w:rsidP="65E39CE0">
          <w:pPr>
            <w:pStyle w:val="Header"/>
            <w:ind w:right="-115"/>
            <w:jc w:val="right"/>
            <w:rPr>
              <w:rFonts w:eastAsia="Calibri"/>
            </w:rPr>
          </w:pPr>
        </w:p>
      </w:tc>
    </w:tr>
  </w:tbl>
  <w:p w14:paraId="4E80BCA8" w14:textId="1025AC1B" w:rsidR="65E39CE0" w:rsidRDefault="65E39CE0" w:rsidP="65E39CE0">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DE6" w14:textId="24CDA9C5" w:rsidR="0010512C" w:rsidRDefault="00903DE4">
    <w:pPr>
      <w:pStyle w:val="Header"/>
    </w:pPr>
    <w:r>
      <w:rPr>
        <w:noProof/>
      </w:rPr>
      <mc:AlternateContent>
        <mc:Choice Requires="wps">
          <w:drawing>
            <wp:anchor distT="0" distB="0" distL="114300" distR="114300" simplePos="0" relativeHeight="251670016" behindDoc="1" locked="0" layoutInCell="1" allowOverlap="1" wp14:anchorId="00F6A7DD" wp14:editId="2FAD44DC">
              <wp:simplePos x="0" y="0"/>
              <wp:positionH relativeFrom="page">
                <wp:posOffset>5306720</wp:posOffset>
              </wp:positionH>
              <wp:positionV relativeFrom="page">
                <wp:posOffset>478841</wp:posOffset>
              </wp:positionV>
              <wp:extent cx="1762125" cy="375920"/>
              <wp:effectExtent l="0" t="0" r="9525" b="508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56A576DC" w14:textId="77777777" w:rsidR="00903DE4" w:rsidRDefault="00903DE4" w:rsidP="00903D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A7DD" id="_x0000_t202" coordsize="21600,21600" o:spt="202" path="m,l,21600r21600,l21600,xe">
              <v:stroke joinstyle="miter"/>
              <v:path gradientshapeok="t" o:connecttype="rect"/>
            </v:shapetype>
            <v:shape id="docshape12" o:spid="_x0000_s1026" type="#_x0000_t202" style="position:absolute;margin-left:417.85pt;margin-top:37.7pt;width:138.75pt;height:29.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" stroked="f">
              <v:fill r:id="rId2" o:title="" recolor="t" rotate="t" type="frame"/>
              <v:textbox inset="0,0,0,0">
                <w:txbxContent>
                  <w:p w14:paraId="56A576DC" w14:textId="77777777" w:rsidR="00903DE4" w:rsidRDefault="00903DE4" w:rsidP="00903DE4"/>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2891F408" wp14:editId="6AFAE1E4">
              <wp:simplePos x="0" y="0"/>
              <wp:positionH relativeFrom="page">
                <wp:posOffset>8402320</wp:posOffset>
              </wp:positionH>
              <wp:positionV relativeFrom="page">
                <wp:posOffset>573024</wp:posOffset>
              </wp:positionV>
              <wp:extent cx="1762125" cy="375920"/>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3CF781CD" w14:textId="77777777" w:rsidR="0010512C" w:rsidRDefault="0010512C" w:rsidP="001051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F408" id="_x0000_s1027" type="#_x0000_t202" style="position:absolute;margin-left:661.6pt;margin-top:45.1pt;width:138.75pt;height:2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" stroked="f">
              <v:fill r:id="rId2" o:title="" recolor="t" rotate="t" type="frame"/>
              <v:textbox inset="0,0,0,0">
                <w:txbxContent>
                  <w:p w14:paraId="3CF781CD" w14:textId="77777777" w:rsidR="0010512C" w:rsidRDefault="0010512C" w:rsidP="0010512C"/>
                </w:txbxContent>
              </v:textbox>
              <w10:wrap anchorx="page" anchory="page"/>
            </v:shape>
          </w:pict>
        </mc:Fallback>
      </mc:AlternateContent>
    </w:r>
    <w:r w:rsidR="00341962">
      <w:rPr>
        <w:noProof/>
      </w:rPr>
      <w:drawing>
        <wp:anchor distT="0" distB="0" distL="0" distR="0" simplePos="0" relativeHeight="251654656" behindDoc="1" locked="0" layoutInCell="1" allowOverlap="1" wp14:anchorId="04BD30B8" wp14:editId="1045425B">
          <wp:simplePos x="0" y="0"/>
          <wp:positionH relativeFrom="page">
            <wp:align>right</wp:align>
          </wp:positionH>
          <wp:positionV relativeFrom="page">
            <wp:posOffset>9525</wp:posOffset>
          </wp:positionV>
          <wp:extent cx="10668000" cy="3238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1066800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482B" w14:textId="041BF0FD" w:rsidR="00903DE4" w:rsidRDefault="00903DE4">
    <w:pPr>
      <w:pStyle w:val="Header"/>
    </w:pPr>
    <w:r>
      <w:rPr>
        <w:noProof/>
      </w:rPr>
      <mc:AlternateContent>
        <mc:Choice Requires="wps">
          <w:drawing>
            <wp:anchor distT="0" distB="0" distL="114300" distR="114300" simplePos="0" relativeHeight="251673088" behindDoc="1" locked="0" layoutInCell="1" allowOverlap="1" wp14:anchorId="1D3DDE42" wp14:editId="3EF8DED8">
              <wp:simplePos x="0" y="0"/>
              <wp:positionH relativeFrom="page">
                <wp:posOffset>8402320</wp:posOffset>
              </wp:positionH>
              <wp:positionV relativeFrom="page">
                <wp:posOffset>573024</wp:posOffset>
              </wp:positionV>
              <wp:extent cx="1762125" cy="375920"/>
              <wp:effectExtent l="0" t="0" r="9525" b="508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672F484A" w14:textId="77777777" w:rsidR="00903DE4" w:rsidRDefault="00903DE4" w:rsidP="001051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DDE42" id="_x0000_t202" coordsize="21600,21600" o:spt="202" path="m,l,21600r21600,l21600,xe">
              <v:stroke joinstyle="miter"/>
              <v:path gradientshapeok="t" o:connecttype="rect"/>
            </v:shapetype>
            <v:shape id="_x0000_s1029" type="#_x0000_t202" style="position:absolute;margin-left:661.6pt;margin-top:45.1pt;width:138.75pt;height:29.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" stroked="f">
              <v:fill r:id="rId2" o:title="" recolor="t" rotate="t" type="frame"/>
              <v:textbox inset="0,0,0,0">
                <w:txbxContent>
                  <w:p w14:paraId="672F484A" w14:textId="77777777" w:rsidR="00903DE4" w:rsidRDefault="00903DE4" w:rsidP="0010512C"/>
                </w:txbxContent>
              </v:textbox>
              <w10:wrap anchorx="page" anchory="page"/>
            </v:shape>
          </w:pict>
        </mc:Fallback>
      </mc:AlternateContent>
    </w:r>
    <w:r>
      <w:rPr>
        <w:noProof/>
      </w:rPr>
      <w:drawing>
        <wp:anchor distT="0" distB="0" distL="0" distR="0" simplePos="0" relativeHeight="251672064" behindDoc="1" locked="0" layoutInCell="1" allowOverlap="1" wp14:anchorId="15C28870" wp14:editId="62F8F6AB">
          <wp:simplePos x="0" y="0"/>
          <wp:positionH relativeFrom="page">
            <wp:align>right</wp:align>
          </wp:positionH>
          <wp:positionV relativeFrom="page">
            <wp:posOffset>9525</wp:posOffset>
          </wp:positionV>
          <wp:extent cx="10668000" cy="323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10668000"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F23"/>
    <w:multiLevelType w:val="hybridMultilevel"/>
    <w:tmpl w:val="51164FFC"/>
    <w:lvl w:ilvl="0" w:tplc="119CF19C">
      <w:start w:val="28"/>
      <w:numFmt w:val="bullet"/>
      <w:lvlText w:val=""/>
      <w:lvlJc w:val="left"/>
      <w:pPr>
        <w:ind w:left="360" w:hanging="360"/>
      </w:pPr>
      <w:rPr>
        <w:rFonts w:ascii="Symbol" w:eastAsiaTheme="minorHAnsi" w:hAnsi="Symbo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952F9F"/>
    <w:multiLevelType w:val="hybridMultilevel"/>
    <w:tmpl w:val="566E4C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806FF"/>
    <w:multiLevelType w:val="hybridMultilevel"/>
    <w:tmpl w:val="3208CD3A"/>
    <w:lvl w:ilvl="0" w:tplc="FFFFFFFF">
      <w:start w:val="28"/>
      <w:numFmt w:val="bullet"/>
      <w:lvlText w:val=""/>
      <w:lvlJc w:val="left"/>
      <w:pPr>
        <w:ind w:left="720" w:hanging="360"/>
      </w:pPr>
      <w:rPr>
        <w:rFonts w:ascii="Symbol" w:eastAsiaTheme="minorHAnsi" w:hAnsi="Symbol" w:cs="Arial" w:hint="default"/>
      </w:rPr>
    </w:lvl>
    <w:lvl w:ilvl="1" w:tplc="FFFFFFFF">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981892"/>
    <w:multiLevelType w:val="hybridMultilevel"/>
    <w:tmpl w:val="F7CE476E"/>
    <w:lvl w:ilvl="0" w:tplc="FFFFFFFF">
      <w:start w:val="1"/>
      <w:numFmt w:val="bullet"/>
      <w:lvlText w:val=""/>
      <w:lvlJc w:val="left"/>
      <w:pPr>
        <w:ind w:left="1080" w:hanging="360"/>
      </w:pPr>
      <w:rPr>
        <w:rFonts w:ascii="Symbol" w:hAnsi="Symbol" w:hint="default"/>
      </w:rPr>
    </w:lvl>
    <w:lvl w:ilvl="1" w:tplc="EA30F496">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02409F"/>
    <w:multiLevelType w:val="hybridMultilevel"/>
    <w:tmpl w:val="CB2CE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08B44D6"/>
    <w:multiLevelType w:val="hybridMultilevel"/>
    <w:tmpl w:val="2A0C6B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2200D1C"/>
    <w:multiLevelType w:val="hybridMultilevel"/>
    <w:tmpl w:val="2452A68E"/>
    <w:lvl w:ilvl="0" w:tplc="FFFFFFFF">
      <w:start w:val="28"/>
      <w:numFmt w:val="bullet"/>
      <w:lvlText w:val=""/>
      <w:lvlJc w:val="left"/>
      <w:pPr>
        <w:ind w:left="720" w:hanging="360"/>
      </w:pPr>
      <w:rPr>
        <w:rFonts w:ascii="Symbol" w:eastAsiaTheme="minorHAnsi" w:hAnsi="Symbol" w:cs="Arial" w:hint="default"/>
      </w:rPr>
    </w:lvl>
    <w:lvl w:ilvl="1" w:tplc="FFFFFFFF">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661B8"/>
    <w:multiLevelType w:val="hybridMultilevel"/>
    <w:tmpl w:val="4FFE31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E83044"/>
    <w:multiLevelType w:val="hybridMultilevel"/>
    <w:tmpl w:val="D83C0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5E5BE5"/>
    <w:multiLevelType w:val="hybridMultilevel"/>
    <w:tmpl w:val="788286B6"/>
    <w:lvl w:ilvl="0" w:tplc="FFFFFFFF">
      <w:start w:val="28"/>
      <w:numFmt w:val="bullet"/>
      <w:lvlText w:val=""/>
      <w:lvlJc w:val="left"/>
      <w:pPr>
        <w:ind w:left="720" w:hanging="360"/>
      </w:pPr>
      <w:rPr>
        <w:rFonts w:ascii="Symbol" w:eastAsiaTheme="minorHAnsi"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EA30F496">
      <w:start w:val="1"/>
      <w:numFmt w:val="bullet"/>
      <w:lvlText w:val="-"/>
      <w:lvlJc w:val="left"/>
      <w:pPr>
        <w:ind w:left="180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CD63AC"/>
    <w:multiLevelType w:val="hybridMultilevel"/>
    <w:tmpl w:val="30B87F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77F677E"/>
    <w:multiLevelType w:val="hybridMultilevel"/>
    <w:tmpl w:val="26E46F34"/>
    <w:lvl w:ilvl="0" w:tplc="FB7A230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082CB4"/>
    <w:multiLevelType w:val="hybridMultilevel"/>
    <w:tmpl w:val="C7083A54"/>
    <w:lvl w:ilvl="0" w:tplc="119CF19C">
      <w:start w:val="28"/>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E31BAC"/>
    <w:multiLevelType w:val="hybridMultilevel"/>
    <w:tmpl w:val="3A563CF4"/>
    <w:lvl w:ilvl="0" w:tplc="DD907E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BF654A4"/>
    <w:multiLevelType w:val="hybridMultilevel"/>
    <w:tmpl w:val="BCBAD2C2"/>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F60660E"/>
    <w:multiLevelType w:val="hybridMultilevel"/>
    <w:tmpl w:val="02C6E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B0932B7"/>
    <w:multiLevelType w:val="hybridMultilevel"/>
    <w:tmpl w:val="7C7AE188"/>
    <w:lvl w:ilvl="0" w:tplc="E0D6F1E4">
      <w:start w:val="1"/>
      <w:numFmt w:val="lowerLetter"/>
      <w:lvlText w:val="%1."/>
      <w:lvlJc w:val="left"/>
      <w:pPr>
        <w:ind w:left="360" w:hanging="360"/>
      </w:pPr>
      <w:rPr>
        <w:rFonts w:ascii="Arial" w:hAnsi="Arial"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B5E74E1"/>
    <w:multiLevelType w:val="hybridMultilevel"/>
    <w:tmpl w:val="5298F2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DCD4339"/>
    <w:multiLevelType w:val="hybridMultilevel"/>
    <w:tmpl w:val="4FFE31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EB21FF7"/>
    <w:multiLevelType w:val="hybridMultilevel"/>
    <w:tmpl w:val="FB8E3E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5500B59"/>
    <w:multiLevelType w:val="hybridMultilevel"/>
    <w:tmpl w:val="F1500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071090"/>
    <w:multiLevelType w:val="hybridMultilevel"/>
    <w:tmpl w:val="3DD0D562"/>
    <w:lvl w:ilvl="0" w:tplc="12DCFA70">
      <w:numFmt w:val="bullet"/>
      <w:lvlText w:val="•"/>
      <w:lvlJc w:val="left"/>
      <w:pPr>
        <w:ind w:left="1110" w:hanging="75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B237C49"/>
    <w:multiLevelType w:val="hybridMultilevel"/>
    <w:tmpl w:val="8ECA7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615E65"/>
    <w:multiLevelType w:val="hybridMultilevel"/>
    <w:tmpl w:val="04825F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0397A3D"/>
    <w:multiLevelType w:val="hybridMultilevel"/>
    <w:tmpl w:val="00C022A8"/>
    <w:lvl w:ilvl="0" w:tplc="47BC4584">
      <w:start w:val="1"/>
      <w:numFmt w:val="decimal"/>
      <w:lvlText w:val="%1."/>
      <w:lvlJc w:val="left"/>
      <w:pPr>
        <w:ind w:left="720" w:hanging="360"/>
      </w:pPr>
      <w:rPr>
        <w:rFonts w:ascii="Arial" w:hAnsi="Arial"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8CB5305"/>
    <w:multiLevelType w:val="hybridMultilevel"/>
    <w:tmpl w:val="6912342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80601C"/>
    <w:multiLevelType w:val="hybridMultilevel"/>
    <w:tmpl w:val="B118962A"/>
    <w:lvl w:ilvl="0" w:tplc="FB7A230C">
      <w:numFmt w:val="bullet"/>
      <w:lvlText w:val="•"/>
      <w:lvlJc w:val="left"/>
      <w:pPr>
        <w:ind w:left="1080" w:hanging="360"/>
      </w:pPr>
      <w:rPr>
        <w:rFonts w:ascii="Arial" w:eastAsia="Arial"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7C947ECF"/>
    <w:multiLevelType w:val="hybridMultilevel"/>
    <w:tmpl w:val="4860F67C"/>
    <w:lvl w:ilvl="0" w:tplc="EE6EA3AA">
      <w:numFmt w:val="bullet"/>
      <w:lvlText w:val="•"/>
      <w:lvlJc w:val="left"/>
      <w:pPr>
        <w:ind w:left="720" w:hanging="720"/>
      </w:pPr>
      <w:rPr>
        <w:rFonts w:ascii="Arial" w:eastAsia="Calibr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16cid:durableId="546573509">
    <w:abstractNumId w:val="25"/>
  </w:num>
  <w:num w:numId="2" w16cid:durableId="12584017">
    <w:abstractNumId w:val="10"/>
  </w:num>
  <w:num w:numId="3" w16cid:durableId="1134717830">
    <w:abstractNumId w:val="8"/>
  </w:num>
  <w:num w:numId="4" w16cid:durableId="1658683218">
    <w:abstractNumId w:val="25"/>
  </w:num>
  <w:num w:numId="5" w16cid:durableId="1549419371">
    <w:abstractNumId w:val="4"/>
  </w:num>
  <w:num w:numId="6" w16cid:durableId="1982884005">
    <w:abstractNumId w:val="21"/>
  </w:num>
  <w:num w:numId="7" w16cid:durableId="273096144">
    <w:abstractNumId w:val="22"/>
  </w:num>
  <w:num w:numId="8" w16cid:durableId="1061489016">
    <w:abstractNumId w:val="11"/>
  </w:num>
  <w:num w:numId="9" w16cid:durableId="1078745517">
    <w:abstractNumId w:val="27"/>
  </w:num>
  <w:num w:numId="10" w16cid:durableId="95297360">
    <w:abstractNumId w:val="14"/>
  </w:num>
  <w:num w:numId="11" w16cid:durableId="1421026256">
    <w:abstractNumId w:val="28"/>
  </w:num>
  <w:num w:numId="12" w16cid:durableId="1074012222">
    <w:abstractNumId w:val="16"/>
  </w:num>
  <w:num w:numId="13" w16cid:durableId="425074390">
    <w:abstractNumId w:val="12"/>
  </w:num>
  <w:num w:numId="14" w16cid:durableId="1361397715">
    <w:abstractNumId w:val="24"/>
  </w:num>
  <w:num w:numId="15" w16cid:durableId="82802782">
    <w:abstractNumId w:val="2"/>
  </w:num>
  <w:num w:numId="16" w16cid:durableId="573972071">
    <w:abstractNumId w:val="6"/>
  </w:num>
  <w:num w:numId="17" w16cid:durableId="111021183">
    <w:abstractNumId w:val="26"/>
  </w:num>
  <w:num w:numId="18" w16cid:durableId="1424296394">
    <w:abstractNumId w:val="0"/>
  </w:num>
  <w:num w:numId="19" w16cid:durableId="881401765">
    <w:abstractNumId w:val="15"/>
  </w:num>
  <w:num w:numId="20" w16cid:durableId="2114277284">
    <w:abstractNumId w:val="1"/>
  </w:num>
  <w:num w:numId="21" w16cid:durableId="738212852">
    <w:abstractNumId w:val="23"/>
  </w:num>
  <w:num w:numId="22" w16cid:durableId="218976033">
    <w:abstractNumId w:val="19"/>
  </w:num>
  <w:num w:numId="23" w16cid:durableId="273441871">
    <w:abstractNumId w:val="20"/>
  </w:num>
  <w:num w:numId="24" w16cid:durableId="1454247788">
    <w:abstractNumId w:val="17"/>
  </w:num>
  <w:num w:numId="25" w16cid:durableId="1237083157">
    <w:abstractNumId w:val="5"/>
  </w:num>
  <w:num w:numId="26" w16cid:durableId="1423456784">
    <w:abstractNumId w:val="18"/>
  </w:num>
  <w:num w:numId="27" w16cid:durableId="619647842">
    <w:abstractNumId w:val="7"/>
  </w:num>
  <w:num w:numId="28" w16cid:durableId="1558084835">
    <w:abstractNumId w:val="13"/>
  </w:num>
  <w:num w:numId="29" w16cid:durableId="1474253445">
    <w:abstractNumId w:val="25"/>
  </w:num>
  <w:num w:numId="30" w16cid:durableId="877930974">
    <w:abstractNumId w:val="25"/>
  </w:num>
  <w:num w:numId="31" w16cid:durableId="71969007">
    <w:abstractNumId w:val="25"/>
  </w:num>
  <w:num w:numId="32" w16cid:durableId="801464378">
    <w:abstractNumId w:val="25"/>
  </w:num>
  <w:num w:numId="33" w16cid:durableId="1201358318">
    <w:abstractNumId w:val="3"/>
  </w:num>
  <w:num w:numId="34" w16cid:durableId="8214600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B4"/>
    <w:rsid w:val="00000A28"/>
    <w:rsid w:val="00001EA1"/>
    <w:rsid w:val="00006A80"/>
    <w:rsid w:val="00006C30"/>
    <w:rsid w:val="00006C78"/>
    <w:rsid w:val="000157B0"/>
    <w:rsid w:val="00015EC0"/>
    <w:rsid w:val="000254F0"/>
    <w:rsid w:val="00031CBF"/>
    <w:rsid w:val="0003653D"/>
    <w:rsid w:val="00036FC8"/>
    <w:rsid w:val="0003788D"/>
    <w:rsid w:val="00040FD1"/>
    <w:rsid w:val="00041043"/>
    <w:rsid w:val="00041A85"/>
    <w:rsid w:val="00042E41"/>
    <w:rsid w:val="00043774"/>
    <w:rsid w:val="00046CC9"/>
    <w:rsid w:val="00047A10"/>
    <w:rsid w:val="000515CF"/>
    <w:rsid w:val="00053BF6"/>
    <w:rsid w:val="00053DF8"/>
    <w:rsid w:val="0005569B"/>
    <w:rsid w:val="000629EE"/>
    <w:rsid w:val="00063BB6"/>
    <w:rsid w:val="00063D52"/>
    <w:rsid w:val="00063EC0"/>
    <w:rsid w:val="000714D3"/>
    <w:rsid w:val="0007259F"/>
    <w:rsid w:val="0007392E"/>
    <w:rsid w:val="00073BF1"/>
    <w:rsid w:val="00074075"/>
    <w:rsid w:val="00075ADB"/>
    <w:rsid w:val="00076DA7"/>
    <w:rsid w:val="00081277"/>
    <w:rsid w:val="00086964"/>
    <w:rsid w:val="00087B60"/>
    <w:rsid w:val="00090B09"/>
    <w:rsid w:val="00090F67"/>
    <w:rsid w:val="000B5CDB"/>
    <w:rsid w:val="000B76CA"/>
    <w:rsid w:val="000B7978"/>
    <w:rsid w:val="000C3412"/>
    <w:rsid w:val="000C65E2"/>
    <w:rsid w:val="000D0D10"/>
    <w:rsid w:val="000E05D7"/>
    <w:rsid w:val="000E1956"/>
    <w:rsid w:val="000E4DD2"/>
    <w:rsid w:val="000F15D3"/>
    <w:rsid w:val="000F5573"/>
    <w:rsid w:val="001029F7"/>
    <w:rsid w:val="0010512C"/>
    <w:rsid w:val="00107411"/>
    <w:rsid w:val="00110503"/>
    <w:rsid w:val="001145E9"/>
    <w:rsid w:val="001205F9"/>
    <w:rsid w:val="0012141A"/>
    <w:rsid w:val="0012296D"/>
    <w:rsid w:val="001232DC"/>
    <w:rsid w:val="0012513A"/>
    <w:rsid w:val="00126894"/>
    <w:rsid w:val="00127DEB"/>
    <w:rsid w:val="00131445"/>
    <w:rsid w:val="0013559D"/>
    <w:rsid w:val="00136B14"/>
    <w:rsid w:val="00142967"/>
    <w:rsid w:val="001431F3"/>
    <w:rsid w:val="00145118"/>
    <w:rsid w:val="001465D7"/>
    <w:rsid w:val="001529A6"/>
    <w:rsid w:val="0015785A"/>
    <w:rsid w:val="00166C74"/>
    <w:rsid w:val="001710E6"/>
    <w:rsid w:val="001711FE"/>
    <w:rsid w:val="0017163E"/>
    <w:rsid w:val="00173F03"/>
    <w:rsid w:val="001766EB"/>
    <w:rsid w:val="00177A44"/>
    <w:rsid w:val="00180664"/>
    <w:rsid w:val="00182932"/>
    <w:rsid w:val="00182BE2"/>
    <w:rsid w:val="001834AD"/>
    <w:rsid w:val="00190696"/>
    <w:rsid w:val="00190FE8"/>
    <w:rsid w:val="0019115F"/>
    <w:rsid w:val="00191D28"/>
    <w:rsid w:val="0019565F"/>
    <w:rsid w:val="001A0D4C"/>
    <w:rsid w:val="001A38A5"/>
    <w:rsid w:val="001A70FF"/>
    <w:rsid w:val="001B1B87"/>
    <w:rsid w:val="001B57C8"/>
    <w:rsid w:val="001C211F"/>
    <w:rsid w:val="001C3A25"/>
    <w:rsid w:val="001C5069"/>
    <w:rsid w:val="001D15ED"/>
    <w:rsid w:val="001D1B87"/>
    <w:rsid w:val="001D38D0"/>
    <w:rsid w:val="001D4177"/>
    <w:rsid w:val="001D5E7D"/>
    <w:rsid w:val="001D665D"/>
    <w:rsid w:val="001D6CA7"/>
    <w:rsid w:val="001E5838"/>
    <w:rsid w:val="001E5852"/>
    <w:rsid w:val="001F2736"/>
    <w:rsid w:val="001F31D4"/>
    <w:rsid w:val="001F495B"/>
    <w:rsid w:val="001F60CB"/>
    <w:rsid w:val="001F73DB"/>
    <w:rsid w:val="00203721"/>
    <w:rsid w:val="00203A9F"/>
    <w:rsid w:val="00206603"/>
    <w:rsid w:val="0021032B"/>
    <w:rsid w:val="00215768"/>
    <w:rsid w:val="002164B7"/>
    <w:rsid w:val="002176EC"/>
    <w:rsid w:val="002206D4"/>
    <w:rsid w:val="00227933"/>
    <w:rsid w:val="00230C06"/>
    <w:rsid w:val="0023207E"/>
    <w:rsid w:val="00232FDD"/>
    <w:rsid w:val="0023630D"/>
    <w:rsid w:val="00240C67"/>
    <w:rsid w:val="00240FD1"/>
    <w:rsid w:val="002421D1"/>
    <w:rsid w:val="0024236F"/>
    <w:rsid w:val="00242821"/>
    <w:rsid w:val="00242FED"/>
    <w:rsid w:val="00244713"/>
    <w:rsid w:val="002468BB"/>
    <w:rsid w:val="00251873"/>
    <w:rsid w:val="00256A83"/>
    <w:rsid w:val="002647BC"/>
    <w:rsid w:val="002708F6"/>
    <w:rsid w:val="00271E6B"/>
    <w:rsid w:val="002724A4"/>
    <w:rsid w:val="002725D1"/>
    <w:rsid w:val="00273115"/>
    <w:rsid w:val="00274C59"/>
    <w:rsid w:val="0027781D"/>
    <w:rsid w:val="00285155"/>
    <w:rsid w:val="00285EE5"/>
    <w:rsid w:val="00287FAF"/>
    <w:rsid w:val="002A043B"/>
    <w:rsid w:val="002A2131"/>
    <w:rsid w:val="002A27AB"/>
    <w:rsid w:val="002A4556"/>
    <w:rsid w:val="002A45E7"/>
    <w:rsid w:val="002A4F5D"/>
    <w:rsid w:val="002A7EB4"/>
    <w:rsid w:val="002B0F69"/>
    <w:rsid w:val="002B27CB"/>
    <w:rsid w:val="002B61AA"/>
    <w:rsid w:val="002C000E"/>
    <w:rsid w:val="002C1812"/>
    <w:rsid w:val="002C2D84"/>
    <w:rsid w:val="002C4282"/>
    <w:rsid w:val="002D4839"/>
    <w:rsid w:val="002D5B93"/>
    <w:rsid w:val="002D6286"/>
    <w:rsid w:val="002D6F65"/>
    <w:rsid w:val="002D7B81"/>
    <w:rsid w:val="002E11D0"/>
    <w:rsid w:val="002E1418"/>
    <w:rsid w:val="002E5A0C"/>
    <w:rsid w:val="002E7F8B"/>
    <w:rsid w:val="002F046E"/>
    <w:rsid w:val="002F72B1"/>
    <w:rsid w:val="003001C5"/>
    <w:rsid w:val="00301DEB"/>
    <w:rsid w:val="00301EA4"/>
    <w:rsid w:val="00306E08"/>
    <w:rsid w:val="00315D98"/>
    <w:rsid w:val="00315E8D"/>
    <w:rsid w:val="003173A2"/>
    <w:rsid w:val="0032300D"/>
    <w:rsid w:val="00324C3A"/>
    <w:rsid w:val="0033221A"/>
    <w:rsid w:val="00334DF9"/>
    <w:rsid w:val="0034057A"/>
    <w:rsid w:val="00341962"/>
    <w:rsid w:val="00342D66"/>
    <w:rsid w:val="00350A68"/>
    <w:rsid w:val="003515BF"/>
    <w:rsid w:val="00353FCF"/>
    <w:rsid w:val="00356A63"/>
    <w:rsid w:val="00360F11"/>
    <w:rsid w:val="0036122C"/>
    <w:rsid w:val="00362508"/>
    <w:rsid w:val="003634A2"/>
    <w:rsid w:val="003642DC"/>
    <w:rsid w:val="00367047"/>
    <w:rsid w:val="00367A0D"/>
    <w:rsid w:val="0037017C"/>
    <w:rsid w:val="0037118A"/>
    <w:rsid w:val="00374331"/>
    <w:rsid w:val="003756D1"/>
    <w:rsid w:val="00380F38"/>
    <w:rsid w:val="00384590"/>
    <w:rsid w:val="003930C4"/>
    <w:rsid w:val="003A2D18"/>
    <w:rsid w:val="003B0EAA"/>
    <w:rsid w:val="003C17F8"/>
    <w:rsid w:val="003C2973"/>
    <w:rsid w:val="003C40EF"/>
    <w:rsid w:val="003C508F"/>
    <w:rsid w:val="003C51AA"/>
    <w:rsid w:val="003C673E"/>
    <w:rsid w:val="003C76BC"/>
    <w:rsid w:val="003D06C8"/>
    <w:rsid w:val="003D0B82"/>
    <w:rsid w:val="003D0E44"/>
    <w:rsid w:val="003D34C1"/>
    <w:rsid w:val="003D711E"/>
    <w:rsid w:val="003E01A7"/>
    <w:rsid w:val="003E26BB"/>
    <w:rsid w:val="003E2C7A"/>
    <w:rsid w:val="003E30CB"/>
    <w:rsid w:val="003E3B63"/>
    <w:rsid w:val="003E3EE5"/>
    <w:rsid w:val="003E756E"/>
    <w:rsid w:val="003F119A"/>
    <w:rsid w:val="003F3396"/>
    <w:rsid w:val="00400120"/>
    <w:rsid w:val="00420B38"/>
    <w:rsid w:val="00423BE1"/>
    <w:rsid w:val="0042542A"/>
    <w:rsid w:val="00427EB1"/>
    <w:rsid w:val="0043095C"/>
    <w:rsid w:val="00431CED"/>
    <w:rsid w:val="004327B5"/>
    <w:rsid w:val="00436778"/>
    <w:rsid w:val="00437199"/>
    <w:rsid w:val="00441196"/>
    <w:rsid w:val="00443DFE"/>
    <w:rsid w:val="00445F36"/>
    <w:rsid w:val="004469C9"/>
    <w:rsid w:val="00451D43"/>
    <w:rsid w:val="00452950"/>
    <w:rsid w:val="00453D98"/>
    <w:rsid w:val="00457AD2"/>
    <w:rsid w:val="00457B01"/>
    <w:rsid w:val="00457D6C"/>
    <w:rsid w:val="004601FD"/>
    <w:rsid w:val="00461B18"/>
    <w:rsid w:val="00464288"/>
    <w:rsid w:val="00464347"/>
    <w:rsid w:val="0046654B"/>
    <w:rsid w:val="0047241F"/>
    <w:rsid w:val="00472BF9"/>
    <w:rsid w:val="00476AF4"/>
    <w:rsid w:val="0048445B"/>
    <w:rsid w:val="004876CD"/>
    <w:rsid w:val="0049161D"/>
    <w:rsid w:val="004A4EF9"/>
    <w:rsid w:val="004A508E"/>
    <w:rsid w:val="004B071F"/>
    <w:rsid w:val="004B0735"/>
    <w:rsid w:val="004B173B"/>
    <w:rsid w:val="004B522E"/>
    <w:rsid w:val="004B6625"/>
    <w:rsid w:val="004B730F"/>
    <w:rsid w:val="004C124F"/>
    <w:rsid w:val="004C2E02"/>
    <w:rsid w:val="004C420D"/>
    <w:rsid w:val="004C6A0D"/>
    <w:rsid w:val="004D1C63"/>
    <w:rsid w:val="004D45B3"/>
    <w:rsid w:val="004D5E89"/>
    <w:rsid w:val="004E0109"/>
    <w:rsid w:val="004E2FB4"/>
    <w:rsid w:val="004E6606"/>
    <w:rsid w:val="004E67D2"/>
    <w:rsid w:val="004F029D"/>
    <w:rsid w:val="004F44CF"/>
    <w:rsid w:val="004F7A87"/>
    <w:rsid w:val="005012DE"/>
    <w:rsid w:val="0050381C"/>
    <w:rsid w:val="00507258"/>
    <w:rsid w:val="00510850"/>
    <w:rsid w:val="00510D73"/>
    <w:rsid w:val="00515E97"/>
    <w:rsid w:val="00520BE7"/>
    <w:rsid w:val="0052150C"/>
    <w:rsid w:val="00522564"/>
    <w:rsid w:val="005359BD"/>
    <w:rsid w:val="00540091"/>
    <w:rsid w:val="00540F65"/>
    <w:rsid w:val="0054217E"/>
    <w:rsid w:val="00543855"/>
    <w:rsid w:val="00543DD7"/>
    <w:rsid w:val="00544D46"/>
    <w:rsid w:val="00563648"/>
    <w:rsid w:val="0056431F"/>
    <w:rsid w:val="00567716"/>
    <w:rsid w:val="00567B03"/>
    <w:rsid w:val="00567F34"/>
    <w:rsid w:val="005742EB"/>
    <w:rsid w:val="005817BF"/>
    <w:rsid w:val="005820A2"/>
    <w:rsid w:val="00585582"/>
    <w:rsid w:val="00587491"/>
    <w:rsid w:val="0058753B"/>
    <w:rsid w:val="00592104"/>
    <w:rsid w:val="00592294"/>
    <w:rsid w:val="0059673C"/>
    <w:rsid w:val="005A501B"/>
    <w:rsid w:val="005B1350"/>
    <w:rsid w:val="005B57E6"/>
    <w:rsid w:val="005B5B48"/>
    <w:rsid w:val="005B6A47"/>
    <w:rsid w:val="005B7B31"/>
    <w:rsid w:val="005D2837"/>
    <w:rsid w:val="005E3303"/>
    <w:rsid w:val="005E489E"/>
    <w:rsid w:val="005E4AC8"/>
    <w:rsid w:val="005E5751"/>
    <w:rsid w:val="005F003B"/>
    <w:rsid w:val="005F16A5"/>
    <w:rsid w:val="005F17B4"/>
    <w:rsid w:val="00604526"/>
    <w:rsid w:val="00604C3F"/>
    <w:rsid w:val="006079CC"/>
    <w:rsid w:val="0061677C"/>
    <w:rsid w:val="006219EA"/>
    <w:rsid w:val="00622A53"/>
    <w:rsid w:val="006314D5"/>
    <w:rsid w:val="00631880"/>
    <w:rsid w:val="006319AB"/>
    <w:rsid w:val="006325CB"/>
    <w:rsid w:val="00632957"/>
    <w:rsid w:val="00636396"/>
    <w:rsid w:val="00637787"/>
    <w:rsid w:val="00641AD7"/>
    <w:rsid w:val="006434C9"/>
    <w:rsid w:val="006447D4"/>
    <w:rsid w:val="00646C4C"/>
    <w:rsid w:val="006528E9"/>
    <w:rsid w:val="00663859"/>
    <w:rsid w:val="00667F04"/>
    <w:rsid w:val="00673C02"/>
    <w:rsid w:val="00680334"/>
    <w:rsid w:val="006962C0"/>
    <w:rsid w:val="006A0510"/>
    <w:rsid w:val="006A2015"/>
    <w:rsid w:val="006A3C10"/>
    <w:rsid w:val="006B0586"/>
    <w:rsid w:val="006B1DE7"/>
    <w:rsid w:val="006B310F"/>
    <w:rsid w:val="006B3248"/>
    <w:rsid w:val="006B6740"/>
    <w:rsid w:val="006C0DB0"/>
    <w:rsid w:val="006C1017"/>
    <w:rsid w:val="006C2A83"/>
    <w:rsid w:val="006C3902"/>
    <w:rsid w:val="006D27FD"/>
    <w:rsid w:val="006D29D8"/>
    <w:rsid w:val="006D45A9"/>
    <w:rsid w:val="006D6115"/>
    <w:rsid w:val="006D64C5"/>
    <w:rsid w:val="006E3DA3"/>
    <w:rsid w:val="006E5FB9"/>
    <w:rsid w:val="006E64B2"/>
    <w:rsid w:val="006E7BA1"/>
    <w:rsid w:val="006F1434"/>
    <w:rsid w:val="006F1A15"/>
    <w:rsid w:val="007026BD"/>
    <w:rsid w:val="00702C72"/>
    <w:rsid w:val="00703111"/>
    <w:rsid w:val="00703B3E"/>
    <w:rsid w:val="00704DC4"/>
    <w:rsid w:val="00710718"/>
    <w:rsid w:val="00712C6C"/>
    <w:rsid w:val="00715C60"/>
    <w:rsid w:val="00716D2D"/>
    <w:rsid w:val="007258D3"/>
    <w:rsid w:val="00733711"/>
    <w:rsid w:val="00744C87"/>
    <w:rsid w:val="0074792C"/>
    <w:rsid w:val="00750390"/>
    <w:rsid w:val="00752AEE"/>
    <w:rsid w:val="00752D2F"/>
    <w:rsid w:val="00753ABE"/>
    <w:rsid w:val="00754401"/>
    <w:rsid w:val="00755BBB"/>
    <w:rsid w:val="0076447D"/>
    <w:rsid w:val="00764A5E"/>
    <w:rsid w:val="0076715A"/>
    <w:rsid w:val="00775BBA"/>
    <w:rsid w:val="007813DF"/>
    <w:rsid w:val="00782135"/>
    <w:rsid w:val="007823A8"/>
    <w:rsid w:val="007830D2"/>
    <w:rsid w:val="00783EAC"/>
    <w:rsid w:val="00784C5E"/>
    <w:rsid w:val="00786C49"/>
    <w:rsid w:val="00790CD8"/>
    <w:rsid w:val="00791BE7"/>
    <w:rsid w:val="007A3A84"/>
    <w:rsid w:val="007A45B8"/>
    <w:rsid w:val="007A60E6"/>
    <w:rsid w:val="007A6AB4"/>
    <w:rsid w:val="007A793C"/>
    <w:rsid w:val="007B13BC"/>
    <w:rsid w:val="007B1B54"/>
    <w:rsid w:val="007B22FE"/>
    <w:rsid w:val="007B3FF9"/>
    <w:rsid w:val="007B6343"/>
    <w:rsid w:val="007B7FC4"/>
    <w:rsid w:val="007C61A8"/>
    <w:rsid w:val="007C63B5"/>
    <w:rsid w:val="007D5380"/>
    <w:rsid w:val="007E10DF"/>
    <w:rsid w:val="007E1528"/>
    <w:rsid w:val="007E4F84"/>
    <w:rsid w:val="007E6690"/>
    <w:rsid w:val="007F7DE8"/>
    <w:rsid w:val="00801D21"/>
    <w:rsid w:val="00804C3A"/>
    <w:rsid w:val="00805DAF"/>
    <w:rsid w:val="00820248"/>
    <w:rsid w:val="008207D8"/>
    <w:rsid w:val="00823D75"/>
    <w:rsid w:val="00825576"/>
    <w:rsid w:val="00826AA8"/>
    <w:rsid w:val="00833DA8"/>
    <w:rsid w:val="0083434F"/>
    <w:rsid w:val="00837CB8"/>
    <w:rsid w:val="008449DC"/>
    <w:rsid w:val="008465BD"/>
    <w:rsid w:val="008513E8"/>
    <w:rsid w:val="00854449"/>
    <w:rsid w:val="00855A85"/>
    <w:rsid w:val="0085625B"/>
    <w:rsid w:val="00856628"/>
    <w:rsid w:val="0085780D"/>
    <w:rsid w:val="00863092"/>
    <w:rsid w:val="00863E94"/>
    <w:rsid w:val="00864336"/>
    <w:rsid w:val="00864358"/>
    <w:rsid w:val="00871BE5"/>
    <w:rsid w:val="0087294C"/>
    <w:rsid w:val="008768DC"/>
    <w:rsid w:val="00877D62"/>
    <w:rsid w:val="0088116F"/>
    <w:rsid w:val="00885462"/>
    <w:rsid w:val="00891060"/>
    <w:rsid w:val="00891DB3"/>
    <w:rsid w:val="00894B1E"/>
    <w:rsid w:val="0089564F"/>
    <w:rsid w:val="00896865"/>
    <w:rsid w:val="008A311B"/>
    <w:rsid w:val="008A566C"/>
    <w:rsid w:val="008B3AE8"/>
    <w:rsid w:val="008B401B"/>
    <w:rsid w:val="008B7ECA"/>
    <w:rsid w:val="008C19B1"/>
    <w:rsid w:val="008C26E2"/>
    <w:rsid w:val="008C5242"/>
    <w:rsid w:val="008C6DB3"/>
    <w:rsid w:val="008D0BD4"/>
    <w:rsid w:val="008D1C02"/>
    <w:rsid w:val="008D2A8E"/>
    <w:rsid w:val="008D2B9A"/>
    <w:rsid w:val="008E564D"/>
    <w:rsid w:val="008E6123"/>
    <w:rsid w:val="008F3DA4"/>
    <w:rsid w:val="008F568C"/>
    <w:rsid w:val="008F6781"/>
    <w:rsid w:val="008F702D"/>
    <w:rsid w:val="009019BD"/>
    <w:rsid w:val="00903DE4"/>
    <w:rsid w:val="0090400C"/>
    <w:rsid w:val="00904680"/>
    <w:rsid w:val="0090545A"/>
    <w:rsid w:val="009057E0"/>
    <w:rsid w:val="009059B6"/>
    <w:rsid w:val="00911994"/>
    <w:rsid w:val="00911EDD"/>
    <w:rsid w:val="009120C3"/>
    <w:rsid w:val="00912C2D"/>
    <w:rsid w:val="009138B1"/>
    <w:rsid w:val="00915789"/>
    <w:rsid w:val="009170E2"/>
    <w:rsid w:val="00917CF8"/>
    <w:rsid w:val="0092012D"/>
    <w:rsid w:val="0092014C"/>
    <w:rsid w:val="0092523A"/>
    <w:rsid w:val="009318C6"/>
    <w:rsid w:val="009401D3"/>
    <w:rsid w:val="00941368"/>
    <w:rsid w:val="0094252F"/>
    <w:rsid w:val="00943586"/>
    <w:rsid w:val="00943B9F"/>
    <w:rsid w:val="00943D58"/>
    <w:rsid w:val="009475DC"/>
    <w:rsid w:val="0095417F"/>
    <w:rsid w:val="0096019C"/>
    <w:rsid w:val="00964A36"/>
    <w:rsid w:val="009664C9"/>
    <w:rsid w:val="00967114"/>
    <w:rsid w:val="00967DB2"/>
    <w:rsid w:val="0097273C"/>
    <w:rsid w:val="00972F72"/>
    <w:rsid w:val="0097329C"/>
    <w:rsid w:val="00975EDA"/>
    <w:rsid w:val="00976538"/>
    <w:rsid w:val="00985C99"/>
    <w:rsid w:val="00986471"/>
    <w:rsid w:val="00990261"/>
    <w:rsid w:val="00993524"/>
    <w:rsid w:val="00997664"/>
    <w:rsid w:val="009A120D"/>
    <w:rsid w:val="009A1EC7"/>
    <w:rsid w:val="009A6246"/>
    <w:rsid w:val="009A6981"/>
    <w:rsid w:val="009A6E74"/>
    <w:rsid w:val="009C1A14"/>
    <w:rsid w:val="009C2A46"/>
    <w:rsid w:val="009C2B75"/>
    <w:rsid w:val="009C2BFA"/>
    <w:rsid w:val="009C3BB8"/>
    <w:rsid w:val="009C695C"/>
    <w:rsid w:val="009D0442"/>
    <w:rsid w:val="009D12B0"/>
    <w:rsid w:val="009D466C"/>
    <w:rsid w:val="009D52F6"/>
    <w:rsid w:val="009D67BF"/>
    <w:rsid w:val="009E120E"/>
    <w:rsid w:val="009E5960"/>
    <w:rsid w:val="009E6D9D"/>
    <w:rsid w:val="00A02C81"/>
    <w:rsid w:val="00A02FC1"/>
    <w:rsid w:val="00A04751"/>
    <w:rsid w:val="00A04D1C"/>
    <w:rsid w:val="00A06796"/>
    <w:rsid w:val="00A11193"/>
    <w:rsid w:val="00A11B1A"/>
    <w:rsid w:val="00A14DAE"/>
    <w:rsid w:val="00A21F3B"/>
    <w:rsid w:val="00A240D1"/>
    <w:rsid w:val="00A310CB"/>
    <w:rsid w:val="00A364A0"/>
    <w:rsid w:val="00A3731C"/>
    <w:rsid w:val="00A37E5D"/>
    <w:rsid w:val="00A40CB8"/>
    <w:rsid w:val="00A40FB1"/>
    <w:rsid w:val="00A531A8"/>
    <w:rsid w:val="00A62F67"/>
    <w:rsid w:val="00A630BE"/>
    <w:rsid w:val="00A669B7"/>
    <w:rsid w:val="00A709F3"/>
    <w:rsid w:val="00A714BF"/>
    <w:rsid w:val="00A71A6D"/>
    <w:rsid w:val="00A73FFC"/>
    <w:rsid w:val="00A765B3"/>
    <w:rsid w:val="00A76E51"/>
    <w:rsid w:val="00A775D0"/>
    <w:rsid w:val="00A77DBF"/>
    <w:rsid w:val="00A83150"/>
    <w:rsid w:val="00A91B57"/>
    <w:rsid w:val="00A948FC"/>
    <w:rsid w:val="00AA2A6D"/>
    <w:rsid w:val="00AA4CAA"/>
    <w:rsid w:val="00AB0933"/>
    <w:rsid w:val="00AC4911"/>
    <w:rsid w:val="00AC5A57"/>
    <w:rsid w:val="00AD2E45"/>
    <w:rsid w:val="00AD2ED1"/>
    <w:rsid w:val="00AD78C5"/>
    <w:rsid w:val="00AE274E"/>
    <w:rsid w:val="00AE2DAC"/>
    <w:rsid w:val="00AE34D9"/>
    <w:rsid w:val="00AE639B"/>
    <w:rsid w:val="00AE7359"/>
    <w:rsid w:val="00AF1283"/>
    <w:rsid w:val="00AF1349"/>
    <w:rsid w:val="00AF1D78"/>
    <w:rsid w:val="00AF6BB4"/>
    <w:rsid w:val="00AF79BD"/>
    <w:rsid w:val="00B0067D"/>
    <w:rsid w:val="00B046CC"/>
    <w:rsid w:val="00B106A9"/>
    <w:rsid w:val="00B142A0"/>
    <w:rsid w:val="00B310B2"/>
    <w:rsid w:val="00B32136"/>
    <w:rsid w:val="00B353ED"/>
    <w:rsid w:val="00B356B1"/>
    <w:rsid w:val="00B43886"/>
    <w:rsid w:val="00B5373F"/>
    <w:rsid w:val="00B54A2E"/>
    <w:rsid w:val="00B54D8D"/>
    <w:rsid w:val="00B55A07"/>
    <w:rsid w:val="00B55F19"/>
    <w:rsid w:val="00B56AD8"/>
    <w:rsid w:val="00B6268A"/>
    <w:rsid w:val="00B6271E"/>
    <w:rsid w:val="00B6346C"/>
    <w:rsid w:val="00B65123"/>
    <w:rsid w:val="00B80C08"/>
    <w:rsid w:val="00B81CC4"/>
    <w:rsid w:val="00B85635"/>
    <w:rsid w:val="00B8574A"/>
    <w:rsid w:val="00B925F4"/>
    <w:rsid w:val="00B94489"/>
    <w:rsid w:val="00B965C1"/>
    <w:rsid w:val="00BA0798"/>
    <w:rsid w:val="00BA2B4F"/>
    <w:rsid w:val="00BA32DB"/>
    <w:rsid w:val="00BA6A9E"/>
    <w:rsid w:val="00BB69EA"/>
    <w:rsid w:val="00BC0294"/>
    <w:rsid w:val="00BC5B97"/>
    <w:rsid w:val="00BD037D"/>
    <w:rsid w:val="00BD24EF"/>
    <w:rsid w:val="00BD4F9D"/>
    <w:rsid w:val="00BD525B"/>
    <w:rsid w:val="00BD5CDA"/>
    <w:rsid w:val="00BD6621"/>
    <w:rsid w:val="00BE1F70"/>
    <w:rsid w:val="00BE27BB"/>
    <w:rsid w:val="00BE4B48"/>
    <w:rsid w:val="00BE5072"/>
    <w:rsid w:val="00BE7170"/>
    <w:rsid w:val="00BF3FE0"/>
    <w:rsid w:val="00C000A5"/>
    <w:rsid w:val="00C048D9"/>
    <w:rsid w:val="00C06B80"/>
    <w:rsid w:val="00C06E97"/>
    <w:rsid w:val="00C075AB"/>
    <w:rsid w:val="00C1435A"/>
    <w:rsid w:val="00C2196F"/>
    <w:rsid w:val="00C23074"/>
    <w:rsid w:val="00C2575B"/>
    <w:rsid w:val="00C333C2"/>
    <w:rsid w:val="00C3399C"/>
    <w:rsid w:val="00C37720"/>
    <w:rsid w:val="00C37B43"/>
    <w:rsid w:val="00C415FA"/>
    <w:rsid w:val="00C41D23"/>
    <w:rsid w:val="00C42E46"/>
    <w:rsid w:val="00C46B6D"/>
    <w:rsid w:val="00C502DB"/>
    <w:rsid w:val="00C51017"/>
    <w:rsid w:val="00C51335"/>
    <w:rsid w:val="00C563C4"/>
    <w:rsid w:val="00C564FA"/>
    <w:rsid w:val="00C56DE0"/>
    <w:rsid w:val="00C60C59"/>
    <w:rsid w:val="00C641EB"/>
    <w:rsid w:val="00C7235A"/>
    <w:rsid w:val="00C758EB"/>
    <w:rsid w:val="00C84985"/>
    <w:rsid w:val="00C90067"/>
    <w:rsid w:val="00C91329"/>
    <w:rsid w:val="00CA08AA"/>
    <w:rsid w:val="00CB0871"/>
    <w:rsid w:val="00CB1960"/>
    <w:rsid w:val="00CB7553"/>
    <w:rsid w:val="00CC66B2"/>
    <w:rsid w:val="00CC7491"/>
    <w:rsid w:val="00CD1051"/>
    <w:rsid w:val="00CD22E9"/>
    <w:rsid w:val="00CD3DE5"/>
    <w:rsid w:val="00CD46D6"/>
    <w:rsid w:val="00CD7A59"/>
    <w:rsid w:val="00CE29BD"/>
    <w:rsid w:val="00CE4891"/>
    <w:rsid w:val="00CE65EF"/>
    <w:rsid w:val="00CE6A6F"/>
    <w:rsid w:val="00CE7A2C"/>
    <w:rsid w:val="00CF05DF"/>
    <w:rsid w:val="00CF5A14"/>
    <w:rsid w:val="00CF5E51"/>
    <w:rsid w:val="00CF7810"/>
    <w:rsid w:val="00D01AEA"/>
    <w:rsid w:val="00D01B61"/>
    <w:rsid w:val="00D0353D"/>
    <w:rsid w:val="00D05E0A"/>
    <w:rsid w:val="00D07486"/>
    <w:rsid w:val="00D1007A"/>
    <w:rsid w:val="00D1053A"/>
    <w:rsid w:val="00D105F4"/>
    <w:rsid w:val="00D10BA0"/>
    <w:rsid w:val="00D11C78"/>
    <w:rsid w:val="00D12217"/>
    <w:rsid w:val="00D174D3"/>
    <w:rsid w:val="00D21A00"/>
    <w:rsid w:val="00D21C40"/>
    <w:rsid w:val="00D225E7"/>
    <w:rsid w:val="00D255C6"/>
    <w:rsid w:val="00D25CE0"/>
    <w:rsid w:val="00D26E9D"/>
    <w:rsid w:val="00D3185A"/>
    <w:rsid w:val="00D4035D"/>
    <w:rsid w:val="00D42597"/>
    <w:rsid w:val="00D45ECD"/>
    <w:rsid w:val="00D475F8"/>
    <w:rsid w:val="00D54421"/>
    <w:rsid w:val="00D57752"/>
    <w:rsid w:val="00D607F6"/>
    <w:rsid w:val="00D60CC5"/>
    <w:rsid w:val="00D6188E"/>
    <w:rsid w:val="00D6478A"/>
    <w:rsid w:val="00D64AC8"/>
    <w:rsid w:val="00D65C6F"/>
    <w:rsid w:val="00D7200E"/>
    <w:rsid w:val="00D7720C"/>
    <w:rsid w:val="00D853F5"/>
    <w:rsid w:val="00D855A9"/>
    <w:rsid w:val="00D8740A"/>
    <w:rsid w:val="00D91479"/>
    <w:rsid w:val="00D941DB"/>
    <w:rsid w:val="00D95503"/>
    <w:rsid w:val="00DA27C8"/>
    <w:rsid w:val="00DA3B1B"/>
    <w:rsid w:val="00DB605D"/>
    <w:rsid w:val="00DB64E7"/>
    <w:rsid w:val="00DC1B17"/>
    <w:rsid w:val="00DC4023"/>
    <w:rsid w:val="00DC696C"/>
    <w:rsid w:val="00DD02AC"/>
    <w:rsid w:val="00DD04D5"/>
    <w:rsid w:val="00DD3357"/>
    <w:rsid w:val="00DD4626"/>
    <w:rsid w:val="00DD5505"/>
    <w:rsid w:val="00DD61B9"/>
    <w:rsid w:val="00DD7B88"/>
    <w:rsid w:val="00DE0B43"/>
    <w:rsid w:val="00DE2795"/>
    <w:rsid w:val="00DE483A"/>
    <w:rsid w:val="00DE76B4"/>
    <w:rsid w:val="00DF1F76"/>
    <w:rsid w:val="00DF66B2"/>
    <w:rsid w:val="00E00922"/>
    <w:rsid w:val="00E0662D"/>
    <w:rsid w:val="00E06C49"/>
    <w:rsid w:val="00E14EA6"/>
    <w:rsid w:val="00E153ED"/>
    <w:rsid w:val="00E20744"/>
    <w:rsid w:val="00E20F1A"/>
    <w:rsid w:val="00E24284"/>
    <w:rsid w:val="00E257EC"/>
    <w:rsid w:val="00E25960"/>
    <w:rsid w:val="00E37272"/>
    <w:rsid w:val="00E44507"/>
    <w:rsid w:val="00E457CF"/>
    <w:rsid w:val="00E46539"/>
    <w:rsid w:val="00E46D9A"/>
    <w:rsid w:val="00E47403"/>
    <w:rsid w:val="00E505AA"/>
    <w:rsid w:val="00E53FC4"/>
    <w:rsid w:val="00E62293"/>
    <w:rsid w:val="00E6389C"/>
    <w:rsid w:val="00E64061"/>
    <w:rsid w:val="00E6598C"/>
    <w:rsid w:val="00E713E6"/>
    <w:rsid w:val="00E75D4F"/>
    <w:rsid w:val="00E7755D"/>
    <w:rsid w:val="00E83D83"/>
    <w:rsid w:val="00E95949"/>
    <w:rsid w:val="00E967BD"/>
    <w:rsid w:val="00EA3D15"/>
    <w:rsid w:val="00EB0B6A"/>
    <w:rsid w:val="00EB2467"/>
    <w:rsid w:val="00EB2667"/>
    <w:rsid w:val="00EB26FC"/>
    <w:rsid w:val="00EB33F2"/>
    <w:rsid w:val="00EB359D"/>
    <w:rsid w:val="00EB69EE"/>
    <w:rsid w:val="00EC3A2D"/>
    <w:rsid w:val="00EC3E84"/>
    <w:rsid w:val="00EC502B"/>
    <w:rsid w:val="00EC5F5A"/>
    <w:rsid w:val="00EC70F6"/>
    <w:rsid w:val="00ED5316"/>
    <w:rsid w:val="00ED5347"/>
    <w:rsid w:val="00EE0B2D"/>
    <w:rsid w:val="00EE4825"/>
    <w:rsid w:val="00EE4E38"/>
    <w:rsid w:val="00EE7BFF"/>
    <w:rsid w:val="00EF043A"/>
    <w:rsid w:val="00EF6F5E"/>
    <w:rsid w:val="00EF7139"/>
    <w:rsid w:val="00EF78B3"/>
    <w:rsid w:val="00F00951"/>
    <w:rsid w:val="00F00B42"/>
    <w:rsid w:val="00F1085B"/>
    <w:rsid w:val="00F12218"/>
    <w:rsid w:val="00F14DD5"/>
    <w:rsid w:val="00F20611"/>
    <w:rsid w:val="00F2440A"/>
    <w:rsid w:val="00F273BA"/>
    <w:rsid w:val="00F327A4"/>
    <w:rsid w:val="00F33731"/>
    <w:rsid w:val="00F33DA6"/>
    <w:rsid w:val="00F416EC"/>
    <w:rsid w:val="00F42B4A"/>
    <w:rsid w:val="00F43C83"/>
    <w:rsid w:val="00F44A47"/>
    <w:rsid w:val="00F55D8C"/>
    <w:rsid w:val="00F56212"/>
    <w:rsid w:val="00F57F83"/>
    <w:rsid w:val="00F64F12"/>
    <w:rsid w:val="00F66EDD"/>
    <w:rsid w:val="00F66FA7"/>
    <w:rsid w:val="00F75EFF"/>
    <w:rsid w:val="00F8117C"/>
    <w:rsid w:val="00F811AB"/>
    <w:rsid w:val="00F8192D"/>
    <w:rsid w:val="00F81D56"/>
    <w:rsid w:val="00F8244E"/>
    <w:rsid w:val="00F83D77"/>
    <w:rsid w:val="00F83F9A"/>
    <w:rsid w:val="00F85163"/>
    <w:rsid w:val="00F86E7F"/>
    <w:rsid w:val="00F877D0"/>
    <w:rsid w:val="00F916E1"/>
    <w:rsid w:val="00F92806"/>
    <w:rsid w:val="00F975A2"/>
    <w:rsid w:val="00FB173B"/>
    <w:rsid w:val="00FB1C3A"/>
    <w:rsid w:val="00FB42D8"/>
    <w:rsid w:val="00FB70F8"/>
    <w:rsid w:val="00FC18CF"/>
    <w:rsid w:val="00FC76E4"/>
    <w:rsid w:val="00FD1366"/>
    <w:rsid w:val="00FD1D91"/>
    <w:rsid w:val="00FD1EA0"/>
    <w:rsid w:val="00FD2C6F"/>
    <w:rsid w:val="00FD3846"/>
    <w:rsid w:val="00FD4808"/>
    <w:rsid w:val="00FD59B9"/>
    <w:rsid w:val="00FD61DB"/>
    <w:rsid w:val="00FD62BC"/>
    <w:rsid w:val="00FE1B6B"/>
    <w:rsid w:val="00FE642B"/>
    <w:rsid w:val="00FF02E3"/>
    <w:rsid w:val="00FF5BEA"/>
    <w:rsid w:val="00FF622E"/>
    <w:rsid w:val="00FF7017"/>
    <w:rsid w:val="00FF703C"/>
    <w:rsid w:val="00FF7AE5"/>
    <w:rsid w:val="00FF7F88"/>
    <w:rsid w:val="01758727"/>
    <w:rsid w:val="01E4428D"/>
    <w:rsid w:val="036542DA"/>
    <w:rsid w:val="03AFFE4E"/>
    <w:rsid w:val="03F50566"/>
    <w:rsid w:val="04285992"/>
    <w:rsid w:val="04343070"/>
    <w:rsid w:val="0458BD20"/>
    <w:rsid w:val="047BC964"/>
    <w:rsid w:val="065D499B"/>
    <w:rsid w:val="06BC1469"/>
    <w:rsid w:val="07630393"/>
    <w:rsid w:val="0790E871"/>
    <w:rsid w:val="07CC1EE3"/>
    <w:rsid w:val="07E58E6D"/>
    <w:rsid w:val="09911142"/>
    <w:rsid w:val="0AD2E31C"/>
    <w:rsid w:val="0B852717"/>
    <w:rsid w:val="0C17F04D"/>
    <w:rsid w:val="0C32FF42"/>
    <w:rsid w:val="0D1CCE81"/>
    <w:rsid w:val="0D7CAAC9"/>
    <w:rsid w:val="0DF5DBDB"/>
    <w:rsid w:val="0EE0690C"/>
    <w:rsid w:val="10692F4A"/>
    <w:rsid w:val="11EEBDE4"/>
    <w:rsid w:val="12FE6589"/>
    <w:rsid w:val="13877840"/>
    <w:rsid w:val="13C7C712"/>
    <w:rsid w:val="13EFF011"/>
    <w:rsid w:val="14B6BAED"/>
    <w:rsid w:val="155E5B72"/>
    <w:rsid w:val="1646B979"/>
    <w:rsid w:val="1661711E"/>
    <w:rsid w:val="17006005"/>
    <w:rsid w:val="18EABB2E"/>
    <w:rsid w:val="19393176"/>
    <w:rsid w:val="19B2FBAD"/>
    <w:rsid w:val="1AE3C914"/>
    <w:rsid w:val="1C79E80B"/>
    <w:rsid w:val="1C7A7955"/>
    <w:rsid w:val="1C8FBA4E"/>
    <w:rsid w:val="1C940441"/>
    <w:rsid w:val="1D4C58CC"/>
    <w:rsid w:val="1D7C63D1"/>
    <w:rsid w:val="1E130883"/>
    <w:rsid w:val="1EA16532"/>
    <w:rsid w:val="1ECC9354"/>
    <w:rsid w:val="1F3B1F06"/>
    <w:rsid w:val="20A56CE5"/>
    <w:rsid w:val="20D6EF67"/>
    <w:rsid w:val="20EA5E9C"/>
    <w:rsid w:val="21A13527"/>
    <w:rsid w:val="21D346A2"/>
    <w:rsid w:val="220CA673"/>
    <w:rsid w:val="223383E1"/>
    <w:rsid w:val="229C2420"/>
    <w:rsid w:val="2396749A"/>
    <w:rsid w:val="2424D149"/>
    <w:rsid w:val="2437F481"/>
    <w:rsid w:val="24F32399"/>
    <w:rsid w:val="2528542D"/>
    <w:rsid w:val="253BD3D7"/>
    <w:rsid w:val="256F3209"/>
    <w:rsid w:val="2590141B"/>
    <w:rsid w:val="26350D1E"/>
    <w:rsid w:val="29601CCA"/>
    <w:rsid w:val="2A05B61E"/>
    <w:rsid w:val="2C865E8A"/>
    <w:rsid w:val="2D1E0860"/>
    <w:rsid w:val="2D97DAF1"/>
    <w:rsid w:val="2F36179D"/>
    <w:rsid w:val="2F381A73"/>
    <w:rsid w:val="2F4646EC"/>
    <w:rsid w:val="30183131"/>
    <w:rsid w:val="3074F7A2"/>
    <w:rsid w:val="308A2E88"/>
    <w:rsid w:val="3194F6DF"/>
    <w:rsid w:val="326FBB35"/>
    <w:rsid w:val="32F6A7B3"/>
    <w:rsid w:val="330A75F8"/>
    <w:rsid w:val="34207BB4"/>
    <w:rsid w:val="344F5395"/>
    <w:rsid w:val="3556BC58"/>
    <w:rsid w:val="35B26CD6"/>
    <w:rsid w:val="3605C7E8"/>
    <w:rsid w:val="36D6B151"/>
    <w:rsid w:val="36F224F4"/>
    <w:rsid w:val="3722C755"/>
    <w:rsid w:val="37BED3BC"/>
    <w:rsid w:val="37EFC58E"/>
    <w:rsid w:val="385017A8"/>
    <w:rsid w:val="387CF5C3"/>
    <w:rsid w:val="3973CC7A"/>
    <w:rsid w:val="3AE772D1"/>
    <w:rsid w:val="3B7F336C"/>
    <w:rsid w:val="3BF474E6"/>
    <w:rsid w:val="3C7CFD96"/>
    <w:rsid w:val="3CB91593"/>
    <w:rsid w:val="3CF652A6"/>
    <w:rsid w:val="3DD50965"/>
    <w:rsid w:val="3E50F25C"/>
    <w:rsid w:val="3E7E8BE6"/>
    <w:rsid w:val="3F0DF318"/>
    <w:rsid w:val="3F8593BD"/>
    <w:rsid w:val="4109073A"/>
    <w:rsid w:val="41AF3BFA"/>
    <w:rsid w:val="41EB30B4"/>
    <w:rsid w:val="45B05BC5"/>
    <w:rsid w:val="45C3BD13"/>
    <w:rsid w:val="45EA1C06"/>
    <w:rsid w:val="460DA28F"/>
    <w:rsid w:val="466E84D6"/>
    <w:rsid w:val="471AE92B"/>
    <w:rsid w:val="47F9313E"/>
    <w:rsid w:val="483126D0"/>
    <w:rsid w:val="48E1E2D6"/>
    <w:rsid w:val="4A6B67E7"/>
    <w:rsid w:val="4AFAFC34"/>
    <w:rsid w:val="4B257478"/>
    <w:rsid w:val="4C649877"/>
    <w:rsid w:val="4D0AF088"/>
    <w:rsid w:val="4D5A8722"/>
    <w:rsid w:val="4DB553F9"/>
    <w:rsid w:val="4E1D6A61"/>
    <w:rsid w:val="4E2611CD"/>
    <w:rsid w:val="4E904D0D"/>
    <w:rsid w:val="4E9465D6"/>
    <w:rsid w:val="4F1122DC"/>
    <w:rsid w:val="4FF3D453"/>
    <w:rsid w:val="505946F4"/>
    <w:rsid w:val="50B43E17"/>
    <w:rsid w:val="50B8D08F"/>
    <w:rsid w:val="517BFFA7"/>
    <w:rsid w:val="51E4FC60"/>
    <w:rsid w:val="52810782"/>
    <w:rsid w:val="528422B4"/>
    <w:rsid w:val="52C13A4B"/>
    <w:rsid w:val="53246143"/>
    <w:rsid w:val="535D14D8"/>
    <w:rsid w:val="53EBDED9"/>
    <w:rsid w:val="553DF2EE"/>
    <w:rsid w:val="5565AC1B"/>
    <w:rsid w:val="55AFB9FA"/>
    <w:rsid w:val="55EB0580"/>
    <w:rsid w:val="55EBC1D8"/>
    <w:rsid w:val="5622BB30"/>
    <w:rsid w:val="562B2116"/>
    <w:rsid w:val="5684DB71"/>
    <w:rsid w:val="56B97640"/>
    <w:rsid w:val="56BCA54A"/>
    <w:rsid w:val="56EBF1AD"/>
    <w:rsid w:val="574B6E11"/>
    <w:rsid w:val="57A20114"/>
    <w:rsid w:val="587E8D89"/>
    <w:rsid w:val="58A820D8"/>
    <w:rsid w:val="5907C50D"/>
    <w:rsid w:val="59DD256C"/>
    <w:rsid w:val="59E700DD"/>
    <w:rsid w:val="5A354D82"/>
    <w:rsid w:val="5B2C6453"/>
    <w:rsid w:val="5B588C54"/>
    <w:rsid w:val="5B6A1989"/>
    <w:rsid w:val="5CD5B799"/>
    <w:rsid w:val="5DDC9C02"/>
    <w:rsid w:val="5F13A29C"/>
    <w:rsid w:val="5FF7F79F"/>
    <w:rsid w:val="60CB048D"/>
    <w:rsid w:val="61BCC313"/>
    <w:rsid w:val="61E642D6"/>
    <w:rsid w:val="6266D4EE"/>
    <w:rsid w:val="64488251"/>
    <w:rsid w:val="64E6067D"/>
    <w:rsid w:val="659E75B0"/>
    <w:rsid w:val="65CF9402"/>
    <w:rsid w:val="65E39CE0"/>
    <w:rsid w:val="6649F0AA"/>
    <w:rsid w:val="66D6B55D"/>
    <w:rsid w:val="66F5A895"/>
    <w:rsid w:val="66F8CB90"/>
    <w:rsid w:val="67402F2A"/>
    <w:rsid w:val="67F00443"/>
    <w:rsid w:val="68E3C736"/>
    <w:rsid w:val="69CE49F8"/>
    <w:rsid w:val="6AB3FCCF"/>
    <w:rsid w:val="6ADEA952"/>
    <w:rsid w:val="6CBCE7DF"/>
    <w:rsid w:val="6CE2FCA3"/>
    <w:rsid w:val="6D017A27"/>
    <w:rsid w:val="6D02B4CF"/>
    <w:rsid w:val="6DC0C735"/>
    <w:rsid w:val="6EE03F14"/>
    <w:rsid w:val="6F609306"/>
    <w:rsid w:val="701419FC"/>
    <w:rsid w:val="7037E0C5"/>
    <w:rsid w:val="70858E88"/>
    <w:rsid w:val="7122FB87"/>
    <w:rsid w:val="71894164"/>
    <w:rsid w:val="721F8B8A"/>
    <w:rsid w:val="722D5E37"/>
    <w:rsid w:val="7313477D"/>
    <w:rsid w:val="73BD2F4A"/>
    <w:rsid w:val="73D061F7"/>
    <w:rsid w:val="74AB4B87"/>
    <w:rsid w:val="7617524B"/>
    <w:rsid w:val="784C6D5B"/>
    <w:rsid w:val="78E0C2A3"/>
    <w:rsid w:val="79A3DE68"/>
    <w:rsid w:val="79DA552D"/>
    <w:rsid w:val="7A26F8B6"/>
    <w:rsid w:val="7AF4AE93"/>
    <w:rsid w:val="7B11860F"/>
    <w:rsid w:val="7B37B458"/>
    <w:rsid w:val="7CFA256B"/>
    <w:rsid w:val="7D3F7A1B"/>
    <w:rsid w:val="7DEE2A96"/>
    <w:rsid w:val="7EE77E9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4DF7B"/>
  <w15:chartTrackingRefBased/>
  <w15:docId w15:val="{168E29D7-2734-4D2E-81B4-C4C05DC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paragraph" w:styleId="Heading5">
    <w:name w:val="heading 5"/>
    <w:basedOn w:val="Normal"/>
    <w:next w:val="Normal"/>
    <w:link w:val="Heading5Char"/>
    <w:uiPriority w:val="9"/>
    <w:semiHidden/>
    <w:unhideWhenUsed/>
    <w:qFormat/>
    <w:rsid w:val="007E66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Normal,Paragraph Lvl1,Normal text,List Paragraph1,Level 3,List Paragraph numbered,List Bullet indent,Rec para,FooterText,numbered,Paragraphe de liste1,Bulletr List Paragraph,列出段落,列出段落1,Listeafsnit1,Parágrafo da Lista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Normal Char,Paragraph Lvl1 Char,Normal text Char,List Paragraph1 Char,Level 3 Char,List Paragraph numbered Char,List Bullet indent Char,Rec para Char,FooterText Char,numbered Char,Paragraphe de liste1 Char"/>
    <w:basedOn w:val="DefaultParagraphFont"/>
    <w:link w:val="ListParagraph"/>
    <w:uiPriority w:val="99"/>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table" w:styleId="TableGrid">
    <w:name w:val="Table Grid"/>
    <w:basedOn w:val="TableNormal"/>
    <w:uiPriority w:val="39"/>
    <w:rsid w:val="0010512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12C"/>
    <w:rPr>
      <w:sz w:val="16"/>
      <w:szCs w:val="16"/>
    </w:rPr>
  </w:style>
  <w:style w:type="paragraph" w:styleId="CommentText">
    <w:name w:val="annotation text"/>
    <w:basedOn w:val="Normal"/>
    <w:link w:val="CommentTextChar"/>
    <w:uiPriority w:val="99"/>
    <w:unhideWhenUsed/>
    <w:rsid w:val="0010512C"/>
    <w:pPr>
      <w:suppressAutoHyphens/>
      <w:autoSpaceDE w:val="0"/>
      <w:autoSpaceDN w:val="0"/>
      <w:adjustRightInd w:val="0"/>
      <w:spacing w:before="120" w:after="0" w:line="240" w:lineRule="auto"/>
      <w:textAlignment w:val="center"/>
    </w:pPr>
    <w:rPr>
      <w:rFonts w:ascii="Segoe UI" w:eastAsia="Times New Roman" w:hAnsi="Segoe UI"/>
      <w:sz w:val="20"/>
      <w:szCs w:val="20"/>
      <w:lang w:eastAsia="en-NZ"/>
    </w:rPr>
  </w:style>
  <w:style w:type="character" w:customStyle="1" w:styleId="CommentTextChar">
    <w:name w:val="Comment Text Char"/>
    <w:basedOn w:val="DefaultParagraphFont"/>
    <w:link w:val="CommentText"/>
    <w:uiPriority w:val="99"/>
    <w:rsid w:val="0010512C"/>
    <w:rPr>
      <w:rFonts w:ascii="Segoe UI" w:eastAsia="Times New Roman" w:hAnsi="Segoe UI" w:cs="Arial"/>
      <w:sz w:val="20"/>
      <w:szCs w:val="20"/>
      <w:lang w:eastAsia="en-NZ"/>
    </w:rPr>
  </w:style>
  <w:style w:type="paragraph" w:styleId="NoSpacing">
    <w:name w:val="No Spacing"/>
    <w:aliases w:val="AP Text (no spacing)"/>
    <w:basedOn w:val="BodyText"/>
    <w:link w:val="NoSpacingChar"/>
    <w:uiPriority w:val="1"/>
    <w:qFormat/>
    <w:rsid w:val="0010512C"/>
    <w:pPr>
      <w:suppressAutoHyphens/>
      <w:autoSpaceDE w:val="0"/>
      <w:autoSpaceDN w:val="0"/>
      <w:adjustRightInd w:val="0"/>
      <w:spacing w:after="0" w:line="240" w:lineRule="auto"/>
      <w:textAlignment w:val="center"/>
    </w:pPr>
    <w:rPr>
      <w:rFonts w:ascii="Segoe UI" w:eastAsia="Times New Roman" w:hAnsi="Segoe UI"/>
      <w:sz w:val="20"/>
      <w:szCs w:val="20"/>
      <w:lang w:eastAsia="en-NZ"/>
    </w:rPr>
  </w:style>
  <w:style w:type="character" w:customStyle="1" w:styleId="NoSpacingChar">
    <w:name w:val="No Spacing Char"/>
    <w:aliases w:val="AP Text (no spacing) Char"/>
    <w:basedOn w:val="DefaultParagraphFont"/>
    <w:link w:val="NoSpacing"/>
    <w:uiPriority w:val="1"/>
    <w:rsid w:val="0010512C"/>
    <w:rPr>
      <w:rFonts w:ascii="Segoe UI" w:eastAsia="Times New Roman" w:hAnsi="Segoe UI" w:cs="Arial"/>
      <w:sz w:val="20"/>
      <w:szCs w:val="20"/>
      <w:lang w:eastAsia="en-NZ"/>
    </w:rPr>
  </w:style>
  <w:style w:type="character" w:styleId="Hyperlink">
    <w:name w:val="Hyperlink"/>
    <w:basedOn w:val="DefaultParagraphFont"/>
    <w:uiPriority w:val="99"/>
    <w:unhideWhenUsed/>
    <w:rsid w:val="0010512C"/>
    <w:rPr>
      <w:color w:val="0000FF"/>
      <w:u w:val="single"/>
    </w:rPr>
  </w:style>
  <w:style w:type="character" w:customStyle="1" w:styleId="normaltextrun">
    <w:name w:val="normaltextrun"/>
    <w:basedOn w:val="DefaultParagraphFont"/>
    <w:rsid w:val="0010512C"/>
  </w:style>
  <w:style w:type="paragraph" w:customStyle="1" w:styleId="paragraph">
    <w:name w:val="paragraph"/>
    <w:basedOn w:val="Normal"/>
    <w:rsid w:val="0010512C"/>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eop">
    <w:name w:val="eop"/>
    <w:basedOn w:val="DefaultParagraphFont"/>
    <w:rsid w:val="0010512C"/>
  </w:style>
  <w:style w:type="paragraph" w:styleId="BodyText">
    <w:name w:val="Body Text"/>
    <w:basedOn w:val="Normal"/>
    <w:link w:val="BodyTextChar"/>
    <w:uiPriority w:val="99"/>
    <w:semiHidden/>
    <w:unhideWhenUsed/>
    <w:rsid w:val="0010512C"/>
    <w:pPr>
      <w:spacing w:after="120"/>
    </w:pPr>
  </w:style>
  <w:style w:type="character" w:customStyle="1" w:styleId="BodyTextChar">
    <w:name w:val="Body Text Char"/>
    <w:basedOn w:val="DefaultParagraphFont"/>
    <w:link w:val="BodyText"/>
    <w:uiPriority w:val="99"/>
    <w:semiHidden/>
    <w:rsid w:val="0010512C"/>
    <w:rPr>
      <w:rFonts w:ascii="Arial" w:hAnsi="Arial" w:cs="Arial"/>
      <w:sz w:val="24"/>
      <w:szCs w:val="24"/>
    </w:rPr>
  </w:style>
  <w:style w:type="character" w:styleId="UnresolvedMention">
    <w:name w:val="Unresolved Mention"/>
    <w:basedOn w:val="DefaultParagraphFont"/>
    <w:uiPriority w:val="99"/>
    <w:unhideWhenUsed/>
    <w:rsid w:val="001051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85EE5"/>
    <w:pPr>
      <w:suppressAutoHyphens w:val="0"/>
      <w:autoSpaceDE/>
      <w:autoSpaceDN/>
      <w:adjustRightInd/>
      <w:spacing w:before="0" w:after="160"/>
      <w:textAlignment w:val="auto"/>
    </w:pPr>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285EE5"/>
    <w:rPr>
      <w:rFonts w:ascii="Arial" w:eastAsia="Times New Roman" w:hAnsi="Arial" w:cs="Arial"/>
      <w:b/>
      <w:bCs/>
      <w:sz w:val="20"/>
      <w:szCs w:val="20"/>
      <w:lang w:eastAsia="en-NZ"/>
    </w:rPr>
  </w:style>
  <w:style w:type="character" w:styleId="Mention">
    <w:name w:val="Mention"/>
    <w:basedOn w:val="DefaultParagraphFont"/>
    <w:uiPriority w:val="99"/>
    <w:unhideWhenUsed/>
    <w:rsid w:val="009C1A14"/>
    <w:rPr>
      <w:color w:val="2B579A"/>
      <w:shd w:val="clear" w:color="auto" w:fill="E1DFDD"/>
    </w:rPr>
  </w:style>
  <w:style w:type="character" w:customStyle="1" w:styleId="Heading5Char">
    <w:name w:val="Heading 5 Char"/>
    <w:basedOn w:val="DefaultParagraphFont"/>
    <w:link w:val="Heading5"/>
    <w:uiPriority w:val="9"/>
    <w:semiHidden/>
    <w:rsid w:val="007E6690"/>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7E6690"/>
    <w:rPr>
      <w:b/>
      <w:bCs/>
    </w:rPr>
  </w:style>
  <w:style w:type="paragraph" w:styleId="NormalWeb">
    <w:name w:val="Normal (Web)"/>
    <w:basedOn w:val="Normal"/>
    <w:uiPriority w:val="99"/>
    <w:semiHidden/>
    <w:unhideWhenUsed/>
    <w:rsid w:val="007E6690"/>
    <w:pPr>
      <w:spacing w:before="100" w:beforeAutospacing="1" w:after="100" w:afterAutospacing="1" w:line="240" w:lineRule="auto"/>
    </w:pPr>
    <w:rPr>
      <w:rFonts w:ascii="Times New Roman" w:eastAsia="Times New Roman" w:hAnsi="Times New Roman" w:cs="Times New Roman"/>
      <w:lang w:eastAsia="en-NZ"/>
    </w:rPr>
  </w:style>
  <w:style w:type="paragraph" w:customStyle="1" w:styleId="TableBody">
    <w:name w:val="Table Body"/>
    <w:basedOn w:val="Normal"/>
    <w:uiPriority w:val="11"/>
    <w:qFormat/>
    <w:rsid w:val="007B13BC"/>
    <w:pPr>
      <w:spacing w:before="60" w:after="60" w:line="252" w:lineRule="auto"/>
    </w:pPr>
    <w:rPr>
      <w:bCs/>
      <w:sz w:val="22"/>
      <w:szCs w:val="22"/>
    </w:rPr>
  </w:style>
  <w:style w:type="paragraph" w:customStyle="1" w:styleId="TableHeadingsBlack">
    <w:name w:val="Table Headings Black"/>
    <w:basedOn w:val="Normal"/>
    <w:uiPriority w:val="11"/>
    <w:qFormat/>
    <w:rsid w:val="007B13BC"/>
    <w:pPr>
      <w:keepNext/>
      <w:spacing w:before="60" w:after="60" w:line="252" w:lineRule="auto"/>
    </w:pPr>
    <w:rPr>
      <w:b/>
      <w:bCs/>
      <w:sz w:val="18"/>
      <w:szCs w:val="18"/>
    </w:rPr>
  </w:style>
  <w:style w:type="table" w:styleId="PlainTable1">
    <w:name w:val="Plain Table 1"/>
    <w:basedOn w:val="TableNormal"/>
    <w:uiPriority w:val="41"/>
    <w:rsid w:val="007B13B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5A5A5"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paragraph" w:styleId="Revision">
    <w:name w:val="Revision"/>
    <w:hidden/>
    <w:uiPriority w:val="99"/>
    <w:semiHidden/>
    <w:rsid w:val="006F1A15"/>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581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BF"/>
    <w:rPr>
      <w:rFonts w:ascii="Arial" w:hAnsi="Arial" w:cs="Arial"/>
      <w:sz w:val="20"/>
      <w:szCs w:val="20"/>
    </w:rPr>
  </w:style>
  <w:style w:type="paragraph" w:customStyle="1" w:styleId="Default">
    <w:name w:val="Default"/>
    <w:rsid w:val="005817B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817BF"/>
    <w:rPr>
      <w:vertAlign w:val="superscript"/>
    </w:rPr>
  </w:style>
  <w:style w:type="character" w:customStyle="1" w:styleId="ui-provider">
    <w:name w:val="ui-provider"/>
    <w:basedOn w:val="DefaultParagraphFont"/>
    <w:rsid w:val="00522564"/>
  </w:style>
  <w:style w:type="character" w:styleId="FollowedHyperlink">
    <w:name w:val="FollowedHyperlink"/>
    <w:basedOn w:val="DefaultParagraphFont"/>
    <w:uiPriority w:val="99"/>
    <w:semiHidden/>
    <w:unhideWhenUsed/>
    <w:rsid w:val="00F273BA"/>
    <w:rPr>
      <w:color w:val="954F72" w:themeColor="followedHyperlink"/>
      <w:u w:val="single"/>
    </w:rPr>
  </w:style>
  <w:style w:type="character" w:customStyle="1" w:styleId="cf01">
    <w:name w:val="cf01"/>
    <w:basedOn w:val="DefaultParagraphFont"/>
    <w:rsid w:val="00FB17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678">
      <w:bodyDiv w:val="1"/>
      <w:marLeft w:val="0"/>
      <w:marRight w:val="0"/>
      <w:marTop w:val="0"/>
      <w:marBottom w:val="0"/>
      <w:divBdr>
        <w:top w:val="none" w:sz="0" w:space="0" w:color="auto"/>
        <w:left w:val="none" w:sz="0" w:space="0" w:color="auto"/>
        <w:bottom w:val="none" w:sz="0" w:space="0" w:color="auto"/>
        <w:right w:val="none" w:sz="0" w:space="0" w:color="auto"/>
      </w:divBdr>
    </w:div>
    <w:div w:id="582878776">
      <w:bodyDiv w:val="1"/>
      <w:marLeft w:val="0"/>
      <w:marRight w:val="0"/>
      <w:marTop w:val="0"/>
      <w:marBottom w:val="0"/>
      <w:divBdr>
        <w:top w:val="none" w:sz="0" w:space="0" w:color="auto"/>
        <w:left w:val="none" w:sz="0" w:space="0" w:color="auto"/>
        <w:bottom w:val="none" w:sz="0" w:space="0" w:color="auto"/>
        <w:right w:val="none" w:sz="0" w:space="0" w:color="auto"/>
      </w:divBdr>
    </w:div>
    <w:div w:id="596788835">
      <w:bodyDiv w:val="1"/>
      <w:marLeft w:val="0"/>
      <w:marRight w:val="0"/>
      <w:marTop w:val="0"/>
      <w:marBottom w:val="0"/>
      <w:divBdr>
        <w:top w:val="none" w:sz="0" w:space="0" w:color="auto"/>
        <w:left w:val="none" w:sz="0" w:space="0" w:color="auto"/>
        <w:bottom w:val="none" w:sz="0" w:space="0" w:color="auto"/>
        <w:right w:val="none" w:sz="0" w:space="0" w:color="auto"/>
      </w:divBdr>
    </w:div>
    <w:div w:id="637875748">
      <w:bodyDiv w:val="1"/>
      <w:marLeft w:val="0"/>
      <w:marRight w:val="0"/>
      <w:marTop w:val="0"/>
      <w:marBottom w:val="0"/>
      <w:divBdr>
        <w:top w:val="none" w:sz="0" w:space="0" w:color="auto"/>
        <w:left w:val="none" w:sz="0" w:space="0" w:color="auto"/>
        <w:bottom w:val="none" w:sz="0" w:space="0" w:color="auto"/>
        <w:right w:val="none" w:sz="0" w:space="0" w:color="auto"/>
      </w:divBdr>
      <w:divsChild>
        <w:div w:id="872767421">
          <w:marLeft w:val="0"/>
          <w:marRight w:val="0"/>
          <w:marTop w:val="60"/>
          <w:marBottom w:val="150"/>
          <w:divBdr>
            <w:top w:val="none" w:sz="0" w:space="0" w:color="auto"/>
            <w:left w:val="none" w:sz="0" w:space="0" w:color="auto"/>
            <w:bottom w:val="none" w:sz="0" w:space="0" w:color="auto"/>
            <w:right w:val="none" w:sz="0" w:space="0" w:color="auto"/>
          </w:divBdr>
          <w:divsChild>
            <w:div w:id="419910760">
              <w:marLeft w:val="0"/>
              <w:marRight w:val="0"/>
              <w:marTop w:val="0"/>
              <w:marBottom w:val="0"/>
              <w:divBdr>
                <w:top w:val="none" w:sz="0" w:space="0" w:color="auto"/>
                <w:left w:val="none" w:sz="0" w:space="0" w:color="auto"/>
                <w:bottom w:val="none" w:sz="0" w:space="0" w:color="auto"/>
                <w:right w:val="none" w:sz="0" w:space="0" w:color="auto"/>
              </w:divBdr>
            </w:div>
            <w:div w:id="1816873756">
              <w:marLeft w:val="0"/>
              <w:marRight w:val="0"/>
              <w:marTop w:val="0"/>
              <w:marBottom w:val="0"/>
              <w:divBdr>
                <w:top w:val="none" w:sz="0" w:space="0" w:color="auto"/>
                <w:left w:val="none" w:sz="0" w:space="0" w:color="auto"/>
                <w:bottom w:val="none" w:sz="0" w:space="0" w:color="auto"/>
                <w:right w:val="none" w:sz="0" w:space="0" w:color="auto"/>
              </w:divBdr>
              <w:divsChild>
                <w:div w:id="327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5060">
      <w:bodyDiv w:val="1"/>
      <w:marLeft w:val="0"/>
      <w:marRight w:val="0"/>
      <w:marTop w:val="0"/>
      <w:marBottom w:val="0"/>
      <w:divBdr>
        <w:top w:val="none" w:sz="0" w:space="0" w:color="auto"/>
        <w:left w:val="none" w:sz="0" w:space="0" w:color="auto"/>
        <w:bottom w:val="none" w:sz="0" w:space="0" w:color="auto"/>
        <w:right w:val="none" w:sz="0" w:space="0" w:color="auto"/>
      </w:divBdr>
    </w:div>
    <w:div w:id="1428889695">
      <w:bodyDiv w:val="1"/>
      <w:marLeft w:val="0"/>
      <w:marRight w:val="0"/>
      <w:marTop w:val="0"/>
      <w:marBottom w:val="0"/>
      <w:divBdr>
        <w:top w:val="none" w:sz="0" w:space="0" w:color="auto"/>
        <w:left w:val="none" w:sz="0" w:space="0" w:color="auto"/>
        <w:bottom w:val="none" w:sz="0" w:space="0" w:color="auto"/>
        <w:right w:val="none" w:sz="0" w:space="0" w:color="auto"/>
      </w:divBdr>
    </w:div>
    <w:div w:id="1495994102">
      <w:bodyDiv w:val="1"/>
      <w:marLeft w:val="0"/>
      <w:marRight w:val="0"/>
      <w:marTop w:val="0"/>
      <w:marBottom w:val="0"/>
      <w:divBdr>
        <w:top w:val="none" w:sz="0" w:space="0" w:color="auto"/>
        <w:left w:val="none" w:sz="0" w:space="0" w:color="auto"/>
        <w:bottom w:val="none" w:sz="0" w:space="0" w:color="auto"/>
        <w:right w:val="none" w:sz="0" w:space="0" w:color="auto"/>
      </w:divBdr>
    </w:div>
    <w:div w:id="1752000667">
      <w:bodyDiv w:val="1"/>
      <w:marLeft w:val="0"/>
      <w:marRight w:val="0"/>
      <w:marTop w:val="0"/>
      <w:marBottom w:val="0"/>
      <w:divBdr>
        <w:top w:val="none" w:sz="0" w:space="0" w:color="auto"/>
        <w:left w:val="none" w:sz="0" w:space="0" w:color="auto"/>
        <w:bottom w:val="none" w:sz="0" w:space="0" w:color="auto"/>
        <w:right w:val="none" w:sz="0" w:space="0" w:color="auto"/>
      </w:divBdr>
    </w:div>
    <w:div w:id="1759524574">
      <w:bodyDiv w:val="1"/>
      <w:marLeft w:val="0"/>
      <w:marRight w:val="0"/>
      <w:marTop w:val="0"/>
      <w:marBottom w:val="0"/>
      <w:divBdr>
        <w:top w:val="none" w:sz="0" w:space="0" w:color="auto"/>
        <w:left w:val="none" w:sz="0" w:space="0" w:color="auto"/>
        <w:bottom w:val="none" w:sz="0" w:space="0" w:color="auto"/>
        <w:right w:val="none" w:sz="0" w:space="0" w:color="auto"/>
      </w:divBdr>
    </w:div>
    <w:div w:id="2014914954">
      <w:bodyDiv w:val="1"/>
      <w:marLeft w:val="0"/>
      <w:marRight w:val="0"/>
      <w:marTop w:val="0"/>
      <w:marBottom w:val="0"/>
      <w:divBdr>
        <w:top w:val="none" w:sz="0" w:space="0" w:color="auto"/>
        <w:left w:val="none" w:sz="0" w:space="0" w:color="auto"/>
        <w:bottom w:val="none" w:sz="0" w:space="0" w:color="auto"/>
        <w:right w:val="none" w:sz="0" w:space="0" w:color="auto"/>
      </w:divBdr>
      <w:divsChild>
        <w:div w:id="6250222">
          <w:marLeft w:val="0"/>
          <w:marRight w:val="0"/>
          <w:marTop w:val="0"/>
          <w:marBottom w:val="0"/>
          <w:divBdr>
            <w:top w:val="none" w:sz="0" w:space="0" w:color="auto"/>
            <w:left w:val="none" w:sz="0" w:space="0" w:color="auto"/>
            <w:bottom w:val="none" w:sz="0" w:space="0" w:color="auto"/>
            <w:right w:val="none" w:sz="0" w:space="0" w:color="auto"/>
          </w:divBdr>
          <w:divsChild>
            <w:div w:id="1762145824">
              <w:marLeft w:val="0"/>
              <w:marRight w:val="0"/>
              <w:marTop w:val="0"/>
              <w:marBottom w:val="0"/>
              <w:divBdr>
                <w:top w:val="none" w:sz="0" w:space="0" w:color="auto"/>
                <w:left w:val="none" w:sz="0" w:space="0" w:color="auto"/>
                <w:bottom w:val="none" w:sz="0" w:space="0" w:color="auto"/>
                <w:right w:val="none" w:sz="0" w:space="0" w:color="auto"/>
              </w:divBdr>
              <w:divsChild>
                <w:div w:id="1326779702">
                  <w:marLeft w:val="0"/>
                  <w:marRight w:val="0"/>
                  <w:marTop w:val="0"/>
                  <w:marBottom w:val="0"/>
                  <w:divBdr>
                    <w:top w:val="none" w:sz="0" w:space="0" w:color="auto"/>
                    <w:left w:val="none" w:sz="0" w:space="0" w:color="auto"/>
                    <w:bottom w:val="none" w:sz="0" w:space="0" w:color="auto"/>
                    <w:right w:val="none" w:sz="0" w:space="0" w:color="auto"/>
                  </w:divBdr>
                  <w:divsChild>
                    <w:div w:id="1843086893">
                      <w:marLeft w:val="0"/>
                      <w:marRight w:val="0"/>
                      <w:marTop w:val="0"/>
                      <w:marBottom w:val="0"/>
                      <w:divBdr>
                        <w:top w:val="none" w:sz="0" w:space="0" w:color="auto"/>
                        <w:left w:val="none" w:sz="0" w:space="0" w:color="auto"/>
                        <w:bottom w:val="none" w:sz="0" w:space="0" w:color="auto"/>
                        <w:right w:val="none" w:sz="0" w:space="0" w:color="auto"/>
                      </w:divBdr>
                      <w:divsChild>
                        <w:div w:id="1358580540">
                          <w:marLeft w:val="0"/>
                          <w:marRight w:val="0"/>
                          <w:marTop w:val="0"/>
                          <w:marBottom w:val="0"/>
                          <w:divBdr>
                            <w:top w:val="none" w:sz="0" w:space="0" w:color="auto"/>
                            <w:left w:val="none" w:sz="0" w:space="0" w:color="auto"/>
                            <w:bottom w:val="none" w:sz="0" w:space="0" w:color="auto"/>
                            <w:right w:val="none" w:sz="0" w:space="0" w:color="auto"/>
                          </w:divBdr>
                          <w:divsChild>
                            <w:div w:id="18709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viderinvoices@health.govt.n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9DA58.5077DC7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tewhatuora.govt.nz/assets/For-the-health-sector/Community-pharmacy/Reviews/Independent-Review-Community-Pharmacy-Wage-Cost-Pressures-Grant-Thornton-2021.pdf" TargetMode="External"/><Relationship Id="rId1" Type="http://schemas.openxmlformats.org/officeDocument/2006/relationships/hyperlink" Target="https://www.tewhatuora.govt.nz/assets/For-the-health-sector/Community-pharmacy/Reviews/Independent-Review-Community-Pharmacy-Services-Stage-One-Sapere-202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n\OneDrive%20-%20The%20Ministry%20of%20Health\Desktop\Live%20OIAS\D%20Hsieh%20H202205994%20China%20Taiwan\D%20Hsieh%20H202205994%20Response%20Letter%20HNZ%20template.docx.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rodgers\Downloads\Proposal%201a%20analysis%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w="6350">
              <a:solidFill>
                <a:schemeClr val="tx1"/>
              </a:solidFill>
            </a:ln>
            <a:effectLst/>
          </c:spPr>
          <c:invertIfNegative val="0"/>
          <c:dPt>
            <c:idx val="49"/>
            <c:invertIfNegative val="0"/>
            <c:bubble3D val="0"/>
            <c:spPr>
              <a:solidFill>
                <a:srgbClr val="0070C0"/>
              </a:solidFill>
              <a:ln w="6350">
                <a:solidFill>
                  <a:schemeClr val="tx1"/>
                </a:solidFill>
              </a:ln>
              <a:effectLst/>
            </c:spPr>
            <c:extLst>
              <c:ext xmlns:c16="http://schemas.microsoft.com/office/drawing/2014/chart" uri="{C3380CC4-5D6E-409C-BE32-E72D297353CC}">
                <c16:uniqueId val="{00000001-2474-48FC-8ED1-2C80545B77A4}"/>
              </c:ext>
            </c:extLst>
          </c:dPt>
          <c:dPt>
            <c:idx val="50"/>
            <c:invertIfNegative val="0"/>
            <c:bubble3D val="0"/>
            <c:spPr>
              <a:solidFill>
                <a:srgbClr val="00B0F0"/>
              </a:solidFill>
              <a:ln w="6350">
                <a:solidFill>
                  <a:schemeClr val="tx1"/>
                </a:solidFill>
              </a:ln>
              <a:effectLst/>
            </c:spPr>
            <c:extLst>
              <c:ext xmlns:c16="http://schemas.microsoft.com/office/drawing/2014/chart" uri="{C3380CC4-5D6E-409C-BE32-E72D297353CC}">
                <c16:uniqueId val="{00000003-2474-48FC-8ED1-2C80545B77A4}"/>
              </c:ext>
            </c:extLst>
          </c:dPt>
          <c:cat>
            <c:numRef>
              <c:f>'Proposal B -Effects by pharmacy'!$AQ$4:$AQ$104</c:f>
              <c:numCache>
                <c:formatCode>0.0%</c:formatCode>
                <c:ptCount val="101"/>
                <c:pt idx="0">
                  <c:v>0</c:v>
                </c:pt>
                <c:pt idx="1">
                  <c:v>1E-3</c:v>
                </c:pt>
                <c:pt idx="2">
                  <c:v>2E-3</c:v>
                </c:pt>
                <c:pt idx="3">
                  <c:v>3.0000000000000001E-3</c:v>
                </c:pt>
                <c:pt idx="4">
                  <c:v>4.0000000000000001E-3</c:v>
                </c:pt>
                <c:pt idx="5">
                  <c:v>5.000000000000001E-3</c:v>
                </c:pt>
                <c:pt idx="6">
                  <c:v>6.0000000000000001E-3</c:v>
                </c:pt>
                <c:pt idx="7">
                  <c:v>7.000000000000001E-3</c:v>
                </c:pt>
                <c:pt idx="8">
                  <c:v>8.0000000000000002E-3</c:v>
                </c:pt>
                <c:pt idx="9">
                  <c:v>9.0000000000000011E-3</c:v>
                </c:pt>
                <c:pt idx="10">
                  <c:v>1.0000000000000002E-2</c:v>
                </c:pt>
                <c:pt idx="11">
                  <c:v>1.1000000000000003E-2</c:v>
                </c:pt>
                <c:pt idx="12">
                  <c:v>1.2000000000000004E-2</c:v>
                </c:pt>
                <c:pt idx="13">
                  <c:v>1.3000000000000005E-2</c:v>
                </c:pt>
                <c:pt idx="14">
                  <c:v>1.4000000000000005E-2</c:v>
                </c:pt>
                <c:pt idx="15">
                  <c:v>1.5000000000000006E-2</c:v>
                </c:pt>
                <c:pt idx="16">
                  <c:v>1.6000000000000007E-2</c:v>
                </c:pt>
                <c:pt idx="17">
                  <c:v>1.7000000000000008E-2</c:v>
                </c:pt>
                <c:pt idx="18">
                  <c:v>1.8000000000000009E-2</c:v>
                </c:pt>
                <c:pt idx="19">
                  <c:v>1.900000000000001E-2</c:v>
                </c:pt>
                <c:pt idx="20">
                  <c:v>2.0000000000000011E-2</c:v>
                </c:pt>
                <c:pt idx="21">
                  <c:v>2.1000000000000012E-2</c:v>
                </c:pt>
                <c:pt idx="22">
                  <c:v>2.2000000000000013E-2</c:v>
                </c:pt>
                <c:pt idx="23">
                  <c:v>2.3000000000000013E-2</c:v>
                </c:pt>
                <c:pt idx="24">
                  <c:v>2.4000000000000014E-2</c:v>
                </c:pt>
                <c:pt idx="25">
                  <c:v>2.5000000000000015E-2</c:v>
                </c:pt>
                <c:pt idx="26">
                  <c:v>2.6000000000000016E-2</c:v>
                </c:pt>
                <c:pt idx="27">
                  <c:v>2.7000000000000017E-2</c:v>
                </c:pt>
                <c:pt idx="28">
                  <c:v>2.8000000000000018E-2</c:v>
                </c:pt>
                <c:pt idx="29">
                  <c:v>2.9000000000000019E-2</c:v>
                </c:pt>
                <c:pt idx="30">
                  <c:v>3.000000000000002E-2</c:v>
                </c:pt>
                <c:pt idx="31">
                  <c:v>3.1000000000000021E-2</c:v>
                </c:pt>
                <c:pt idx="32">
                  <c:v>3.2000000000000021E-2</c:v>
                </c:pt>
                <c:pt idx="33">
                  <c:v>3.3000000000000022E-2</c:v>
                </c:pt>
                <c:pt idx="34">
                  <c:v>3.4000000000000023E-2</c:v>
                </c:pt>
                <c:pt idx="35">
                  <c:v>3.5000000000000024E-2</c:v>
                </c:pt>
                <c:pt idx="36">
                  <c:v>3.6000000000000025E-2</c:v>
                </c:pt>
                <c:pt idx="37">
                  <c:v>3.7000000000000026E-2</c:v>
                </c:pt>
                <c:pt idx="38">
                  <c:v>3.8000000000000027E-2</c:v>
                </c:pt>
                <c:pt idx="39">
                  <c:v>3.9000000000000028E-2</c:v>
                </c:pt>
                <c:pt idx="40">
                  <c:v>4.0000000000000029E-2</c:v>
                </c:pt>
                <c:pt idx="41">
                  <c:v>4.1000000000000029E-2</c:v>
                </c:pt>
                <c:pt idx="42">
                  <c:v>4.200000000000003E-2</c:v>
                </c:pt>
                <c:pt idx="43">
                  <c:v>4.3000000000000031E-2</c:v>
                </c:pt>
                <c:pt idx="44">
                  <c:v>4.4000000000000032E-2</c:v>
                </c:pt>
                <c:pt idx="45">
                  <c:v>4.5000000000000033E-2</c:v>
                </c:pt>
                <c:pt idx="46">
                  <c:v>4.6000000000000034E-2</c:v>
                </c:pt>
                <c:pt idx="47">
                  <c:v>4.7000000000000035E-2</c:v>
                </c:pt>
                <c:pt idx="48">
                  <c:v>4.8000000000000036E-2</c:v>
                </c:pt>
                <c:pt idx="49">
                  <c:v>4.9000000000000037E-2</c:v>
                </c:pt>
                <c:pt idx="50">
                  <c:v>5.0000000000000037E-2</c:v>
                </c:pt>
                <c:pt idx="51">
                  <c:v>5.1000000000000038E-2</c:v>
                </c:pt>
                <c:pt idx="52">
                  <c:v>5.2000000000000039E-2</c:v>
                </c:pt>
                <c:pt idx="53">
                  <c:v>5.300000000000004E-2</c:v>
                </c:pt>
                <c:pt idx="54">
                  <c:v>5.4000000000000041E-2</c:v>
                </c:pt>
                <c:pt idx="55">
                  <c:v>5.5000000000000042E-2</c:v>
                </c:pt>
                <c:pt idx="56">
                  <c:v>5.6000000000000043E-2</c:v>
                </c:pt>
                <c:pt idx="57">
                  <c:v>5.7000000000000044E-2</c:v>
                </c:pt>
                <c:pt idx="58">
                  <c:v>5.8000000000000045E-2</c:v>
                </c:pt>
                <c:pt idx="59">
                  <c:v>5.9000000000000045E-2</c:v>
                </c:pt>
                <c:pt idx="60">
                  <c:v>6.0000000000000046E-2</c:v>
                </c:pt>
                <c:pt idx="61">
                  <c:v>6.1000000000000047E-2</c:v>
                </c:pt>
                <c:pt idx="62">
                  <c:v>6.2000000000000048E-2</c:v>
                </c:pt>
                <c:pt idx="63">
                  <c:v>6.3000000000000042E-2</c:v>
                </c:pt>
                <c:pt idx="64">
                  <c:v>6.4000000000000043E-2</c:v>
                </c:pt>
                <c:pt idx="65">
                  <c:v>6.5000000000000044E-2</c:v>
                </c:pt>
                <c:pt idx="66">
                  <c:v>6.6000000000000045E-2</c:v>
                </c:pt>
                <c:pt idx="67">
                  <c:v>6.7000000000000046E-2</c:v>
                </c:pt>
                <c:pt idx="68">
                  <c:v>6.8000000000000047E-2</c:v>
                </c:pt>
                <c:pt idx="69">
                  <c:v>6.9000000000000047E-2</c:v>
                </c:pt>
                <c:pt idx="70">
                  <c:v>7.0000000000000048E-2</c:v>
                </c:pt>
                <c:pt idx="71">
                  <c:v>7.1000000000000049E-2</c:v>
                </c:pt>
                <c:pt idx="72">
                  <c:v>7.200000000000005E-2</c:v>
                </c:pt>
                <c:pt idx="73">
                  <c:v>7.3000000000000051E-2</c:v>
                </c:pt>
                <c:pt idx="74">
                  <c:v>7.4000000000000052E-2</c:v>
                </c:pt>
                <c:pt idx="75">
                  <c:v>7.5000000000000053E-2</c:v>
                </c:pt>
                <c:pt idx="76">
                  <c:v>7.6000000000000054E-2</c:v>
                </c:pt>
                <c:pt idx="77">
                  <c:v>7.7000000000000055E-2</c:v>
                </c:pt>
                <c:pt idx="78">
                  <c:v>7.8000000000000055E-2</c:v>
                </c:pt>
                <c:pt idx="79">
                  <c:v>7.9000000000000056E-2</c:v>
                </c:pt>
                <c:pt idx="80">
                  <c:v>8.0000000000000057E-2</c:v>
                </c:pt>
                <c:pt idx="81">
                  <c:v>8.1000000000000058E-2</c:v>
                </c:pt>
                <c:pt idx="82">
                  <c:v>8.2000000000000059E-2</c:v>
                </c:pt>
                <c:pt idx="83">
                  <c:v>8.300000000000006E-2</c:v>
                </c:pt>
                <c:pt idx="84">
                  <c:v>8.4000000000000061E-2</c:v>
                </c:pt>
                <c:pt idx="85">
                  <c:v>8.5000000000000062E-2</c:v>
                </c:pt>
                <c:pt idx="86">
                  <c:v>8.6000000000000063E-2</c:v>
                </c:pt>
                <c:pt idx="87">
                  <c:v>8.7000000000000063E-2</c:v>
                </c:pt>
                <c:pt idx="88">
                  <c:v>8.8000000000000064E-2</c:v>
                </c:pt>
                <c:pt idx="89">
                  <c:v>8.9000000000000065E-2</c:v>
                </c:pt>
                <c:pt idx="90">
                  <c:v>9.0000000000000066E-2</c:v>
                </c:pt>
                <c:pt idx="91">
                  <c:v>9.1000000000000067E-2</c:v>
                </c:pt>
                <c:pt idx="92">
                  <c:v>9.2000000000000068E-2</c:v>
                </c:pt>
                <c:pt idx="93">
                  <c:v>9.3000000000000069E-2</c:v>
                </c:pt>
                <c:pt idx="94">
                  <c:v>9.400000000000007E-2</c:v>
                </c:pt>
                <c:pt idx="95">
                  <c:v>9.500000000000007E-2</c:v>
                </c:pt>
                <c:pt idx="96">
                  <c:v>9.6000000000000071E-2</c:v>
                </c:pt>
                <c:pt idx="97">
                  <c:v>9.7000000000000072E-2</c:v>
                </c:pt>
                <c:pt idx="98">
                  <c:v>9.8000000000000073E-2</c:v>
                </c:pt>
                <c:pt idx="99">
                  <c:v>9.9000000000000074E-2</c:v>
                </c:pt>
                <c:pt idx="100">
                  <c:v>0.10000000000000007</c:v>
                </c:pt>
              </c:numCache>
            </c:numRef>
          </c:cat>
          <c:val>
            <c:numRef>
              <c:f>'Proposal B -Effects by pharmacy'!$AR$4:$AR$104</c:f>
              <c:numCache>
                <c:formatCode>General</c:formatCode>
                <c:ptCount val="101"/>
                <c:pt idx="0">
                  <c:v>0</c:v>
                </c:pt>
                <c:pt idx="1">
                  <c:v>0</c:v>
                </c:pt>
                <c:pt idx="2">
                  <c:v>0</c:v>
                </c:pt>
                <c:pt idx="3">
                  <c:v>0</c:v>
                </c:pt>
                <c:pt idx="4">
                  <c:v>0</c:v>
                </c:pt>
                <c:pt idx="5">
                  <c:v>0</c:v>
                </c:pt>
                <c:pt idx="6">
                  <c:v>0</c:v>
                </c:pt>
                <c:pt idx="7">
                  <c:v>0</c:v>
                </c:pt>
                <c:pt idx="8">
                  <c:v>0</c:v>
                </c:pt>
                <c:pt idx="9">
                  <c:v>0</c:v>
                </c:pt>
                <c:pt idx="10">
                  <c:v>1</c:v>
                </c:pt>
                <c:pt idx="11">
                  <c:v>0</c:v>
                </c:pt>
                <c:pt idx="12">
                  <c:v>1</c:v>
                </c:pt>
                <c:pt idx="13">
                  <c:v>0</c:v>
                </c:pt>
                <c:pt idx="14">
                  <c:v>0</c:v>
                </c:pt>
                <c:pt idx="15">
                  <c:v>0</c:v>
                </c:pt>
                <c:pt idx="16">
                  <c:v>0</c:v>
                </c:pt>
                <c:pt idx="17">
                  <c:v>0</c:v>
                </c:pt>
                <c:pt idx="18">
                  <c:v>0</c:v>
                </c:pt>
                <c:pt idx="19">
                  <c:v>0</c:v>
                </c:pt>
                <c:pt idx="20">
                  <c:v>0</c:v>
                </c:pt>
                <c:pt idx="21">
                  <c:v>0</c:v>
                </c:pt>
                <c:pt idx="22">
                  <c:v>0</c:v>
                </c:pt>
                <c:pt idx="23">
                  <c:v>1</c:v>
                </c:pt>
                <c:pt idx="24">
                  <c:v>0</c:v>
                </c:pt>
                <c:pt idx="25">
                  <c:v>1</c:v>
                </c:pt>
                <c:pt idx="26">
                  <c:v>0</c:v>
                </c:pt>
                <c:pt idx="27">
                  <c:v>0</c:v>
                </c:pt>
                <c:pt idx="28">
                  <c:v>0</c:v>
                </c:pt>
                <c:pt idx="29">
                  <c:v>3</c:v>
                </c:pt>
                <c:pt idx="30">
                  <c:v>2</c:v>
                </c:pt>
                <c:pt idx="31">
                  <c:v>1</c:v>
                </c:pt>
                <c:pt idx="32">
                  <c:v>3</c:v>
                </c:pt>
                <c:pt idx="33">
                  <c:v>1</c:v>
                </c:pt>
                <c:pt idx="34">
                  <c:v>3</c:v>
                </c:pt>
                <c:pt idx="35">
                  <c:v>1</c:v>
                </c:pt>
                <c:pt idx="36">
                  <c:v>2</c:v>
                </c:pt>
                <c:pt idx="37">
                  <c:v>5</c:v>
                </c:pt>
                <c:pt idx="38">
                  <c:v>7</c:v>
                </c:pt>
                <c:pt idx="39">
                  <c:v>8</c:v>
                </c:pt>
                <c:pt idx="40">
                  <c:v>19</c:v>
                </c:pt>
                <c:pt idx="41">
                  <c:v>16</c:v>
                </c:pt>
                <c:pt idx="42">
                  <c:v>23</c:v>
                </c:pt>
                <c:pt idx="43">
                  <c:v>32</c:v>
                </c:pt>
                <c:pt idx="44">
                  <c:v>36</c:v>
                </c:pt>
                <c:pt idx="45">
                  <c:v>49</c:v>
                </c:pt>
                <c:pt idx="46">
                  <c:v>53</c:v>
                </c:pt>
                <c:pt idx="47">
                  <c:v>57</c:v>
                </c:pt>
                <c:pt idx="48">
                  <c:v>73</c:v>
                </c:pt>
                <c:pt idx="49">
                  <c:v>75</c:v>
                </c:pt>
                <c:pt idx="50">
                  <c:v>101</c:v>
                </c:pt>
                <c:pt idx="51">
                  <c:v>80</c:v>
                </c:pt>
                <c:pt idx="52">
                  <c:v>80</c:v>
                </c:pt>
                <c:pt idx="53">
                  <c:v>75</c:v>
                </c:pt>
                <c:pt idx="54">
                  <c:v>54</c:v>
                </c:pt>
                <c:pt idx="55">
                  <c:v>38</c:v>
                </c:pt>
                <c:pt idx="56">
                  <c:v>33</c:v>
                </c:pt>
                <c:pt idx="57">
                  <c:v>13</c:v>
                </c:pt>
                <c:pt idx="58">
                  <c:v>20</c:v>
                </c:pt>
                <c:pt idx="59">
                  <c:v>11</c:v>
                </c:pt>
                <c:pt idx="60">
                  <c:v>13</c:v>
                </c:pt>
                <c:pt idx="61">
                  <c:v>10</c:v>
                </c:pt>
                <c:pt idx="62">
                  <c:v>7</c:v>
                </c:pt>
                <c:pt idx="63">
                  <c:v>7</c:v>
                </c:pt>
                <c:pt idx="64">
                  <c:v>1</c:v>
                </c:pt>
                <c:pt idx="65">
                  <c:v>6</c:v>
                </c:pt>
                <c:pt idx="66">
                  <c:v>4</c:v>
                </c:pt>
                <c:pt idx="67">
                  <c:v>0</c:v>
                </c:pt>
                <c:pt idx="68">
                  <c:v>0</c:v>
                </c:pt>
                <c:pt idx="69">
                  <c:v>2</c:v>
                </c:pt>
                <c:pt idx="70">
                  <c:v>0</c:v>
                </c:pt>
                <c:pt idx="71">
                  <c:v>0</c:v>
                </c:pt>
                <c:pt idx="72">
                  <c:v>0</c:v>
                </c:pt>
                <c:pt idx="73">
                  <c:v>0</c:v>
                </c:pt>
                <c:pt idx="74">
                  <c:v>0</c:v>
                </c:pt>
                <c:pt idx="75">
                  <c:v>0</c:v>
                </c:pt>
                <c:pt idx="76">
                  <c:v>0</c:v>
                </c:pt>
                <c:pt idx="77">
                  <c:v>0</c:v>
                </c:pt>
                <c:pt idx="78">
                  <c:v>0</c:v>
                </c:pt>
                <c:pt idx="79">
                  <c:v>1</c:v>
                </c:pt>
                <c:pt idx="80">
                  <c:v>0</c:v>
                </c:pt>
                <c:pt idx="81">
                  <c:v>0</c:v>
                </c:pt>
                <c:pt idx="82">
                  <c:v>1</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numCache>
            </c:numRef>
          </c:val>
          <c:extLst>
            <c:ext xmlns:c16="http://schemas.microsoft.com/office/drawing/2014/chart" uri="{C3380CC4-5D6E-409C-BE32-E72D297353CC}">
              <c16:uniqueId val="{00000004-2474-48FC-8ED1-2C80545B77A4}"/>
            </c:ext>
          </c:extLst>
        </c:ser>
        <c:dLbls>
          <c:showLegendKey val="0"/>
          <c:showVal val="0"/>
          <c:showCatName val="0"/>
          <c:showSerName val="0"/>
          <c:showPercent val="0"/>
          <c:showBubbleSize val="0"/>
        </c:dLbls>
        <c:gapWidth val="0"/>
        <c:axId val="427221743"/>
        <c:axId val="427222223"/>
      </c:barChart>
      <c:catAx>
        <c:axId val="4272217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Projected percentage difference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2223"/>
        <c:crosses val="autoZero"/>
        <c:auto val="1"/>
        <c:lblAlgn val="ctr"/>
        <c:lblOffset val="100"/>
        <c:noMultiLvlLbl val="0"/>
      </c:catAx>
      <c:valAx>
        <c:axId val="427222223"/>
        <c:scaling>
          <c:orientation val="minMax"/>
          <c:max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 of pharmacies</a:t>
                </a:r>
                <a:r>
                  <a:rPr lang="en-NZ" baseline="0"/>
                  <a:t> projected to see that difference</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1743"/>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 L I V E ! 6 4 3 3 3 3 0 0 . 1 < / d o c u m e n t i d >  
     < s e n d e r i d > D T H O M A S < / s e n d e r i d >  
     < s e n d e r e m a i l > D I A N A . T H O M A S @ B U D D L E F I N D L A Y . C O M < / s e n d e r e m a i l >  
     < l a s t m o d i f i e d > 2 0 2 3 - 1 0 - 0 3 T 1 0 : 3 4 : 0 0 . 0 0 0 0 0 0 0 + 1 3 : 0 0 < / l a s t m o d i f i e d >  
     < d a t a b a s e > L I V E 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BCD81F89DA8847954563CB9610239F" ma:contentTypeVersion="5" ma:contentTypeDescription="Create a new document." ma:contentTypeScope="" ma:versionID="d34fff4268437796b57c6eed5ba5a6f3">
  <xsd:schema xmlns:xsd="http://www.w3.org/2001/XMLSchema" xmlns:xs="http://www.w3.org/2001/XMLSchema" xmlns:p="http://schemas.microsoft.com/office/2006/metadata/properties" xmlns:ns2="d9312d25-14c0-4670-8e73-05bc233ec50c" targetNamespace="http://schemas.microsoft.com/office/2006/metadata/properties" ma:root="true" ma:fieldsID="066d2124d7d83cd84d9ec54bdf15ab23" ns2:_="">
    <xsd:import namespace="d9312d25-14c0-4670-8e73-05bc233ec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12d25-14c0-4670-8e73-05bc233ec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52E19-6886-43F8-BF05-4A12CBBDAC89}">
  <ds:schemaRefs>
    <ds:schemaRef ds:uri="http://schemas.openxmlformats.org/officeDocument/2006/bibliography"/>
  </ds:schemaRefs>
</ds:datastoreItem>
</file>

<file path=customXml/itemProps2.xml><?xml version="1.0" encoding="utf-8"?>
<ds:datastoreItem xmlns:ds="http://schemas.openxmlformats.org/officeDocument/2006/customXml" ds:itemID="{3BF7F75F-4055-410F-B5DC-456E04918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45E16-5330-4B91-90A4-B90EA670E322}">
  <ds:schemaRefs>
    <ds:schemaRef ds:uri="http://www.imanage.com/work/xmlschema"/>
  </ds:schemaRefs>
</ds:datastoreItem>
</file>

<file path=customXml/itemProps4.xml><?xml version="1.0" encoding="utf-8"?>
<ds:datastoreItem xmlns:ds="http://schemas.openxmlformats.org/officeDocument/2006/customXml" ds:itemID="{6C6A8247-B7FF-4E38-ADC7-4E55B8686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12d25-14c0-4670-8e73-05bc233e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5DFA7E-075F-459B-8D48-CC479580B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 Hsieh H202205994 Response Letter HNZ template.docx</Template>
  <TotalTime>2</TotalTime>
  <Pages>15</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Chan</dc:creator>
  <cp:keywords/>
  <dc:description/>
  <cp:lastModifiedBy>Billy Allan</cp:lastModifiedBy>
  <cp:revision>3</cp:revision>
  <cp:lastPrinted>2023-10-09T04:00:00Z</cp:lastPrinted>
  <dcterms:created xsi:type="dcterms:W3CDTF">2023-10-09T04:00:00Z</dcterms:created>
  <dcterms:modified xsi:type="dcterms:W3CDTF">2023-10-09T04:01:00Z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0x0101008FBCD81F89DA8847954563CB9610239F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