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55161" w14:textId="41FD78A2" w:rsidR="00C86248" w:rsidRPr="00926083" w:rsidRDefault="00061B67" w:rsidP="00926083">
      <w:pPr>
        <w:pStyle w:val="Title"/>
      </w:pPr>
      <w:r>
        <w:t xml:space="preserve">Guidance for the Acute Phase of Rehabilitation of People with or Recovering from </w:t>
      </w:r>
      <w:r w:rsidR="002F6FBA">
        <w:t>COVID</w:t>
      </w:r>
      <w:r w:rsidR="002F6FBA">
        <w:noBreakHyphen/>
        <w:t>19</w:t>
      </w:r>
      <w:r>
        <w:t xml:space="preserve"> in Aotearoa New Zealand</w:t>
      </w:r>
    </w:p>
    <w:p w14:paraId="2A961E80" w14:textId="525C29D7" w:rsidR="00531E12" w:rsidRPr="00531E12" w:rsidRDefault="00061B67" w:rsidP="00531E12">
      <w:pPr>
        <w:pStyle w:val="Year"/>
      </w:pPr>
      <w:r>
        <w:t>May 2022</w:t>
      </w: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1"/>
          <w:footerReference w:type="default" r:id="rId12"/>
          <w:pgSz w:w="11907" w:h="16834" w:code="9"/>
          <w:pgMar w:top="5670" w:right="1134" w:bottom="1134" w:left="1134" w:header="567" w:footer="851" w:gutter="0"/>
          <w:pgNumType w:start="1"/>
          <w:cols w:space="720"/>
        </w:sectPr>
      </w:pPr>
    </w:p>
    <w:p w14:paraId="32A4C763" w14:textId="77777777" w:rsidR="009A42D5" w:rsidRPr="00A63DFF" w:rsidRDefault="009A42D5" w:rsidP="00C05132">
      <w:pPr>
        <w:rPr>
          <w:rFonts w:asciiTheme="minorHAnsi" w:hAnsiTheme="minorHAnsi" w:cstheme="minorHAnsi"/>
          <w:b/>
          <w:spacing w:val="10"/>
          <w:sz w:val="36"/>
          <w:szCs w:val="36"/>
        </w:rPr>
      </w:pPr>
      <w:r w:rsidRPr="00A63DFF">
        <w:rPr>
          <w:rFonts w:asciiTheme="minorHAnsi" w:hAnsiTheme="minorHAnsi" w:cstheme="minorHAnsi"/>
          <w:b/>
          <w:spacing w:val="10"/>
          <w:sz w:val="36"/>
          <w:szCs w:val="36"/>
        </w:rPr>
        <w:lastRenderedPageBreak/>
        <w:t>Acknowledgements</w:t>
      </w:r>
    </w:p>
    <w:p w14:paraId="77636D6D" w14:textId="77777777" w:rsidR="008B7D3C" w:rsidRPr="00B67646" w:rsidRDefault="008B7D3C" w:rsidP="008B7D3C">
      <w:pPr>
        <w:spacing w:before="120"/>
        <w:rPr>
          <w:rFonts w:cs="Segoe UI"/>
          <w:sz w:val="20"/>
        </w:rPr>
      </w:pPr>
      <w:r w:rsidRPr="00B67646">
        <w:rPr>
          <w:rFonts w:cs="Segoe UI"/>
          <w:sz w:val="20"/>
        </w:rPr>
        <w:t>Clinical Exercise Physiology New Zealand</w:t>
      </w:r>
    </w:p>
    <w:p w14:paraId="3C69EA3B" w14:textId="77777777" w:rsidR="008B7D3C" w:rsidRPr="00B67646" w:rsidRDefault="008B7D3C" w:rsidP="008B7D3C">
      <w:pPr>
        <w:spacing w:before="120"/>
        <w:rPr>
          <w:rFonts w:cs="Segoe UI"/>
          <w:sz w:val="20"/>
        </w:rPr>
      </w:pPr>
      <w:r w:rsidRPr="00B67646">
        <w:rPr>
          <w:rFonts w:cs="Segoe UI"/>
          <w:sz w:val="20"/>
        </w:rPr>
        <w:t>Dieticians N</w:t>
      </w:r>
      <w:r>
        <w:rPr>
          <w:rFonts w:cs="Segoe UI"/>
          <w:sz w:val="20"/>
        </w:rPr>
        <w:t xml:space="preserve">ew </w:t>
      </w:r>
      <w:r w:rsidRPr="00B67646">
        <w:rPr>
          <w:rFonts w:cs="Segoe UI"/>
          <w:sz w:val="20"/>
        </w:rPr>
        <w:t>Z</w:t>
      </w:r>
      <w:r>
        <w:rPr>
          <w:rFonts w:cs="Segoe UI"/>
          <w:sz w:val="20"/>
        </w:rPr>
        <w:t>ealand</w:t>
      </w:r>
    </w:p>
    <w:p w14:paraId="464BA82F" w14:textId="77777777" w:rsidR="008B7D3C" w:rsidRPr="00B67646" w:rsidRDefault="008B7D3C" w:rsidP="008B7D3C">
      <w:pPr>
        <w:spacing w:before="120"/>
        <w:rPr>
          <w:rFonts w:cs="Segoe UI"/>
          <w:sz w:val="20"/>
        </w:rPr>
      </w:pPr>
      <w:r w:rsidRPr="00B67646">
        <w:rPr>
          <w:rFonts w:cs="Segoe UI"/>
          <w:sz w:val="20"/>
        </w:rPr>
        <w:t xml:space="preserve">Occupational Therapy New Zealand </w:t>
      </w:r>
      <w:proofErr w:type="spellStart"/>
      <w:r w:rsidRPr="00B67646">
        <w:rPr>
          <w:rFonts w:cs="Segoe UI"/>
          <w:sz w:val="20"/>
        </w:rPr>
        <w:t>Whakaora</w:t>
      </w:r>
      <w:proofErr w:type="spellEnd"/>
      <w:r w:rsidRPr="00B67646">
        <w:rPr>
          <w:rFonts w:cs="Segoe UI"/>
          <w:sz w:val="20"/>
        </w:rPr>
        <w:t xml:space="preserve"> </w:t>
      </w:r>
      <w:proofErr w:type="spellStart"/>
      <w:r w:rsidRPr="00B67646">
        <w:rPr>
          <w:rFonts w:cs="Segoe UI"/>
          <w:sz w:val="20"/>
        </w:rPr>
        <w:t>Ngangahau</w:t>
      </w:r>
      <w:proofErr w:type="spellEnd"/>
      <w:r w:rsidRPr="00B67646">
        <w:rPr>
          <w:rFonts w:cs="Segoe UI"/>
          <w:sz w:val="20"/>
        </w:rPr>
        <w:t xml:space="preserve"> Aotearoa</w:t>
      </w:r>
    </w:p>
    <w:p w14:paraId="5F7FE93D" w14:textId="77777777" w:rsidR="008B7D3C" w:rsidRPr="00B67646" w:rsidRDefault="008B7D3C" w:rsidP="008B7D3C">
      <w:pPr>
        <w:spacing w:before="120"/>
        <w:rPr>
          <w:rFonts w:cs="Segoe UI"/>
          <w:sz w:val="20"/>
        </w:rPr>
      </w:pPr>
      <w:r w:rsidRPr="00B67646">
        <w:rPr>
          <w:rFonts w:cs="Segoe UI"/>
          <w:sz w:val="20"/>
        </w:rPr>
        <w:t>Physiotherapy New Zealand</w:t>
      </w:r>
    </w:p>
    <w:p w14:paraId="4923C504" w14:textId="77777777" w:rsidR="008B7D3C" w:rsidRPr="00B67646" w:rsidRDefault="008B7D3C" w:rsidP="008B7D3C">
      <w:pPr>
        <w:spacing w:before="120"/>
        <w:rPr>
          <w:rFonts w:cs="Segoe UI"/>
          <w:sz w:val="20"/>
        </w:rPr>
      </w:pPr>
      <w:r w:rsidRPr="00B67646">
        <w:rPr>
          <w:rFonts w:cs="Segoe UI"/>
          <w:sz w:val="20"/>
        </w:rPr>
        <w:t>New Zealand Psychological Society</w:t>
      </w:r>
    </w:p>
    <w:p w14:paraId="7C4A0DF4" w14:textId="3DD70993" w:rsidR="008B7D3C" w:rsidRPr="00B67646" w:rsidRDefault="008B7D3C" w:rsidP="008B7D3C">
      <w:pPr>
        <w:spacing w:before="120"/>
        <w:rPr>
          <w:rFonts w:cs="Segoe UI"/>
          <w:sz w:val="20"/>
        </w:rPr>
      </w:pPr>
      <w:r w:rsidRPr="00B67646">
        <w:rPr>
          <w:rFonts w:cs="Segoe UI"/>
          <w:sz w:val="20"/>
        </w:rPr>
        <w:t>Aotearoa New Zealand Association of Social Workers</w:t>
      </w:r>
    </w:p>
    <w:p w14:paraId="6F7D50AD" w14:textId="3004BB28" w:rsidR="009A42D5" w:rsidRPr="00C05132" w:rsidRDefault="008B7D3C" w:rsidP="00C05132">
      <w:pPr>
        <w:spacing w:before="120"/>
        <w:rPr>
          <w:rFonts w:cs="Segoe UI"/>
          <w:sz w:val="20"/>
        </w:rPr>
      </w:pPr>
      <w:r w:rsidRPr="00B67646">
        <w:rPr>
          <w:rFonts w:cs="Segoe UI"/>
          <w:sz w:val="20"/>
        </w:rPr>
        <w:t>New Zealand Speech</w:t>
      </w:r>
      <w:r>
        <w:rPr>
          <w:rFonts w:cs="Segoe UI"/>
          <w:sz w:val="20"/>
        </w:rPr>
        <w:t>-</w:t>
      </w:r>
      <w:r w:rsidRPr="00B67646">
        <w:rPr>
          <w:rFonts w:cs="Segoe UI"/>
          <w:sz w:val="20"/>
        </w:rPr>
        <w:t>Language</w:t>
      </w:r>
      <w:r>
        <w:rPr>
          <w:rFonts w:cs="Segoe UI"/>
          <w:sz w:val="20"/>
        </w:rPr>
        <w:t xml:space="preserve"> Therapists</w:t>
      </w:r>
      <w:r w:rsidR="002F6FBA">
        <w:rPr>
          <w:rFonts w:cs="Segoe UI"/>
          <w:sz w:val="20"/>
        </w:rPr>
        <w:t>’</w:t>
      </w:r>
      <w:r>
        <w:rPr>
          <w:rFonts w:cs="Segoe UI"/>
          <w:sz w:val="20"/>
        </w:rPr>
        <w:t xml:space="preserve"> Association</w:t>
      </w:r>
    </w:p>
    <w:p w14:paraId="358CE3BA" w14:textId="0AC75CD3"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Ministry of Health</w:t>
      </w:r>
      <w:r w:rsidR="008B7D3C">
        <w:rPr>
          <w:rFonts w:cs="Segoe UI"/>
        </w:rPr>
        <w:t xml:space="preserve"> and Allied Health Aotearoa New Zealand</w:t>
      </w:r>
      <w:r w:rsidR="00442C1C" w:rsidRPr="00C05132">
        <w:rPr>
          <w:rFonts w:cs="Segoe UI"/>
        </w:rPr>
        <w:t xml:space="preserve">. </w:t>
      </w:r>
      <w:r w:rsidR="008B7D3C">
        <w:rPr>
          <w:rFonts w:cs="Segoe UI"/>
        </w:rPr>
        <w:t>2022</w:t>
      </w:r>
      <w:r w:rsidR="00442C1C" w:rsidRPr="00C05132">
        <w:rPr>
          <w:rFonts w:cs="Segoe UI"/>
        </w:rPr>
        <w:t xml:space="preserve">. </w:t>
      </w:r>
      <w:r w:rsidR="008B7D3C" w:rsidRPr="008B7D3C">
        <w:rPr>
          <w:i/>
        </w:rPr>
        <w:t>Guidance for the Acute Phase of Rehabilitation of People</w:t>
      </w:r>
      <w:r w:rsidR="008B7D3C">
        <w:rPr>
          <w:i/>
        </w:rPr>
        <w:t xml:space="preserve"> </w:t>
      </w:r>
      <w:r w:rsidR="008B7D3C" w:rsidRPr="008B7D3C">
        <w:rPr>
          <w:i/>
        </w:rPr>
        <w:t xml:space="preserve">with or Recovering from </w:t>
      </w:r>
      <w:r w:rsidR="002F6FBA">
        <w:rPr>
          <w:i/>
        </w:rPr>
        <w:t>COVID</w:t>
      </w:r>
      <w:r w:rsidR="002F6FBA">
        <w:rPr>
          <w:i/>
        </w:rPr>
        <w:noBreakHyphen/>
        <w:t>19</w:t>
      </w:r>
      <w:r w:rsidR="008B7D3C" w:rsidRPr="008B7D3C">
        <w:rPr>
          <w:i/>
        </w:rPr>
        <w:t xml:space="preserve"> in Aotearoa New Zealand</w:t>
      </w:r>
      <w:r w:rsidR="00442C1C" w:rsidRPr="00C05132">
        <w:rPr>
          <w:rFonts w:cs="Segoe UI"/>
        </w:rPr>
        <w:t>. Wellington: Ministry of Health.</w:t>
      </w:r>
    </w:p>
    <w:p w14:paraId="7909192E" w14:textId="525FC476" w:rsidR="00C86248" w:rsidRDefault="00C86248">
      <w:pPr>
        <w:pStyle w:val="Imprint"/>
      </w:pPr>
      <w:r>
        <w:t xml:space="preserve">Published in </w:t>
      </w:r>
      <w:r w:rsidR="00D27CDA">
        <w:t>June</w:t>
      </w:r>
      <w:r w:rsidR="008B7D3C">
        <w:t xml:space="preserve"> 2022</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5A89E452" w:rsidR="00082CD6" w:rsidRPr="009C0F2D" w:rsidRDefault="008B7D3C" w:rsidP="00082CD6">
      <w:pPr>
        <w:pStyle w:val="Imprint"/>
      </w:pPr>
      <w:r w:rsidRPr="006C2342">
        <w:t xml:space="preserve">ISBN </w:t>
      </w:r>
      <w:r w:rsidR="009F6A29" w:rsidRPr="009F6A29">
        <w:t>978-1-99-110061-0</w:t>
      </w:r>
      <w:r w:rsidRPr="006C2342">
        <w:t xml:space="preserve"> (online)</w:t>
      </w:r>
      <w:r w:rsidRPr="002C7037">
        <w:br/>
        <w:t xml:space="preserve">HP </w:t>
      </w:r>
      <w:r w:rsidR="00C51F99">
        <w:t>82</w:t>
      </w:r>
      <w:r w:rsidR="00A9364A">
        <w:t>74</w:t>
      </w:r>
    </w:p>
    <w:p w14:paraId="48DBDA36" w14:textId="77777777" w:rsidR="00C86248" w:rsidRDefault="008C64C4" w:rsidP="00A63DFF">
      <w:r>
        <w:rPr>
          <w:noProof/>
          <w:lang w:eastAsia="en-NZ"/>
        </w:rPr>
        <w:drawing>
          <wp:inline distT="0" distB="0" distL="0" distR="0" wp14:anchorId="6EF4539D" wp14:editId="46F356F3">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5"/>
          <w:footerReference w:type="default" r:id="rId16"/>
          <w:pgSz w:w="11907" w:h="16834" w:code="9"/>
          <w:pgMar w:top="1701" w:right="2268" w:bottom="1134" w:left="2268" w:header="0" w:footer="0" w:gutter="0"/>
          <w:cols w:space="720"/>
          <w:vAlign w:val="bottom"/>
        </w:sectPr>
      </w:pPr>
    </w:p>
    <w:p w14:paraId="0F8774BA" w14:textId="77777777" w:rsidR="00032C0A" w:rsidRDefault="008E3A07" w:rsidP="001D3E4E">
      <w:pPr>
        <w:pStyle w:val="Heading1"/>
      </w:pPr>
      <w:bookmarkStart w:id="0" w:name="_Toc107483157"/>
      <w:bookmarkStart w:id="1" w:name="_Toc405792991"/>
      <w:bookmarkStart w:id="2" w:name="_Toc405793224"/>
      <w:r>
        <w:lastRenderedPageBreak/>
        <w:t>Foreword</w:t>
      </w:r>
      <w:bookmarkEnd w:id="0"/>
    </w:p>
    <w:p w14:paraId="350E3D83" w14:textId="77777777" w:rsidR="008B7D3C" w:rsidRPr="008B7D3C" w:rsidDel="004F4174" w:rsidRDefault="008B7D3C" w:rsidP="008B7D3C">
      <w:pPr>
        <w:pStyle w:val="Heading4"/>
      </w:pPr>
      <w:r w:rsidRPr="008B7D3C" w:rsidDel="004F4174">
        <w:t>Dr Martin Chadwick, Chief Allied Health Professions Officer, Ministry of Health</w:t>
      </w:r>
    </w:p>
    <w:p w14:paraId="7E5A93F1" w14:textId="18E6092E" w:rsidR="008B7D3C" w:rsidRDefault="008B7D3C" w:rsidP="008B7D3C">
      <w:r w:rsidRPr="00D8261C">
        <w:t xml:space="preserve">The outbreak of the </w:t>
      </w:r>
      <w:r w:rsidR="002F6FBA">
        <w:t>COVID</w:t>
      </w:r>
      <w:r w:rsidR="002F6FBA">
        <w:noBreakHyphen/>
        <w:t>19</w:t>
      </w:r>
      <w:r w:rsidRPr="00D8261C">
        <w:t xml:space="preserve"> virus has been challenging globally to manage and contain. </w:t>
      </w:r>
      <w:r>
        <w:t>Over the last two years allied health professionals have demonstrated their utility in the pandemic response. We continue to watch and learn from the rest of the world as we have pivoted to respond to events in the pandemic. It is timely to update the living document originally created in 2020.</w:t>
      </w:r>
    </w:p>
    <w:p w14:paraId="73EA7E15" w14:textId="77777777" w:rsidR="008B7D3C" w:rsidRDefault="008B7D3C" w:rsidP="008B7D3C"/>
    <w:p w14:paraId="05F3DD73" w14:textId="3BAD009D" w:rsidR="008B7D3C" w:rsidRDefault="008B7D3C" w:rsidP="008B7D3C">
      <w:r>
        <w:t xml:space="preserve">Our continual learning about </w:t>
      </w:r>
      <w:r w:rsidR="002F6FBA">
        <w:t>COVID</w:t>
      </w:r>
      <w:r w:rsidR="002F6FBA">
        <w:noBreakHyphen/>
        <w:t>19</w:t>
      </w:r>
      <w:r>
        <w:t xml:space="preserve"> applies not only to the acute phase of the virus but also to the ongoing symptoms and post-acute sequalae.</w:t>
      </w:r>
      <w:r w:rsidR="002F6FBA">
        <w:t xml:space="preserve"> </w:t>
      </w:r>
      <w:r>
        <w:t xml:space="preserve">Again, these </w:t>
      </w:r>
      <w:r w:rsidRPr="00D8261C">
        <w:t xml:space="preserve">phases bring the </w:t>
      </w:r>
      <w:r>
        <w:t>a</w:t>
      </w:r>
      <w:r w:rsidRPr="00D8261C">
        <w:t xml:space="preserve">llied </w:t>
      </w:r>
      <w:r>
        <w:t>h</w:t>
      </w:r>
      <w:r w:rsidRPr="00D8261C">
        <w:t xml:space="preserve">ealth group of professions to the fore. While the advent of the virus itself is tragic, the response has been amazing to watch unfold, and the volume of information </w:t>
      </w:r>
      <w:r>
        <w:t>for</w:t>
      </w:r>
      <w:r w:rsidRPr="00D8261C">
        <w:t xml:space="preserve"> post-COVID rehabilitation is just that, voluminous. </w:t>
      </w:r>
      <w:r>
        <w:t>Information</w:t>
      </w:r>
      <w:r w:rsidRPr="00D8261C">
        <w:t xml:space="preserve"> in the following pages is a</w:t>
      </w:r>
      <w:r>
        <w:t>n updated</w:t>
      </w:r>
      <w:r w:rsidRPr="00D8261C">
        <w:t xml:space="preserve"> collaboration between the many </w:t>
      </w:r>
      <w:r>
        <w:t>a</w:t>
      </w:r>
      <w:r w:rsidRPr="00D8261C">
        <w:t xml:space="preserve">llied </w:t>
      </w:r>
      <w:r>
        <w:t>h</w:t>
      </w:r>
      <w:r w:rsidRPr="00D8261C">
        <w:t>ealth professions that will be directly involved in providing this rehabilitation. The fact that we are now able to gather many professions together and produce a document of this calibre is a testament to the focus and maturity of these groups</w:t>
      </w:r>
      <w:r>
        <w:t>,</w:t>
      </w:r>
      <w:r w:rsidRPr="00D8261C">
        <w:t xml:space="preserve"> for w</w:t>
      </w:r>
      <w:r>
        <w:t>hich I pass on my thanks.</w:t>
      </w:r>
    </w:p>
    <w:p w14:paraId="778334F4" w14:textId="77777777" w:rsidR="008B7D3C" w:rsidRDefault="008B7D3C" w:rsidP="008B7D3C"/>
    <w:p w14:paraId="7F936CF9" w14:textId="49350A56" w:rsidR="008B7D3C" w:rsidRDefault="008B7D3C" w:rsidP="008B7D3C">
      <w:r w:rsidRPr="00D8261C">
        <w:t xml:space="preserve">Lastly, this </w:t>
      </w:r>
      <w:r>
        <w:t xml:space="preserve">update of </w:t>
      </w:r>
      <w:r w:rsidRPr="00D8261C">
        <w:t>a living document</w:t>
      </w:r>
      <w:r>
        <w:t xml:space="preserve"> permits us to update the information as new evidence on the longer-term effects of the virus, and the best treatments </w:t>
      </w:r>
      <w:r w:rsidRPr="00D8261C">
        <w:t>and management approaches</w:t>
      </w:r>
      <w:r>
        <w:t xml:space="preserve"> emerge.</w:t>
      </w:r>
      <w:r w:rsidRPr="00D8261C">
        <w:t xml:space="preserve"> </w:t>
      </w:r>
      <w:r>
        <w:t>W</w:t>
      </w:r>
      <w:r w:rsidRPr="00D8261C">
        <w:t>e will update this document, so it remains of value</w:t>
      </w:r>
      <w:r>
        <w:t>. A separate programme of work is under way to develop a long COVID rehabilitation and service delivery guideline within an Aotearoa New Zealand context, which will be published later this year.</w:t>
      </w:r>
      <w:r w:rsidRPr="00D8261C">
        <w:t xml:space="preserve"> Again, my thanks for the time, energy and effort from the individuals involved in pulling this document together </w:t>
      </w:r>
      <w:r>
        <w:t xml:space="preserve">for a second iteration </w:t>
      </w:r>
      <w:r w:rsidRPr="00D8261C">
        <w:t>in relatively short timeframes.</w:t>
      </w:r>
    </w:p>
    <w:p w14:paraId="55C881DE" w14:textId="77777777" w:rsidR="008B7D3C" w:rsidRPr="00D8261C" w:rsidRDefault="008B7D3C" w:rsidP="008B7D3C"/>
    <w:p w14:paraId="082B13C5" w14:textId="5D1A0A56" w:rsidR="008B7D3C" w:rsidRPr="00F47924" w:rsidRDefault="008B7D3C" w:rsidP="008B7D3C">
      <w:pPr>
        <w:pStyle w:val="Heading4"/>
      </w:pPr>
      <w:r>
        <w:lastRenderedPageBreak/>
        <w:t xml:space="preserve">Sandra Kirby, </w:t>
      </w:r>
      <w:r w:rsidRPr="00F47924">
        <w:t>Co-Chair</w:t>
      </w:r>
      <w:r>
        <w:t>,</w:t>
      </w:r>
      <w:r w:rsidRPr="00F47924">
        <w:t xml:space="preserve"> Allied Health</w:t>
      </w:r>
      <w:r>
        <w:t xml:space="preserve"> Association of Aotearoa New Zealand</w:t>
      </w:r>
    </w:p>
    <w:p w14:paraId="77A2122D" w14:textId="3B96F2F5" w:rsidR="008B7D3C" w:rsidRDefault="008B7D3C" w:rsidP="00C21B68">
      <w:pPr>
        <w:keepNext/>
      </w:pPr>
      <w:r>
        <w:t>New Zealand</w:t>
      </w:r>
      <w:r w:rsidR="002F6FBA">
        <w:t>’</w:t>
      </w:r>
      <w:r>
        <w:t xml:space="preserve">s experience of the </w:t>
      </w:r>
      <w:r w:rsidR="002F6FBA">
        <w:t>COVID</w:t>
      </w:r>
      <w:r w:rsidR="002F6FBA">
        <w:noBreakHyphen/>
        <w:t>19</w:t>
      </w:r>
      <w:r>
        <w:t xml:space="preserve"> virus was different to many other countries around the globe. As allied health professions, many of us watched our international colleagues and health systems being overwhelmed by the numbers and severity of the disease. Swift measures in New Zealand meant that, as described by our Prime Minister, the </w:t>
      </w:r>
      <w:r w:rsidR="002F6FBA">
        <w:t>‘</w:t>
      </w:r>
      <w:r>
        <w:t>team of 5 million</w:t>
      </w:r>
      <w:r w:rsidR="002F6FBA">
        <w:t>’</w:t>
      </w:r>
      <w:r>
        <w:t xml:space="preserve"> was able to flatten the disease curve in New Zealand and we delayed widespread infections until most of the population was vaccinated.</w:t>
      </w:r>
    </w:p>
    <w:p w14:paraId="1FA04F98" w14:textId="77777777" w:rsidR="008B7D3C" w:rsidRDefault="008B7D3C" w:rsidP="00C21B68">
      <w:pPr>
        <w:keepNext/>
      </w:pPr>
    </w:p>
    <w:p w14:paraId="641A4ED0" w14:textId="29FB7151" w:rsidR="008B7D3C" w:rsidRPr="008B7D3C" w:rsidRDefault="008B7D3C" w:rsidP="00C21B68">
      <w:pPr>
        <w:keepNext/>
        <w:rPr>
          <w:spacing w:val="-2"/>
        </w:rPr>
      </w:pPr>
      <w:r w:rsidRPr="008B7D3C">
        <w:rPr>
          <w:spacing w:val="-2"/>
        </w:rPr>
        <w:t xml:space="preserve">While our rates of hospitalisation and death are low by international standards, we still have more than 1 million people living in our communities who have been infected with </w:t>
      </w:r>
      <w:r w:rsidR="002F6FBA">
        <w:rPr>
          <w:spacing w:val="-2"/>
        </w:rPr>
        <w:t>COVID</w:t>
      </w:r>
      <w:r w:rsidR="002F6FBA">
        <w:rPr>
          <w:spacing w:val="-2"/>
        </w:rPr>
        <w:noBreakHyphen/>
        <w:t>19</w:t>
      </w:r>
      <w:r w:rsidRPr="008B7D3C">
        <w:rPr>
          <w:spacing w:val="-2"/>
        </w:rPr>
        <w:t>. There is an important role for allied health professionals to be part of the team helping these people and others rehabilitate and recover from viruses. Our whole community is better served when the entire health sector work together for wellness.</w:t>
      </w:r>
    </w:p>
    <w:p w14:paraId="39CD1428" w14:textId="77777777" w:rsidR="008B7D3C" w:rsidRDefault="008B7D3C" w:rsidP="00C21B68">
      <w:pPr>
        <w:keepNext/>
      </w:pPr>
    </w:p>
    <w:p w14:paraId="397FAB4E" w14:textId="3F632EFB" w:rsidR="008B7D3C" w:rsidRDefault="008B7D3C" w:rsidP="008B7D3C">
      <w:r>
        <w:t>Members of the Allied Health Association of Aotearoa New Zealand are united in their willingness to work with other professions. My thanks to the people who volunteered, at a busy time in their working lives, to bring this guidance together and to ensure it remains current. The allied health workforce plays a vital role in recovery and rehabilitation.</w:t>
      </w:r>
    </w:p>
    <w:p w14:paraId="71DBA9B2" w14:textId="77777777" w:rsidR="008B7D3C" w:rsidRDefault="008B7D3C" w:rsidP="008B7D3C"/>
    <w:p w14:paraId="130A141E" w14:textId="0E0521BC" w:rsidR="008B7D3C" w:rsidRDefault="008B7D3C" w:rsidP="008B7D3C">
      <w:r>
        <w:t xml:space="preserve">This document sets out some of the ways allied health can contribute to the health and wellbeing of New Zealanders who have been affected by </w:t>
      </w:r>
      <w:r w:rsidR="002F6FBA">
        <w:t>COVID</w:t>
      </w:r>
      <w:r w:rsidR="002F6FBA">
        <w:noBreakHyphen/>
        <w:t>19</w:t>
      </w:r>
      <w:r>
        <w:t>.</w:t>
      </w:r>
    </w:p>
    <w:p w14:paraId="3C70FAF9" w14:textId="77777777" w:rsidR="00D662F8" w:rsidRDefault="00D662F8" w:rsidP="0046362D"/>
    <w:p w14:paraId="5558ECEF" w14:textId="77777777" w:rsidR="00571223" w:rsidRDefault="00571223" w:rsidP="0046362D">
      <w:pPr>
        <w:sectPr w:rsidR="00571223" w:rsidSect="001D3E4E">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648D4F84" w14:textId="77777777" w:rsidR="00C86248" w:rsidRDefault="00C86248" w:rsidP="00025A6F">
      <w:pPr>
        <w:pStyle w:val="IntroHead"/>
      </w:pPr>
      <w:r>
        <w:lastRenderedPageBreak/>
        <w:t>Contents</w:t>
      </w:r>
      <w:bookmarkEnd w:id="1"/>
      <w:bookmarkEnd w:id="2"/>
    </w:p>
    <w:p w14:paraId="058D5CCB" w14:textId="010FB5ED" w:rsidR="00B51795" w:rsidRDefault="00B51795">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07483157" w:history="1">
        <w:r w:rsidRPr="00E63FC0">
          <w:rPr>
            <w:rStyle w:val="Hyperlink"/>
            <w:noProof/>
          </w:rPr>
          <w:t>Foreword</w:t>
        </w:r>
        <w:r>
          <w:rPr>
            <w:noProof/>
            <w:webHidden/>
          </w:rPr>
          <w:tab/>
        </w:r>
        <w:r>
          <w:rPr>
            <w:noProof/>
            <w:webHidden/>
          </w:rPr>
          <w:fldChar w:fldCharType="begin"/>
        </w:r>
        <w:r>
          <w:rPr>
            <w:noProof/>
            <w:webHidden/>
          </w:rPr>
          <w:instrText xml:space="preserve"> PAGEREF _Toc107483157 \h </w:instrText>
        </w:r>
        <w:r>
          <w:rPr>
            <w:noProof/>
            <w:webHidden/>
          </w:rPr>
        </w:r>
        <w:r>
          <w:rPr>
            <w:noProof/>
            <w:webHidden/>
          </w:rPr>
          <w:fldChar w:fldCharType="separate"/>
        </w:r>
        <w:r w:rsidR="004E210D">
          <w:rPr>
            <w:noProof/>
            <w:webHidden/>
          </w:rPr>
          <w:t>iii</w:t>
        </w:r>
        <w:r>
          <w:rPr>
            <w:noProof/>
            <w:webHidden/>
          </w:rPr>
          <w:fldChar w:fldCharType="end"/>
        </w:r>
      </w:hyperlink>
    </w:p>
    <w:p w14:paraId="1B2D87B4" w14:textId="53E6D90C" w:rsidR="00B51795" w:rsidRDefault="003E5AF1">
      <w:pPr>
        <w:pStyle w:val="TOC1"/>
        <w:rPr>
          <w:rFonts w:asciiTheme="minorHAnsi" w:eastAsiaTheme="minorEastAsia" w:hAnsiTheme="minorHAnsi" w:cstheme="minorBidi"/>
          <w:noProof/>
          <w:sz w:val="22"/>
          <w:szCs w:val="22"/>
          <w:lang w:eastAsia="en-NZ"/>
        </w:rPr>
      </w:pPr>
      <w:hyperlink w:anchor="_Toc107483158" w:history="1">
        <w:r w:rsidR="00B51795" w:rsidRPr="00E63FC0">
          <w:rPr>
            <w:rStyle w:val="Hyperlink"/>
            <w:noProof/>
          </w:rPr>
          <w:t>Section 1: Introduction</w:t>
        </w:r>
        <w:r w:rsidR="00B51795">
          <w:rPr>
            <w:noProof/>
            <w:webHidden/>
          </w:rPr>
          <w:tab/>
        </w:r>
        <w:r w:rsidR="00B51795">
          <w:rPr>
            <w:noProof/>
            <w:webHidden/>
          </w:rPr>
          <w:fldChar w:fldCharType="begin"/>
        </w:r>
        <w:r w:rsidR="00B51795">
          <w:rPr>
            <w:noProof/>
            <w:webHidden/>
          </w:rPr>
          <w:instrText xml:space="preserve"> PAGEREF _Toc107483158 \h </w:instrText>
        </w:r>
        <w:r w:rsidR="00B51795">
          <w:rPr>
            <w:noProof/>
            <w:webHidden/>
          </w:rPr>
        </w:r>
        <w:r w:rsidR="00B51795">
          <w:rPr>
            <w:noProof/>
            <w:webHidden/>
          </w:rPr>
          <w:fldChar w:fldCharType="separate"/>
        </w:r>
        <w:r w:rsidR="004E210D">
          <w:rPr>
            <w:noProof/>
            <w:webHidden/>
          </w:rPr>
          <w:t>1</w:t>
        </w:r>
        <w:r w:rsidR="00B51795">
          <w:rPr>
            <w:noProof/>
            <w:webHidden/>
          </w:rPr>
          <w:fldChar w:fldCharType="end"/>
        </w:r>
      </w:hyperlink>
    </w:p>
    <w:p w14:paraId="3CBBC175" w14:textId="54742330" w:rsidR="00B51795" w:rsidRDefault="003E5AF1">
      <w:pPr>
        <w:pStyle w:val="TOC2"/>
        <w:rPr>
          <w:rFonts w:asciiTheme="minorHAnsi" w:eastAsiaTheme="minorEastAsia" w:hAnsiTheme="minorHAnsi" w:cstheme="minorBidi"/>
          <w:noProof/>
          <w:szCs w:val="22"/>
          <w:lang w:eastAsia="en-NZ"/>
        </w:rPr>
      </w:pPr>
      <w:hyperlink w:anchor="_Toc107483159" w:history="1">
        <w:r w:rsidR="00B51795" w:rsidRPr="00E63FC0">
          <w:rPr>
            <w:rStyle w:val="Hyperlink"/>
            <w:noProof/>
          </w:rPr>
          <w:t>Purpose</w:t>
        </w:r>
        <w:r w:rsidR="00B51795">
          <w:rPr>
            <w:noProof/>
            <w:webHidden/>
          </w:rPr>
          <w:tab/>
        </w:r>
        <w:r w:rsidR="00B51795">
          <w:rPr>
            <w:noProof/>
            <w:webHidden/>
          </w:rPr>
          <w:fldChar w:fldCharType="begin"/>
        </w:r>
        <w:r w:rsidR="00B51795">
          <w:rPr>
            <w:noProof/>
            <w:webHidden/>
          </w:rPr>
          <w:instrText xml:space="preserve"> PAGEREF _Toc107483159 \h </w:instrText>
        </w:r>
        <w:r w:rsidR="00B51795">
          <w:rPr>
            <w:noProof/>
            <w:webHidden/>
          </w:rPr>
        </w:r>
        <w:r w:rsidR="00B51795">
          <w:rPr>
            <w:noProof/>
            <w:webHidden/>
          </w:rPr>
          <w:fldChar w:fldCharType="separate"/>
        </w:r>
        <w:r w:rsidR="004E210D">
          <w:rPr>
            <w:noProof/>
            <w:webHidden/>
          </w:rPr>
          <w:t>1</w:t>
        </w:r>
        <w:r w:rsidR="00B51795">
          <w:rPr>
            <w:noProof/>
            <w:webHidden/>
          </w:rPr>
          <w:fldChar w:fldCharType="end"/>
        </w:r>
      </w:hyperlink>
    </w:p>
    <w:p w14:paraId="09F980C5" w14:textId="1383E0ED" w:rsidR="00B51795" w:rsidRDefault="003E5AF1">
      <w:pPr>
        <w:pStyle w:val="TOC2"/>
        <w:rPr>
          <w:rFonts w:asciiTheme="minorHAnsi" w:eastAsiaTheme="minorEastAsia" w:hAnsiTheme="minorHAnsi" w:cstheme="minorBidi"/>
          <w:noProof/>
          <w:szCs w:val="22"/>
          <w:lang w:eastAsia="en-NZ"/>
        </w:rPr>
      </w:pPr>
      <w:hyperlink w:anchor="_Toc107483160" w:history="1">
        <w:r w:rsidR="00B51795" w:rsidRPr="00E63FC0">
          <w:rPr>
            <w:rStyle w:val="Hyperlink"/>
            <w:noProof/>
          </w:rPr>
          <w:t>Problem definition</w:t>
        </w:r>
        <w:r w:rsidR="00B51795">
          <w:rPr>
            <w:noProof/>
            <w:webHidden/>
          </w:rPr>
          <w:tab/>
        </w:r>
        <w:r w:rsidR="00B51795">
          <w:rPr>
            <w:noProof/>
            <w:webHidden/>
          </w:rPr>
          <w:fldChar w:fldCharType="begin"/>
        </w:r>
        <w:r w:rsidR="00B51795">
          <w:rPr>
            <w:noProof/>
            <w:webHidden/>
          </w:rPr>
          <w:instrText xml:space="preserve"> PAGEREF _Toc107483160 \h </w:instrText>
        </w:r>
        <w:r w:rsidR="00B51795">
          <w:rPr>
            <w:noProof/>
            <w:webHidden/>
          </w:rPr>
        </w:r>
        <w:r w:rsidR="00B51795">
          <w:rPr>
            <w:noProof/>
            <w:webHidden/>
          </w:rPr>
          <w:fldChar w:fldCharType="separate"/>
        </w:r>
        <w:r w:rsidR="004E210D">
          <w:rPr>
            <w:noProof/>
            <w:webHidden/>
          </w:rPr>
          <w:t>1</w:t>
        </w:r>
        <w:r w:rsidR="00B51795">
          <w:rPr>
            <w:noProof/>
            <w:webHidden/>
          </w:rPr>
          <w:fldChar w:fldCharType="end"/>
        </w:r>
      </w:hyperlink>
    </w:p>
    <w:p w14:paraId="43CDC22F" w14:textId="758D339C" w:rsidR="00B51795" w:rsidRDefault="003E5AF1">
      <w:pPr>
        <w:pStyle w:val="TOC2"/>
        <w:rPr>
          <w:rFonts w:asciiTheme="minorHAnsi" w:eastAsiaTheme="minorEastAsia" w:hAnsiTheme="minorHAnsi" w:cstheme="minorBidi"/>
          <w:noProof/>
          <w:szCs w:val="22"/>
          <w:lang w:eastAsia="en-NZ"/>
        </w:rPr>
      </w:pPr>
      <w:hyperlink w:anchor="_Toc107483161" w:history="1">
        <w:r w:rsidR="00B51795" w:rsidRPr="00E63FC0">
          <w:rPr>
            <w:rStyle w:val="Hyperlink"/>
            <w:noProof/>
          </w:rPr>
          <w:t>Key health impacts of COVID</w:t>
        </w:r>
        <w:r w:rsidR="00B51795" w:rsidRPr="00E63FC0">
          <w:rPr>
            <w:rStyle w:val="Hyperlink"/>
            <w:noProof/>
          </w:rPr>
          <w:noBreakHyphen/>
          <w:t>19</w:t>
        </w:r>
        <w:r w:rsidR="00B51795">
          <w:rPr>
            <w:noProof/>
            <w:webHidden/>
          </w:rPr>
          <w:tab/>
        </w:r>
        <w:r w:rsidR="00B51795">
          <w:rPr>
            <w:noProof/>
            <w:webHidden/>
          </w:rPr>
          <w:fldChar w:fldCharType="begin"/>
        </w:r>
        <w:r w:rsidR="00B51795">
          <w:rPr>
            <w:noProof/>
            <w:webHidden/>
          </w:rPr>
          <w:instrText xml:space="preserve"> PAGEREF _Toc107483161 \h </w:instrText>
        </w:r>
        <w:r w:rsidR="00B51795">
          <w:rPr>
            <w:noProof/>
            <w:webHidden/>
          </w:rPr>
        </w:r>
        <w:r w:rsidR="00B51795">
          <w:rPr>
            <w:noProof/>
            <w:webHidden/>
          </w:rPr>
          <w:fldChar w:fldCharType="separate"/>
        </w:r>
        <w:r w:rsidR="004E210D">
          <w:rPr>
            <w:noProof/>
            <w:webHidden/>
          </w:rPr>
          <w:t>2</w:t>
        </w:r>
        <w:r w:rsidR="00B51795">
          <w:rPr>
            <w:noProof/>
            <w:webHidden/>
          </w:rPr>
          <w:fldChar w:fldCharType="end"/>
        </w:r>
      </w:hyperlink>
    </w:p>
    <w:p w14:paraId="479F5CE4" w14:textId="754EAC5D" w:rsidR="00B51795" w:rsidRDefault="003E5AF1">
      <w:pPr>
        <w:pStyle w:val="TOC2"/>
        <w:rPr>
          <w:rFonts w:asciiTheme="minorHAnsi" w:eastAsiaTheme="minorEastAsia" w:hAnsiTheme="minorHAnsi" w:cstheme="minorBidi"/>
          <w:noProof/>
          <w:szCs w:val="22"/>
          <w:lang w:eastAsia="en-NZ"/>
        </w:rPr>
      </w:pPr>
      <w:hyperlink w:anchor="_Toc107483162" w:history="1">
        <w:r w:rsidR="00B51795" w:rsidRPr="00E63FC0">
          <w:rPr>
            <w:rStyle w:val="Hyperlink"/>
            <w:noProof/>
          </w:rPr>
          <w:t>Key social impacts of COVID</w:t>
        </w:r>
        <w:r w:rsidR="00B51795" w:rsidRPr="00E63FC0">
          <w:rPr>
            <w:rStyle w:val="Hyperlink"/>
            <w:noProof/>
          </w:rPr>
          <w:noBreakHyphen/>
          <w:t>19</w:t>
        </w:r>
        <w:r w:rsidR="00B51795">
          <w:rPr>
            <w:noProof/>
            <w:webHidden/>
          </w:rPr>
          <w:tab/>
        </w:r>
        <w:r w:rsidR="00B51795">
          <w:rPr>
            <w:noProof/>
            <w:webHidden/>
          </w:rPr>
          <w:fldChar w:fldCharType="begin"/>
        </w:r>
        <w:r w:rsidR="00B51795">
          <w:rPr>
            <w:noProof/>
            <w:webHidden/>
          </w:rPr>
          <w:instrText xml:space="preserve"> PAGEREF _Toc107483162 \h </w:instrText>
        </w:r>
        <w:r w:rsidR="00B51795">
          <w:rPr>
            <w:noProof/>
            <w:webHidden/>
          </w:rPr>
        </w:r>
        <w:r w:rsidR="00B51795">
          <w:rPr>
            <w:noProof/>
            <w:webHidden/>
          </w:rPr>
          <w:fldChar w:fldCharType="separate"/>
        </w:r>
        <w:r w:rsidR="004E210D">
          <w:rPr>
            <w:noProof/>
            <w:webHidden/>
          </w:rPr>
          <w:t>2</w:t>
        </w:r>
        <w:r w:rsidR="00B51795">
          <w:rPr>
            <w:noProof/>
            <w:webHidden/>
          </w:rPr>
          <w:fldChar w:fldCharType="end"/>
        </w:r>
      </w:hyperlink>
    </w:p>
    <w:p w14:paraId="47BB6C2C" w14:textId="74DDD5C2" w:rsidR="00B51795" w:rsidRDefault="003E5AF1">
      <w:pPr>
        <w:pStyle w:val="TOC2"/>
        <w:rPr>
          <w:rFonts w:asciiTheme="minorHAnsi" w:eastAsiaTheme="minorEastAsia" w:hAnsiTheme="minorHAnsi" w:cstheme="minorBidi"/>
          <w:noProof/>
          <w:szCs w:val="22"/>
          <w:lang w:eastAsia="en-NZ"/>
        </w:rPr>
      </w:pPr>
      <w:hyperlink w:anchor="_Toc107483163" w:history="1">
        <w:r w:rsidR="00B51795" w:rsidRPr="00E63FC0">
          <w:rPr>
            <w:rStyle w:val="Hyperlink"/>
            <w:noProof/>
          </w:rPr>
          <w:t>Clinical case definitions</w:t>
        </w:r>
        <w:r w:rsidR="00B51795">
          <w:rPr>
            <w:noProof/>
            <w:webHidden/>
          </w:rPr>
          <w:tab/>
        </w:r>
        <w:r w:rsidR="00B51795">
          <w:rPr>
            <w:noProof/>
            <w:webHidden/>
          </w:rPr>
          <w:fldChar w:fldCharType="begin"/>
        </w:r>
        <w:r w:rsidR="00B51795">
          <w:rPr>
            <w:noProof/>
            <w:webHidden/>
          </w:rPr>
          <w:instrText xml:space="preserve"> PAGEREF _Toc107483163 \h </w:instrText>
        </w:r>
        <w:r w:rsidR="00B51795">
          <w:rPr>
            <w:noProof/>
            <w:webHidden/>
          </w:rPr>
        </w:r>
        <w:r w:rsidR="00B51795">
          <w:rPr>
            <w:noProof/>
            <w:webHidden/>
          </w:rPr>
          <w:fldChar w:fldCharType="separate"/>
        </w:r>
        <w:r w:rsidR="004E210D">
          <w:rPr>
            <w:noProof/>
            <w:webHidden/>
          </w:rPr>
          <w:t>3</w:t>
        </w:r>
        <w:r w:rsidR="00B51795">
          <w:rPr>
            <w:noProof/>
            <w:webHidden/>
          </w:rPr>
          <w:fldChar w:fldCharType="end"/>
        </w:r>
      </w:hyperlink>
    </w:p>
    <w:p w14:paraId="7C31A98D" w14:textId="2A665919" w:rsidR="00B51795" w:rsidRDefault="003E5AF1">
      <w:pPr>
        <w:pStyle w:val="TOC2"/>
        <w:rPr>
          <w:rFonts w:asciiTheme="minorHAnsi" w:eastAsiaTheme="minorEastAsia" w:hAnsiTheme="minorHAnsi" w:cstheme="minorBidi"/>
          <w:noProof/>
          <w:szCs w:val="22"/>
          <w:lang w:eastAsia="en-NZ"/>
        </w:rPr>
      </w:pPr>
      <w:hyperlink w:anchor="_Toc107483164" w:history="1">
        <w:r w:rsidR="00B51795" w:rsidRPr="00E63FC0">
          <w:rPr>
            <w:rStyle w:val="Hyperlink"/>
            <w:noProof/>
            <w:lang w:eastAsia="en-NZ"/>
          </w:rPr>
          <w:t>Background and context</w:t>
        </w:r>
        <w:r w:rsidR="00B51795">
          <w:rPr>
            <w:noProof/>
            <w:webHidden/>
          </w:rPr>
          <w:tab/>
        </w:r>
        <w:r w:rsidR="00B51795">
          <w:rPr>
            <w:noProof/>
            <w:webHidden/>
          </w:rPr>
          <w:fldChar w:fldCharType="begin"/>
        </w:r>
        <w:r w:rsidR="00B51795">
          <w:rPr>
            <w:noProof/>
            <w:webHidden/>
          </w:rPr>
          <w:instrText xml:space="preserve"> PAGEREF _Toc107483164 \h </w:instrText>
        </w:r>
        <w:r w:rsidR="00B51795">
          <w:rPr>
            <w:noProof/>
            <w:webHidden/>
          </w:rPr>
        </w:r>
        <w:r w:rsidR="00B51795">
          <w:rPr>
            <w:noProof/>
            <w:webHidden/>
          </w:rPr>
          <w:fldChar w:fldCharType="separate"/>
        </w:r>
        <w:r w:rsidR="004E210D">
          <w:rPr>
            <w:noProof/>
            <w:webHidden/>
          </w:rPr>
          <w:t>3</w:t>
        </w:r>
        <w:r w:rsidR="00B51795">
          <w:rPr>
            <w:noProof/>
            <w:webHidden/>
          </w:rPr>
          <w:fldChar w:fldCharType="end"/>
        </w:r>
      </w:hyperlink>
    </w:p>
    <w:p w14:paraId="184270B3" w14:textId="23437D2C" w:rsidR="00B51795" w:rsidRDefault="003E5AF1">
      <w:pPr>
        <w:pStyle w:val="TOC1"/>
        <w:rPr>
          <w:rFonts w:asciiTheme="minorHAnsi" w:eastAsiaTheme="minorEastAsia" w:hAnsiTheme="minorHAnsi" w:cstheme="minorBidi"/>
          <w:noProof/>
          <w:sz w:val="22"/>
          <w:szCs w:val="22"/>
          <w:lang w:eastAsia="en-NZ"/>
        </w:rPr>
      </w:pPr>
      <w:hyperlink w:anchor="_Toc107483165" w:history="1">
        <w:r w:rsidR="00B51795" w:rsidRPr="00E63FC0">
          <w:rPr>
            <w:rStyle w:val="Hyperlink"/>
            <w:noProof/>
          </w:rPr>
          <w:t>Section 2: Rehabilitation</w:t>
        </w:r>
        <w:r w:rsidR="00B51795">
          <w:rPr>
            <w:noProof/>
            <w:webHidden/>
          </w:rPr>
          <w:tab/>
        </w:r>
        <w:r w:rsidR="00B51795">
          <w:rPr>
            <w:noProof/>
            <w:webHidden/>
          </w:rPr>
          <w:fldChar w:fldCharType="begin"/>
        </w:r>
        <w:r w:rsidR="00B51795">
          <w:rPr>
            <w:noProof/>
            <w:webHidden/>
          </w:rPr>
          <w:instrText xml:space="preserve"> PAGEREF _Toc107483165 \h </w:instrText>
        </w:r>
        <w:r w:rsidR="00B51795">
          <w:rPr>
            <w:noProof/>
            <w:webHidden/>
          </w:rPr>
        </w:r>
        <w:r w:rsidR="00B51795">
          <w:rPr>
            <w:noProof/>
            <w:webHidden/>
          </w:rPr>
          <w:fldChar w:fldCharType="separate"/>
        </w:r>
        <w:r w:rsidR="004E210D">
          <w:rPr>
            <w:noProof/>
            <w:webHidden/>
          </w:rPr>
          <w:t>4</w:t>
        </w:r>
        <w:r w:rsidR="00B51795">
          <w:rPr>
            <w:noProof/>
            <w:webHidden/>
          </w:rPr>
          <w:fldChar w:fldCharType="end"/>
        </w:r>
      </w:hyperlink>
    </w:p>
    <w:p w14:paraId="47EA3AD9" w14:textId="193A6E7C" w:rsidR="00B51795" w:rsidRDefault="003E5AF1">
      <w:pPr>
        <w:pStyle w:val="TOC2"/>
        <w:rPr>
          <w:rFonts w:asciiTheme="minorHAnsi" w:eastAsiaTheme="minorEastAsia" w:hAnsiTheme="minorHAnsi" w:cstheme="minorBidi"/>
          <w:noProof/>
          <w:szCs w:val="22"/>
          <w:lang w:eastAsia="en-NZ"/>
        </w:rPr>
      </w:pPr>
      <w:hyperlink w:anchor="_Toc107483166" w:history="1">
        <w:r w:rsidR="00B51795" w:rsidRPr="00E63FC0">
          <w:rPr>
            <w:rStyle w:val="Hyperlink"/>
            <w:noProof/>
          </w:rPr>
          <w:t>Key principles for rehabilitation</w:t>
        </w:r>
        <w:r w:rsidR="00B51795">
          <w:rPr>
            <w:noProof/>
            <w:webHidden/>
          </w:rPr>
          <w:tab/>
        </w:r>
        <w:r w:rsidR="00B51795">
          <w:rPr>
            <w:noProof/>
            <w:webHidden/>
          </w:rPr>
          <w:fldChar w:fldCharType="begin"/>
        </w:r>
        <w:r w:rsidR="00B51795">
          <w:rPr>
            <w:noProof/>
            <w:webHidden/>
          </w:rPr>
          <w:instrText xml:space="preserve"> PAGEREF _Toc107483166 \h </w:instrText>
        </w:r>
        <w:r w:rsidR="00B51795">
          <w:rPr>
            <w:noProof/>
            <w:webHidden/>
          </w:rPr>
        </w:r>
        <w:r w:rsidR="00B51795">
          <w:rPr>
            <w:noProof/>
            <w:webHidden/>
          </w:rPr>
          <w:fldChar w:fldCharType="separate"/>
        </w:r>
        <w:r w:rsidR="004E210D">
          <w:rPr>
            <w:noProof/>
            <w:webHidden/>
          </w:rPr>
          <w:t>4</w:t>
        </w:r>
        <w:r w:rsidR="00B51795">
          <w:rPr>
            <w:noProof/>
            <w:webHidden/>
          </w:rPr>
          <w:fldChar w:fldCharType="end"/>
        </w:r>
      </w:hyperlink>
    </w:p>
    <w:p w14:paraId="7FE07D08" w14:textId="1EC2E6AA" w:rsidR="00B51795" w:rsidRDefault="003E5AF1">
      <w:pPr>
        <w:pStyle w:val="TOC2"/>
        <w:rPr>
          <w:rFonts w:asciiTheme="minorHAnsi" w:eastAsiaTheme="minorEastAsia" w:hAnsiTheme="minorHAnsi" w:cstheme="minorBidi"/>
          <w:noProof/>
          <w:szCs w:val="22"/>
          <w:lang w:eastAsia="en-NZ"/>
        </w:rPr>
      </w:pPr>
      <w:hyperlink w:anchor="_Toc107483167" w:history="1">
        <w:r w:rsidR="00B51795" w:rsidRPr="00E63FC0">
          <w:rPr>
            <w:rStyle w:val="Hyperlink"/>
            <w:noProof/>
          </w:rPr>
          <w:t>Allied health, scientific and technical professionals’ input into the rehabilitation of people with COVID</w:t>
        </w:r>
        <w:r w:rsidR="00B51795" w:rsidRPr="00E63FC0">
          <w:rPr>
            <w:rStyle w:val="Hyperlink"/>
            <w:noProof/>
          </w:rPr>
          <w:noBreakHyphen/>
          <w:t>19</w:t>
        </w:r>
        <w:r w:rsidR="00B51795">
          <w:rPr>
            <w:noProof/>
            <w:webHidden/>
          </w:rPr>
          <w:tab/>
        </w:r>
        <w:r w:rsidR="00B51795">
          <w:rPr>
            <w:noProof/>
            <w:webHidden/>
          </w:rPr>
          <w:fldChar w:fldCharType="begin"/>
        </w:r>
        <w:r w:rsidR="00B51795">
          <w:rPr>
            <w:noProof/>
            <w:webHidden/>
          </w:rPr>
          <w:instrText xml:space="preserve"> PAGEREF _Toc107483167 \h </w:instrText>
        </w:r>
        <w:r w:rsidR="00B51795">
          <w:rPr>
            <w:noProof/>
            <w:webHidden/>
          </w:rPr>
        </w:r>
        <w:r w:rsidR="00B51795">
          <w:rPr>
            <w:noProof/>
            <w:webHidden/>
          </w:rPr>
          <w:fldChar w:fldCharType="separate"/>
        </w:r>
        <w:r w:rsidR="004E210D">
          <w:rPr>
            <w:noProof/>
            <w:webHidden/>
          </w:rPr>
          <w:t>5</w:t>
        </w:r>
        <w:r w:rsidR="00B51795">
          <w:rPr>
            <w:noProof/>
            <w:webHidden/>
          </w:rPr>
          <w:fldChar w:fldCharType="end"/>
        </w:r>
      </w:hyperlink>
    </w:p>
    <w:p w14:paraId="622992D1" w14:textId="48FDACE1" w:rsidR="00B51795" w:rsidRDefault="003E5AF1">
      <w:pPr>
        <w:pStyle w:val="TOC2"/>
        <w:rPr>
          <w:rFonts w:asciiTheme="minorHAnsi" w:eastAsiaTheme="minorEastAsia" w:hAnsiTheme="minorHAnsi" w:cstheme="minorBidi"/>
          <w:noProof/>
          <w:szCs w:val="22"/>
          <w:lang w:eastAsia="en-NZ"/>
        </w:rPr>
      </w:pPr>
      <w:hyperlink w:anchor="_Toc107483168" w:history="1">
        <w:r w:rsidR="00B51795" w:rsidRPr="00E63FC0">
          <w:rPr>
            <w:rStyle w:val="Hyperlink"/>
            <w:rFonts w:eastAsia="Arial"/>
            <w:noProof/>
          </w:rPr>
          <w:t>Providing rehabilitation to people recovering from COVID</w:t>
        </w:r>
        <w:r w:rsidR="00B51795" w:rsidRPr="00E63FC0">
          <w:rPr>
            <w:rStyle w:val="Hyperlink"/>
            <w:rFonts w:eastAsia="Arial"/>
            <w:noProof/>
          </w:rPr>
          <w:noBreakHyphen/>
          <w:t>19</w:t>
        </w:r>
        <w:r w:rsidR="00B51795">
          <w:rPr>
            <w:noProof/>
            <w:webHidden/>
          </w:rPr>
          <w:tab/>
        </w:r>
        <w:r w:rsidR="00B51795">
          <w:rPr>
            <w:noProof/>
            <w:webHidden/>
          </w:rPr>
          <w:fldChar w:fldCharType="begin"/>
        </w:r>
        <w:r w:rsidR="00B51795">
          <w:rPr>
            <w:noProof/>
            <w:webHidden/>
          </w:rPr>
          <w:instrText xml:space="preserve"> PAGEREF _Toc107483168 \h </w:instrText>
        </w:r>
        <w:r w:rsidR="00B51795">
          <w:rPr>
            <w:noProof/>
            <w:webHidden/>
          </w:rPr>
        </w:r>
        <w:r w:rsidR="00B51795">
          <w:rPr>
            <w:noProof/>
            <w:webHidden/>
          </w:rPr>
          <w:fldChar w:fldCharType="separate"/>
        </w:r>
        <w:r w:rsidR="004E210D">
          <w:rPr>
            <w:noProof/>
            <w:webHidden/>
          </w:rPr>
          <w:t>7</w:t>
        </w:r>
        <w:r w:rsidR="00B51795">
          <w:rPr>
            <w:noProof/>
            <w:webHidden/>
          </w:rPr>
          <w:fldChar w:fldCharType="end"/>
        </w:r>
      </w:hyperlink>
    </w:p>
    <w:p w14:paraId="6FF23FF4" w14:textId="51E95F59" w:rsidR="00B51795" w:rsidRDefault="003E5AF1">
      <w:pPr>
        <w:pStyle w:val="TOC1"/>
        <w:rPr>
          <w:rFonts w:asciiTheme="minorHAnsi" w:eastAsiaTheme="minorEastAsia" w:hAnsiTheme="minorHAnsi" w:cstheme="minorBidi"/>
          <w:noProof/>
          <w:sz w:val="22"/>
          <w:szCs w:val="22"/>
          <w:lang w:eastAsia="en-NZ"/>
        </w:rPr>
      </w:pPr>
      <w:hyperlink w:anchor="_Toc107483169" w:history="1">
        <w:r w:rsidR="00B51795" w:rsidRPr="00E63FC0">
          <w:rPr>
            <w:rStyle w:val="Hyperlink"/>
            <w:noProof/>
          </w:rPr>
          <w:t>References</w:t>
        </w:r>
        <w:r w:rsidR="00B51795">
          <w:rPr>
            <w:noProof/>
            <w:webHidden/>
          </w:rPr>
          <w:tab/>
        </w:r>
        <w:r w:rsidR="00B51795">
          <w:rPr>
            <w:noProof/>
            <w:webHidden/>
          </w:rPr>
          <w:fldChar w:fldCharType="begin"/>
        </w:r>
        <w:r w:rsidR="00B51795">
          <w:rPr>
            <w:noProof/>
            <w:webHidden/>
          </w:rPr>
          <w:instrText xml:space="preserve"> PAGEREF _Toc107483169 \h </w:instrText>
        </w:r>
        <w:r w:rsidR="00B51795">
          <w:rPr>
            <w:noProof/>
            <w:webHidden/>
          </w:rPr>
        </w:r>
        <w:r w:rsidR="00B51795">
          <w:rPr>
            <w:noProof/>
            <w:webHidden/>
          </w:rPr>
          <w:fldChar w:fldCharType="separate"/>
        </w:r>
        <w:r w:rsidR="004E210D">
          <w:rPr>
            <w:noProof/>
            <w:webHidden/>
          </w:rPr>
          <w:t>14</w:t>
        </w:r>
        <w:r w:rsidR="00B51795">
          <w:rPr>
            <w:noProof/>
            <w:webHidden/>
          </w:rPr>
          <w:fldChar w:fldCharType="end"/>
        </w:r>
      </w:hyperlink>
    </w:p>
    <w:p w14:paraId="133A9219" w14:textId="3B8C604A" w:rsidR="00C86248" w:rsidRDefault="00B51795">
      <w:r>
        <w:rPr>
          <w:rFonts w:ascii="Segoe UI Semibold" w:hAnsi="Segoe UI Semibold"/>
          <w:b/>
          <w:sz w:val="24"/>
        </w:rPr>
        <w:fldChar w:fldCharType="end"/>
      </w:r>
    </w:p>
    <w:p w14:paraId="0D248541" w14:textId="77777777" w:rsidR="002B76A7" w:rsidRDefault="002B76A7" w:rsidP="002B76A7">
      <w:pPr>
        <w:pStyle w:val="TOC1"/>
        <w:keepNext/>
      </w:pPr>
      <w:r>
        <w:t>List of Tables</w:t>
      </w:r>
    </w:p>
    <w:p w14:paraId="3F20D1D4" w14:textId="784E4AE6" w:rsidR="004E2F43" w:rsidRDefault="002B76A7">
      <w:pPr>
        <w:pStyle w:val="TOC3"/>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4E2F43">
        <w:rPr>
          <w:noProof/>
        </w:rPr>
        <w:t>Table 1</w:t>
      </w:r>
      <w:r w:rsidR="004E2F43" w:rsidRPr="00BF06E7">
        <w:rPr>
          <w:rFonts w:eastAsia="Arial"/>
          <w:noProof/>
        </w:rPr>
        <w:t>:</w:t>
      </w:r>
      <w:r w:rsidR="004E2F43">
        <w:rPr>
          <w:rFonts w:eastAsia="Arial"/>
          <w:noProof/>
        </w:rPr>
        <w:tab/>
      </w:r>
      <w:r w:rsidR="004E2F43" w:rsidRPr="00BF06E7">
        <w:rPr>
          <w:rFonts w:eastAsia="Arial"/>
          <w:noProof/>
        </w:rPr>
        <w:t>Ways health professionals can rehabilitate people recovering from COVID</w:t>
      </w:r>
      <w:r w:rsidR="004E2F43" w:rsidRPr="00BF06E7">
        <w:rPr>
          <w:rFonts w:eastAsia="Arial"/>
          <w:noProof/>
        </w:rPr>
        <w:noBreakHyphen/>
        <w:t>19</w:t>
      </w:r>
      <w:r w:rsidR="004E2F43">
        <w:rPr>
          <w:noProof/>
        </w:rPr>
        <w:tab/>
      </w:r>
      <w:r w:rsidR="004E2F43">
        <w:rPr>
          <w:noProof/>
        </w:rPr>
        <w:fldChar w:fldCharType="begin"/>
      </w:r>
      <w:r w:rsidR="004E2F43">
        <w:rPr>
          <w:noProof/>
        </w:rPr>
        <w:instrText xml:space="preserve"> PAGEREF _Toc107472417 \h </w:instrText>
      </w:r>
      <w:r w:rsidR="004E2F43">
        <w:rPr>
          <w:noProof/>
        </w:rPr>
      </w:r>
      <w:r w:rsidR="004E2F43">
        <w:rPr>
          <w:noProof/>
        </w:rPr>
        <w:fldChar w:fldCharType="separate"/>
      </w:r>
      <w:r w:rsidR="004E210D">
        <w:rPr>
          <w:noProof/>
        </w:rPr>
        <w:t>6</w:t>
      </w:r>
      <w:r w:rsidR="004E2F43">
        <w:rPr>
          <w:noProof/>
        </w:rPr>
        <w:fldChar w:fldCharType="end"/>
      </w:r>
    </w:p>
    <w:p w14:paraId="691E9990" w14:textId="7BA881C6" w:rsidR="004E2F43" w:rsidRDefault="004E2F43">
      <w:pPr>
        <w:pStyle w:val="TOC3"/>
        <w:rPr>
          <w:rFonts w:asciiTheme="minorHAnsi" w:eastAsiaTheme="minorEastAsia" w:hAnsiTheme="minorHAnsi" w:cstheme="minorBidi"/>
          <w:noProof/>
          <w:sz w:val="22"/>
          <w:szCs w:val="22"/>
          <w:lang w:eastAsia="en-NZ"/>
        </w:rPr>
      </w:pPr>
      <w:r>
        <w:rPr>
          <w:noProof/>
        </w:rPr>
        <w:t>Table 2</w:t>
      </w:r>
      <w:r w:rsidRPr="00BF06E7">
        <w:rPr>
          <w:rFonts w:eastAsia="Arial"/>
          <w:noProof/>
        </w:rPr>
        <w:t>:</w:t>
      </w:r>
      <w:r>
        <w:rPr>
          <w:rFonts w:eastAsia="Arial"/>
          <w:noProof/>
        </w:rPr>
        <w:tab/>
      </w:r>
      <w:r w:rsidRPr="00BF06E7">
        <w:rPr>
          <w:rFonts w:eastAsia="Arial"/>
          <w:noProof/>
        </w:rPr>
        <w:t>Key principles for and requirements of specific health professional groups when providing care to persons recovering from COVID</w:t>
      </w:r>
      <w:r w:rsidRPr="00BF06E7">
        <w:rPr>
          <w:rFonts w:eastAsia="Arial"/>
          <w:noProof/>
        </w:rPr>
        <w:noBreakHyphen/>
        <w:t>19</w:t>
      </w:r>
      <w:r>
        <w:rPr>
          <w:noProof/>
        </w:rPr>
        <w:tab/>
      </w:r>
      <w:r>
        <w:rPr>
          <w:noProof/>
        </w:rPr>
        <w:fldChar w:fldCharType="begin"/>
      </w:r>
      <w:r>
        <w:rPr>
          <w:noProof/>
        </w:rPr>
        <w:instrText xml:space="preserve"> PAGEREF _Toc107472418 \h </w:instrText>
      </w:r>
      <w:r>
        <w:rPr>
          <w:noProof/>
        </w:rPr>
      </w:r>
      <w:r>
        <w:rPr>
          <w:noProof/>
        </w:rPr>
        <w:fldChar w:fldCharType="separate"/>
      </w:r>
      <w:r w:rsidR="004E210D">
        <w:rPr>
          <w:noProof/>
        </w:rPr>
        <w:t>7</w:t>
      </w:r>
      <w:r>
        <w:rPr>
          <w:noProof/>
        </w:rPr>
        <w:fldChar w:fldCharType="end"/>
      </w:r>
    </w:p>
    <w:p w14:paraId="4A6797B1" w14:textId="77777777" w:rsidR="002B76A7" w:rsidRDefault="002B76A7" w:rsidP="003A5FEA">
      <w:r>
        <w:fldChar w:fldCharType="end"/>
      </w:r>
    </w:p>
    <w:p w14:paraId="03333094" w14:textId="77777777" w:rsidR="001D3E4E" w:rsidRDefault="001D3E4E" w:rsidP="003A5FEA">
      <w:pPr>
        <w:sectPr w:rsidR="001D3E4E" w:rsidSect="0078658E">
          <w:headerReference w:type="even" r:id="rId21"/>
          <w:headerReference w:type="default" r:id="rId22"/>
          <w:footerReference w:type="even" r:id="rId23"/>
          <w:footerReference w:type="default" r:id="rId24"/>
          <w:pgSz w:w="11907" w:h="16840" w:code="9"/>
          <w:pgMar w:top="1418" w:right="1701" w:bottom="1134" w:left="1843" w:header="284" w:footer="425" w:gutter="284"/>
          <w:pgNumType w:fmt="lowerRoman"/>
          <w:cols w:space="720"/>
        </w:sectPr>
      </w:pPr>
    </w:p>
    <w:p w14:paraId="39BE2591" w14:textId="7744E4BB" w:rsidR="008C2973" w:rsidRDefault="009A42D5" w:rsidP="008E3A07">
      <w:pPr>
        <w:pStyle w:val="Heading1"/>
        <w:rPr>
          <w:spacing w:val="0"/>
        </w:rPr>
      </w:pPr>
      <w:bookmarkStart w:id="3" w:name="_Toc107483158"/>
      <w:r w:rsidRPr="00005BB5">
        <w:rPr>
          <w:b w:val="0"/>
          <w:spacing w:val="0"/>
        </w:rPr>
        <w:lastRenderedPageBreak/>
        <w:t>Section 1:</w:t>
      </w:r>
      <w:r w:rsidR="0008437D" w:rsidRPr="00005BB5">
        <w:rPr>
          <w:spacing w:val="0"/>
        </w:rPr>
        <w:br/>
      </w:r>
      <w:r w:rsidR="008B7D3C">
        <w:rPr>
          <w:spacing w:val="0"/>
        </w:rPr>
        <w:t>Introduction</w:t>
      </w:r>
      <w:bookmarkEnd w:id="3"/>
    </w:p>
    <w:p w14:paraId="3FCEAF3D" w14:textId="77777777" w:rsidR="008B7D3C" w:rsidRPr="00FD00FD" w:rsidRDefault="008B7D3C" w:rsidP="002F6FBA">
      <w:pPr>
        <w:pStyle w:val="Heading2"/>
      </w:pPr>
      <w:bookmarkStart w:id="4" w:name="_Toc102738295"/>
      <w:bookmarkStart w:id="5" w:name="_Toc107483159"/>
      <w:r>
        <w:t>Purpose</w:t>
      </w:r>
      <w:bookmarkEnd w:id="4"/>
      <w:bookmarkEnd w:id="5"/>
    </w:p>
    <w:p w14:paraId="772581F0" w14:textId="0CC122BA" w:rsidR="008B7D3C" w:rsidRDefault="008B7D3C" w:rsidP="002F6FBA">
      <w:r w:rsidRPr="00880602">
        <w:t>The purpose of this document is to highlight the complexity and potential long</w:t>
      </w:r>
      <w:r>
        <w:t>-</w:t>
      </w:r>
      <w:r w:rsidRPr="00880602">
        <w:t xml:space="preserve">term needs of </w:t>
      </w:r>
      <w:r>
        <w:t xml:space="preserve">people </w:t>
      </w:r>
      <w:r w:rsidRPr="00880602">
        <w:t xml:space="preserve">recovering from </w:t>
      </w:r>
      <w:r w:rsidR="002F6FBA">
        <w:t>COVID</w:t>
      </w:r>
      <w:r w:rsidR="002F6FBA">
        <w:noBreakHyphen/>
        <w:t>19</w:t>
      </w:r>
      <w:r>
        <w:t xml:space="preserve"> </w:t>
      </w:r>
      <w:r w:rsidRPr="00880602">
        <w:t>and</w:t>
      </w:r>
      <w:r>
        <w:t xml:space="preserve"> to</w:t>
      </w:r>
      <w:r w:rsidRPr="00880602">
        <w:t xml:space="preserve"> </w:t>
      </w:r>
      <w:r>
        <w:t xml:space="preserve">demonstrate the </w:t>
      </w:r>
      <w:r w:rsidRPr="00880602">
        <w:t xml:space="preserve">importance of the </w:t>
      </w:r>
      <w:r>
        <w:t>a</w:t>
      </w:r>
      <w:r w:rsidRPr="00880602">
        <w:t xml:space="preserve">llied, </w:t>
      </w:r>
      <w:proofErr w:type="gramStart"/>
      <w:r>
        <w:t>s</w:t>
      </w:r>
      <w:r w:rsidRPr="00880602">
        <w:t>cientific</w:t>
      </w:r>
      <w:proofErr w:type="gramEnd"/>
      <w:r w:rsidRPr="00880602">
        <w:t xml:space="preserve"> and </w:t>
      </w:r>
      <w:r>
        <w:t>t</w:t>
      </w:r>
      <w:r w:rsidRPr="00880602">
        <w:t>echnical workforce in reducing the short- and long-term</w:t>
      </w:r>
      <w:r>
        <w:t xml:space="preserve"> health and wellbeing implications of </w:t>
      </w:r>
      <w:r w:rsidR="002F6FBA">
        <w:t>COVID</w:t>
      </w:r>
      <w:r w:rsidR="002F6FBA">
        <w:noBreakHyphen/>
        <w:t>19</w:t>
      </w:r>
      <w:r>
        <w:t xml:space="preserve"> infection.</w:t>
      </w:r>
    </w:p>
    <w:p w14:paraId="5F3CC4F1" w14:textId="77777777" w:rsidR="002F6FBA" w:rsidRDefault="002F6FBA" w:rsidP="002F6FBA"/>
    <w:p w14:paraId="74F6C70D" w14:textId="77777777" w:rsidR="008B7D3C" w:rsidRDefault="008B7D3C" w:rsidP="002F6FBA">
      <w:pPr>
        <w:pStyle w:val="Heading2"/>
      </w:pPr>
      <w:bookmarkStart w:id="6" w:name="_Toc102738296"/>
      <w:bookmarkStart w:id="7" w:name="_Toc107483160"/>
      <w:r>
        <w:t>Problem definition</w:t>
      </w:r>
      <w:bookmarkEnd w:id="6"/>
      <w:bookmarkEnd w:id="7"/>
    </w:p>
    <w:p w14:paraId="3A3F2918" w14:textId="75396417" w:rsidR="008B7D3C" w:rsidRPr="004E2F43" w:rsidRDefault="008B7D3C" w:rsidP="004E2F43">
      <w:r w:rsidRPr="004E2F43">
        <w:t xml:space="preserve">There is an emerging global body of research and guidance for the rehabilitation of people with </w:t>
      </w:r>
      <w:r w:rsidR="002F6FBA" w:rsidRPr="004E2F43">
        <w:t>COVID</w:t>
      </w:r>
      <w:r w:rsidR="002F6FBA" w:rsidRPr="004E2F43">
        <w:noBreakHyphen/>
        <w:t>19</w:t>
      </w:r>
      <w:r w:rsidRPr="004E2F43">
        <w:t>. However, New Zealand is in a fortunate position: the burden of disease is low compared to many countries. The lower burden of severe disease requires a different health and rehabilitation response compared to other jurisdictions, while being mindful of other variants specific impacts. This health response needs to be relevant to our health system and meet the needs of the Aotearoa New</w:t>
      </w:r>
      <w:r w:rsidRPr="00041D8E">
        <w:t xml:space="preserve"> Zealand population, including our commitment to the </w:t>
      </w:r>
      <w:proofErr w:type="spellStart"/>
      <w:r w:rsidRPr="004E2F43">
        <w:t>Te</w:t>
      </w:r>
      <w:proofErr w:type="spellEnd"/>
      <w:r w:rsidRPr="004E2F43">
        <w:t xml:space="preserve"> </w:t>
      </w:r>
      <w:proofErr w:type="spellStart"/>
      <w:r w:rsidRPr="004E2F43">
        <w:t>Tiriti</w:t>
      </w:r>
      <w:proofErr w:type="spellEnd"/>
      <w:r w:rsidRPr="004E2F43">
        <w:t xml:space="preserve"> O Waitangi and </w:t>
      </w:r>
      <w:proofErr w:type="spellStart"/>
      <w:r w:rsidRPr="004E2F43">
        <w:t>Whakamaua</w:t>
      </w:r>
      <w:proofErr w:type="spellEnd"/>
      <w:r w:rsidRPr="004E2F43">
        <w:t>: Māori Health Action Plan.</w:t>
      </w:r>
    </w:p>
    <w:p w14:paraId="241862CD" w14:textId="77777777" w:rsidR="008B7D3C" w:rsidRDefault="008B7D3C" w:rsidP="002F6FBA"/>
    <w:p w14:paraId="56930739" w14:textId="64FC985A" w:rsidR="008B7D3C" w:rsidRPr="001010CF" w:rsidRDefault="008B7D3C" w:rsidP="002F6FBA">
      <w:pPr>
        <w:rPr>
          <w:rFonts w:cstheme="minorHAnsi"/>
        </w:rPr>
      </w:pPr>
      <w:r>
        <w:t xml:space="preserve">The Ministry of Health and health service providers have an obligation under </w:t>
      </w:r>
      <w:proofErr w:type="spellStart"/>
      <w:r>
        <w:t>Te</w:t>
      </w:r>
      <w:proofErr w:type="spellEnd"/>
      <w:r>
        <w:t xml:space="preserve"> </w:t>
      </w:r>
      <w:proofErr w:type="spellStart"/>
      <w:r>
        <w:t>Tiriti</w:t>
      </w:r>
      <w:proofErr w:type="spellEnd"/>
      <w:r>
        <w:t xml:space="preserve"> o Waitangi to ensure iwi, </w:t>
      </w:r>
      <w:proofErr w:type="spellStart"/>
      <w:r>
        <w:t>hap</w:t>
      </w:r>
      <w:r>
        <w:rPr>
          <w:rFonts w:cs="Segoe UI"/>
        </w:rPr>
        <w:t>ū</w:t>
      </w:r>
      <w:proofErr w:type="spellEnd"/>
      <w:r>
        <w:t xml:space="preserve">, </w:t>
      </w:r>
      <w:proofErr w:type="spellStart"/>
      <w:r>
        <w:t>wh</w:t>
      </w:r>
      <w:r>
        <w:rPr>
          <w:rFonts w:cstheme="minorHAnsi"/>
        </w:rPr>
        <w:t>ā</w:t>
      </w:r>
      <w:r>
        <w:t>nau</w:t>
      </w:r>
      <w:proofErr w:type="spellEnd"/>
      <w:r>
        <w:t xml:space="preserve"> and M</w:t>
      </w:r>
      <w:r w:rsidRPr="001010CF">
        <w:rPr>
          <w:rFonts w:cstheme="minorHAnsi"/>
        </w:rPr>
        <w:t>ā</w:t>
      </w:r>
      <w:r>
        <w:t xml:space="preserve">ori communities and organisations are active partners in preventing and addressing potential impacts of </w:t>
      </w:r>
      <w:r w:rsidR="002F6FBA">
        <w:t>COVID</w:t>
      </w:r>
      <w:r w:rsidR="002F6FBA">
        <w:noBreakHyphen/>
        <w:t>19</w:t>
      </w:r>
      <w:r>
        <w:t xml:space="preserve">. The principles of </w:t>
      </w:r>
      <w:proofErr w:type="spellStart"/>
      <w:r>
        <w:t>Te</w:t>
      </w:r>
      <w:proofErr w:type="spellEnd"/>
      <w:r>
        <w:t xml:space="preserve"> </w:t>
      </w:r>
      <w:proofErr w:type="spellStart"/>
      <w:r>
        <w:t>Tiriti</w:t>
      </w:r>
      <w:proofErr w:type="spellEnd"/>
      <w:r>
        <w:t xml:space="preserve"> o Waitangi provide the framework to guide the health and disability system towards health equity for M</w:t>
      </w:r>
      <w:r>
        <w:rPr>
          <w:rFonts w:cs="Segoe UI"/>
        </w:rPr>
        <w:t>ā</w:t>
      </w:r>
      <w:r>
        <w:t>ori. These principles include:</w:t>
      </w:r>
    </w:p>
    <w:p w14:paraId="6188EAC0" w14:textId="1034D391" w:rsidR="008B7D3C" w:rsidRDefault="008B7D3C" w:rsidP="002F6FBA">
      <w:pPr>
        <w:pStyle w:val="Bullet"/>
      </w:pPr>
      <w:proofErr w:type="spellStart"/>
      <w:r>
        <w:rPr>
          <w:b/>
        </w:rPr>
        <w:t>tino</w:t>
      </w:r>
      <w:proofErr w:type="spellEnd"/>
      <w:r>
        <w:rPr>
          <w:b/>
        </w:rPr>
        <w:t xml:space="preserve"> rangatiratanga</w:t>
      </w:r>
      <w:r>
        <w:t xml:space="preserve">, which embodies Māori self-determination and mana </w:t>
      </w:r>
      <w:proofErr w:type="spellStart"/>
      <w:r>
        <w:t>motuhake</w:t>
      </w:r>
      <w:proofErr w:type="spellEnd"/>
      <w:r>
        <w:t xml:space="preserve">. This means that Māori are key decision makers in the design, delivery, and monitoring of health and disability services and the response to </w:t>
      </w:r>
      <w:r w:rsidR="002F6FBA">
        <w:t>COVID</w:t>
      </w:r>
      <w:r w:rsidR="002F6FBA">
        <w:noBreakHyphen/>
        <w:t>19</w:t>
      </w:r>
    </w:p>
    <w:p w14:paraId="5CA2A7CF" w14:textId="3A9C1A28" w:rsidR="008B7D3C" w:rsidRDefault="008B7D3C" w:rsidP="002F6FBA">
      <w:pPr>
        <w:pStyle w:val="Bullet"/>
      </w:pPr>
      <w:r>
        <w:rPr>
          <w:b/>
        </w:rPr>
        <w:t>equity</w:t>
      </w:r>
      <w:r>
        <w:rPr>
          <w:bCs/>
        </w:rPr>
        <w:t>,</w:t>
      </w:r>
      <w:r>
        <w:t xml:space="preserve"> which requires the Crown to commit to achieving equitable health outcomes for Māori and to eliminate health disparities resulting from </w:t>
      </w:r>
      <w:r w:rsidR="002F6FBA">
        <w:t>COVID</w:t>
      </w:r>
      <w:r w:rsidR="002F6FBA">
        <w:noBreakHyphen/>
        <w:t>19</w:t>
      </w:r>
      <w:r>
        <w:t>. This includes the active surveillance and monitoring of Māori health to ensure a proportionate and coordinated response to health need</w:t>
      </w:r>
    </w:p>
    <w:p w14:paraId="670C84CB" w14:textId="25C2E50B" w:rsidR="008B7D3C" w:rsidRDefault="008B7D3C" w:rsidP="002F6FBA">
      <w:pPr>
        <w:pStyle w:val="Bullet"/>
      </w:pPr>
      <w:r>
        <w:rPr>
          <w:b/>
        </w:rPr>
        <w:t>active protection</w:t>
      </w:r>
      <w:r>
        <w:rPr>
          <w:bCs/>
        </w:rPr>
        <w:t>,</w:t>
      </w:r>
      <w:r>
        <w:t xml:space="preserve"> which requires the Crown to act, to the fullest extent practicable, to protect Māori health and achieve equitable health outcomes for Māori in the response to </w:t>
      </w:r>
      <w:r w:rsidR="002F6FBA">
        <w:t>COVID</w:t>
      </w:r>
      <w:r w:rsidR="002F6FBA">
        <w:noBreakHyphen/>
        <w:t>19</w:t>
      </w:r>
      <w:r>
        <w:t xml:space="preserve">. This requires the Crown to implement measures to equip </w:t>
      </w:r>
      <w:proofErr w:type="spellStart"/>
      <w:r>
        <w:t>whānau</w:t>
      </w:r>
      <w:proofErr w:type="spellEnd"/>
      <w:r>
        <w:t xml:space="preserve">, </w:t>
      </w:r>
      <w:proofErr w:type="spellStart"/>
      <w:r>
        <w:t>hapū</w:t>
      </w:r>
      <w:proofErr w:type="spellEnd"/>
      <w:r>
        <w:t xml:space="preserve">, iwi and Māori communities with the resources to undertake and respond to public health measures to prevent and/or manage the spread of </w:t>
      </w:r>
      <w:r w:rsidR="002F6FBA">
        <w:t>COVID</w:t>
      </w:r>
      <w:r w:rsidR="002F6FBA">
        <w:noBreakHyphen/>
        <w:t>19</w:t>
      </w:r>
    </w:p>
    <w:p w14:paraId="664F3C5B" w14:textId="776815AF" w:rsidR="008B7D3C" w:rsidRDefault="008B7D3C" w:rsidP="002F6FBA">
      <w:pPr>
        <w:pStyle w:val="Bullet"/>
      </w:pPr>
      <w:r>
        <w:rPr>
          <w:b/>
        </w:rPr>
        <w:lastRenderedPageBreak/>
        <w:t>options</w:t>
      </w:r>
      <w:r>
        <w:rPr>
          <w:bCs/>
        </w:rPr>
        <w:t>,</w:t>
      </w:r>
      <w:r>
        <w:t xml:space="preserve"> which requires the Crown to provide for and properly resource </w:t>
      </w:r>
      <w:proofErr w:type="spellStart"/>
      <w:r>
        <w:t>kaupapa</w:t>
      </w:r>
      <w:proofErr w:type="spellEnd"/>
      <w:r>
        <w:t xml:space="preserve"> Māori health and disability services in the response to </w:t>
      </w:r>
      <w:r w:rsidR="002F6FBA">
        <w:t>COVID</w:t>
      </w:r>
      <w:r w:rsidR="002F6FBA">
        <w:noBreakHyphen/>
        <w:t>19</w:t>
      </w:r>
      <w:r>
        <w:t xml:space="preserve">. Furthermore, the Crown is obliged to ensure that all health and disability services are provided in a culturally appropriate way that recognises and supports the expression of </w:t>
      </w:r>
      <w:proofErr w:type="spellStart"/>
      <w:r>
        <w:t>hauora</w:t>
      </w:r>
      <w:proofErr w:type="spellEnd"/>
      <w:r>
        <w:t xml:space="preserve"> Māori models of care</w:t>
      </w:r>
    </w:p>
    <w:p w14:paraId="08CB5C62" w14:textId="395C2BFD" w:rsidR="008B7D3C" w:rsidRDefault="008B7D3C" w:rsidP="002F6FBA">
      <w:pPr>
        <w:pStyle w:val="Bullet"/>
      </w:pPr>
      <w:r>
        <w:rPr>
          <w:b/>
        </w:rPr>
        <w:t>partnership</w:t>
      </w:r>
      <w:r>
        <w:rPr>
          <w:bCs/>
        </w:rPr>
        <w:t>,</w:t>
      </w:r>
      <w:r>
        <w:t xml:space="preserve"> which requires the Crown and Māori to work in partnership in the governance, design, </w:t>
      </w:r>
      <w:proofErr w:type="gramStart"/>
      <w:r>
        <w:t>delivery</w:t>
      </w:r>
      <w:proofErr w:type="gramEnd"/>
      <w:r>
        <w:t xml:space="preserve"> and monitoring of the response to </w:t>
      </w:r>
      <w:r w:rsidR="002F6FBA">
        <w:t>COVID</w:t>
      </w:r>
      <w:r w:rsidR="002F6FBA">
        <w:noBreakHyphen/>
        <w:t>19</w:t>
      </w:r>
      <w:r>
        <w:t>. This contributes to a shared responsibility for achieving health equity for Māori.</w:t>
      </w:r>
    </w:p>
    <w:p w14:paraId="20106BF8" w14:textId="77777777" w:rsidR="002F6FBA" w:rsidRDefault="002F6FBA" w:rsidP="002F6FBA"/>
    <w:p w14:paraId="7CA3CF99" w14:textId="5A5D70C9" w:rsidR="008B7D3C" w:rsidRDefault="008B7D3C" w:rsidP="00DF5B12">
      <w:pPr>
        <w:pStyle w:val="Heading2"/>
      </w:pPr>
      <w:bookmarkStart w:id="8" w:name="_Toc102738297"/>
      <w:bookmarkStart w:id="9" w:name="_Toc107483161"/>
      <w:r>
        <w:t xml:space="preserve">Key health impacts of </w:t>
      </w:r>
      <w:r w:rsidR="002F6FBA">
        <w:t>COVID</w:t>
      </w:r>
      <w:r w:rsidR="002F6FBA">
        <w:noBreakHyphen/>
        <w:t>19</w:t>
      </w:r>
      <w:bookmarkEnd w:id="8"/>
      <w:bookmarkEnd w:id="9"/>
    </w:p>
    <w:p w14:paraId="0A2CCCE4" w14:textId="5A70088A" w:rsidR="008B7D3C" w:rsidRPr="00AB16F6" w:rsidRDefault="008B7D3C" w:rsidP="00DF5B12">
      <w:r w:rsidRPr="00AB16F6">
        <w:t xml:space="preserve">The key </w:t>
      </w:r>
      <w:r>
        <w:t xml:space="preserve">health </w:t>
      </w:r>
      <w:r w:rsidRPr="00AB16F6">
        <w:t xml:space="preserve">impacts of </w:t>
      </w:r>
      <w:r w:rsidR="002F6FBA">
        <w:t>COVID</w:t>
      </w:r>
      <w:r w:rsidR="002F6FBA">
        <w:noBreakHyphen/>
        <w:t>19</w:t>
      </w:r>
      <w:r w:rsidRPr="00AB16F6">
        <w:t xml:space="preserve"> are:</w:t>
      </w:r>
    </w:p>
    <w:p w14:paraId="338DB780" w14:textId="77777777" w:rsidR="008B7D3C" w:rsidRPr="007D4374" w:rsidRDefault="008B7D3C" w:rsidP="00DF5B12">
      <w:pPr>
        <w:pStyle w:val="Bullet"/>
      </w:pPr>
      <w:r>
        <w:t>breathing pattern disorder</w:t>
      </w:r>
      <w:r w:rsidRPr="007D4374">
        <w:t xml:space="preserve">, </w:t>
      </w:r>
      <w:r>
        <w:t xml:space="preserve">autonomic </w:t>
      </w:r>
      <w:proofErr w:type="gramStart"/>
      <w:r>
        <w:t>dysfunction</w:t>
      </w:r>
      <w:proofErr w:type="gramEnd"/>
      <w:r>
        <w:t xml:space="preserve"> </w:t>
      </w:r>
      <w:r w:rsidRPr="007D4374">
        <w:t xml:space="preserve">and musculoskeletal </w:t>
      </w:r>
      <w:r>
        <w:t>dys</w:t>
      </w:r>
      <w:r w:rsidRPr="007D4374">
        <w:t>function</w:t>
      </w:r>
    </w:p>
    <w:p w14:paraId="6F948FE7" w14:textId="77777777" w:rsidR="002F6FBA" w:rsidRDefault="008B7D3C" w:rsidP="00DF5B12">
      <w:pPr>
        <w:pStyle w:val="Bullet"/>
      </w:pPr>
      <w:r>
        <w:t>p</w:t>
      </w:r>
      <w:r w:rsidRPr="007D4374">
        <w:t>ost</w:t>
      </w:r>
      <w:r>
        <w:t>-</w:t>
      </w:r>
      <w:r w:rsidRPr="007D4374">
        <w:t>intensive care syndrome and post</w:t>
      </w:r>
      <w:r>
        <w:t>-</w:t>
      </w:r>
      <w:r w:rsidRPr="007D4374">
        <w:t>viral fatigue syndrome</w:t>
      </w:r>
    </w:p>
    <w:p w14:paraId="59AB7985" w14:textId="76FD5436" w:rsidR="008B7D3C" w:rsidRPr="007D4374" w:rsidRDefault="008B7D3C" w:rsidP="00DF5B12">
      <w:pPr>
        <w:pStyle w:val="Bullet"/>
      </w:pPr>
      <w:r>
        <w:t>r</w:t>
      </w:r>
      <w:r w:rsidRPr="007D4374">
        <w:t>enal and hepatic injury</w:t>
      </w:r>
    </w:p>
    <w:p w14:paraId="067F2A38" w14:textId="77777777" w:rsidR="002F6FBA" w:rsidRDefault="008B7D3C" w:rsidP="00DF5B12">
      <w:pPr>
        <w:pStyle w:val="Bullet"/>
      </w:pPr>
      <w:r>
        <w:t>d</w:t>
      </w:r>
      <w:r w:rsidRPr="007D4374">
        <w:t>elirium and other cognitive impairments</w:t>
      </w:r>
    </w:p>
    <w:p w14:paraId="1AA838F2" w14:textId="31618D86" w:rsidR="008B7D3C" w:rsidRPr="007D4374" w:rsidRDefault="008B7D3C" w:rsidP="00DF5B12">
      <w:pPr>
        <w:pStyle w:val="Bullet"/>
      </w:pPr>
      <w:r>
        <w:t>c</w:t>
      </w:r>
      <w:r w:rsidRPr="007D4374">
        <w:t>ommunication</w:t>
      </w:r>
      <w:r>
        <w:t xml:space="preserve"> impairments</w:t>
      </w:r>
    </w:p>
    <w:p w14:paraId="429D6D10" w14:textId="77777777" w:rsidR="008B7D3C" w:rsidRPr="007D4374" w:rsidRDefault="008B7D3C" w:rsidP="00DF5B12">
      <w:pPr>
        <w:pStyle w:val="Bullet"/>
      </w:pPr>
      <w:r>
        <w:t>impaired swallow and m</w:t>
      </w:r>
      <w:r w:rsidRPr="007D4374">
        <w:t>alnutrition</w:t>
      </w:r>
    </w:p>
    <w:p w14:paraId="66F9A95D" w14:textId="77777777" w:rsidR="002F6FBA" w:rsidRDefault="008B7D3C" w:rsidP="00DF5B12">
      <w:pPr>
        <w:pStyle w:val="Bullet"/>
      </w:pPr>
      <w:r>
        <w:t>d</w:t>
      </w:r>
      <w:r w:rsidRPr="007D4374">
        <w:t>eterioration in mental health and psychosocial implications</w:t>
      </w:r>
    </w:p>
    <w:p w14:paraId="30C85E91" w14:textId="77777777" w:rsidR="002F6FBA" w:rsidRDefault="008B7D3C" w:rsidP="00DF5B12">
      <w:pPr>
        <w:pStyle w:val="Bullet"/>
      </w:pPr>
      <w:r>
        <w:t>p</w:t>
      </w:r>
      <w:r w:rsidRPr="007D4374">
        <w:t>aediatric</w:t>
      </w:r>
      <w:r>
        <w:t>-</w:t>
      </w:r>
      <w:r w:rsidRPr="007D4374">
        <w:t xml:space="preserve">specific impacts such as meningitis and </w:t>
      </w:r>
      <w:r w:rsidRPr="00C60631">
        <w:t>multisystem inflammatory syndrome</w:t>
      </w:r>
      <w:r>
        <w:t>.</w:t>
      </w:r>
    </w:p>
    <w:p w14:paraId="2BBE4DFC" w14:textId="77777777" w:rsidR="00DF5B12" w:rsidRDefault="00DF5B12" w:rsidP="00DF5B12"/>
    <w:p w14:paraId="42BDF8D9" w14:textId="12E33080" w:rsidR="008B7D3C" w:rsidRDefault="008B7D3C" w:rsidP="00DF5B12">
      <w:pPr>
        <w:pStyle w:val="Heading2"/>
      </w:pPr>
      <w:bookmarkStart w:id="10" w:name="_Toc102738298"/>
      <w:bookmarkStart w:id="11" w:name="_Toc107483162"/>
      <w:r>
        <w:t xml:space="preserve">Key social impacts of </w:t>
      </w:r>
      <w:r w:rsidR="002F6FBA">
        <w:t>COVID</w:t>
      </w:r>
      <w:r w:rsidR="002F6FBA">
        <w:noBreakHyphen/>
        <w:t>19</w:t>
      </w:r>
      <w:bookmarkEnd w:id="10"/>
      <w:bookmarkEnd w:id="11"/>
    </w:p>
    <w:p w14:paraId="0D008177" w14:textId="4E842420" w:rsidR="008B7D3C" w:rsidRPr="00273843" w:rsidRDefault="008B7D3C" w:rsidP="00DF5B12">
      <w:r>
        <w:t xml:space="preserve">The key social impacts of </w:t>
      </w:r>
      <w:r w:rsidR="002F6FBA">
        <w:t>COVID</w:t>
      </w:r>
      <w:r w:rsidR="002F6FBA">
        <w:noBreakHyphen/>
        <w:t>19</w:t>
      </w:r>
      <w:r>
        <w:t xml:space="preserve"> are:</w:t>
      </w:r>
    </w:p>
    <w:p w14:paraId="50BE462D" w14:textId="77777777" w:rsidR="008B7D3C" w:rsidRPr="007D4374" w:rsidRDefault="008B7D3C" w:rsidP="00DF5B12">
      <w:pPr>
        <w:pStyle w:val="Bullet"/>
      </w:pPr>
      <w:r>
        <w:t>social</w:t>
      </w:r>
      <w:r w:rsidRPr="007D4374">
        <w:t xml:space="preserve"> isolation</w:t>
      </w:r>
    </w:p>
    <w:p w14:paraId="2E970A29" w14:textId="77777777" w:rsidR="008B7D3C" w:rsidRPr="007D4374" w:rsidRDefault="008B7D3C" w:rsidP="00DF5B12">
      <w:pPr>
        <w:pStyle w:val="Bullet"/>
      </w:pPr>
      <w:r>
        <w:t>r</w:t>
      </w:r>
      <w:r w:rsidRPr="007D4374">
        <w:t>educed access to health care</w:t>
      </w:r>
    </w:p>
    <w:p w14:paraId="715DF9CB" w14:textId="77777777" w:rsidR="002F6FBA" w:rsidRDefault="008B7D3C" w:rsidP="00DF5B12">
      <w:pPr>
        <w:pStyle w:val="Bullet"/>
      </w:pPr>
      <w:r>
        <w:t>f</w:t>
      </w:r>
      <w:r w:rsidRPr="007D4374">
        <w:t>ear of accessing hea</w:t>
      </w:r>
      <w:r>
        <w:t>l</w:t>
      </w:r>
      <w:r w:rsidRPr="007D4374">
        <w:t>th care</w:t>
      </w:r>
    </w:p>
    <w:p w14:paraId="4C5DC4C4" w14:textId="11E09FC5" w:rsidR="008B7D3C" w:rsidRDefault="008B7D3C" w:rsidP="00DF5B12">
      <w:pPr>
        <w:pStyle w:val="Bullet"/>
      </w:pPr>
      <w:r>
        <w:t>h</w:t>
      </w:r>
      <w:r w:rsidRPr="007D4374">
        <w:t>eighten</w:t>
      </w:r>
      <w:r>
        <w:t>ed</w:t>
      </w:r>
      <w:r w:rsidRPr="007D4374">
        <w:t xml:space="preserve"> anxiety, </w:t>
      </w:r>
      <w:proofErr w:type="gramStart"/>
      <w:r w:rsidRPr="007D4374">
        <w:t>stigma</w:t>
      </w:r>
      <w:proofErr w:type="gramEnd"/>
      <w:r w:rsidRPr="007D4374">
        <w:t xml:space="preserve"> </w:t>
      </w:r>
      <w:r>
        <w:t xml:space="preserve">or </w:t>
      </w:r>
      <w:r w:rsidRPr="007D4374">
        <w:t>distress</w:t>
      </w:r>
    </w:p>
    <w:p w14:paraId="4452756F" w14:textId="77777777" w:rsidR="008B7D3C" w:rsidRDefault="008B7D3C" w:rsidP="00DF5B12">
      <w:pPr>
        <w:pStyle w:val="Bullet"/>
      </w:pPr>
      <w:r>
        <w:t>income loss or reduced work capacity</w:t>
      </w:r>
    </w:p>
    <w:p w14:paraId="2A70022F" w14:textId="77777777" w:rsidR="008B7D3C" w:rsidRDefault="008B7D3C" w:rsidP="00DF5B12">
      <w:pPr>
        <w:pStyle w:val="Bullet"/>
      </w:pPr>
      <w:r>
        <w:t>increased responsibilities in terms of care of dependants/</w:t>
      </w:r>
      <w:proofErr w:type="spellStart"/>
      <w:r>
        <w:t>whānau</w:t>
      </w:r>
      <w:proofErr w:type="spellEnd"/>
    </w:p>
    <w:p w14:paraId="26109D44" w14:textId="77777777" w:rsidR="008B7D3C" w:rsidRDefault="008B7D3C" w:rsidP="00DF5B12">
      <w:pPr>
        <w:pStyle w:val="Bullet"/>
      </w:pPr>
      <w:r>
        <w:t>reduced access to social services</w:t>
      </w:r>
    </w:p>
    <w:p w14:paraId="666E0B86" w14:textId="77777777" w:rsidR="008B7D3C" w:rsidRDefault="008B7D3C" w:rsidP="00DF5B12">
      <w:pPr>
        <w:pStyle w:val="Bullet"/>
      </w:pPr>
      <w:r>
        <w:t>exacerbation of food insecurity</w:t>
      </w:r>
    </w:p>
    <w:p w14:paraId="12A827CB" w14:textId="77777777" w:rsidR="002F6FBA" w:rsidRDefault="008B7D3C" w:rsidP="00DF5B12">
      <w:pPr>
        <w:pStyle w:val="Bullet"/>
      </w:pPr>
      <w:r>
        <w:t>limitations in employability, reduced occupational health, loss of role or loss of self-identity</w:t>
      </w:r>
    </w:p>
    <w:p w14:paraId="3AF641B6" w14:textId="3D44C78C" w:rsidR="008B7D3C" w:rsidRDefault="008B7D3C" w:rsidP="00DF5B12">
      <w:pPr>
        <w:pStyle w:val="Bullet"/>
      </w:pPr>
      <w:r>
        <w:t>h</w:t>
      </w:r>
      <w:r w:rsidRPr="00B92E98">
        <w:t>arm/impact to vulnerable or dependent communities</w:t>
      </w:r>
    </w:p>
    <w:p w14:paraId="1443AF9F" w14:textId="22CF3412" w:rsidR="008B7D3C" w:rsidRPr="007D4374" w:rsidRDefault="008B7D3C" w:rsidP="00DF5B12">
      <w:pPr>
        <w:pStyle w:val="Bullet"/>
      </w:pPr>
      <w:r>
        <w:t xml:space="preserve">poor access to rehabilitation following </w:t>
      </w:r>
      <w:r w:rsidR="002F6FBA">
        <w:t>COVID</w:t>
      </w:r>
      <w:r w:rsidR="002F6FBA">
        <w:noBreakHyphen/>
        <w:t>19</w:t>
      </w:r>
      <w:r>
        <w:t>.</w:t>
      </w:r>
    </w:p>
    <w:p w14:paraId="3EC28334" w14:textId="77777777" w:rsidR="00DF5B12" w:rsidRDefault="00DF5B12" w:rsidP="00DF5B12">
      <w:pPr>
        <w:rPr>
          <w:rFonts w:eastAsia="Arial Unicode MS"/>
        </w:rPr>
      </w:pPr>
    </w:p>
    <w:p w14:paraId="15FE904C" w14:textId="77777777" w:rsidR="008B7D3C" w:rsidRDefault="008B7D3C" w:rsidP="00DF5B12">
      <w:pPr>
        <w:pStyle w:val="Heading2"/>
      </w:pPr>
      <w:bookmarkStart w:id="12" w:name="_Toc107483163"/>
      <w:r w:rsidRPr="00024F32">
        <w:lastRenderedPageBreak/>
        <w:t xml:space="preserve">Clinical </w:t>
      </w:r>
      <w:r>
        <w:t>c</w:t>
      </w:r>
      <w:r w:rsidRPr="00024F32">
        <w:t xml:space="preserve">ase </w:t>
      </w:r>
      <w:r>
        <w:t>d</w:t>
      </w:r>
      <w:r w:rsidRPr="00024F32">
        <w:t>efinitions</w:t>
      </w:r>
      <w:bookmarkEnd w:id="12"/>
    </w:p>
    <w:p w14:paraId="467E439C" w14:textId="77777777" w:rsidR="002F6FBA" w:rsidRDefault="008B7D3C" w:rsidP="00DF5B12">
      <w:r>
        <w:t xml:space="preserve">For </w:t>
      </w:r>
      <w:r w:rsidR="002F6FBA">
        <w:t>COVID</w:t>
      </w:r>
      <w:r w:rsidR="002F6FBA">
        <w:noBreakHyphen/>
        <w:t>19</w:t>
      </w:r>
      <w:r>
        <w:t>, the clinical case is defined by the below timeframes, irrespective of a confirmed diagnosis by testing.</w:t>
      </w:r>
    </w:p>
    <w:p w14:paraId="71680C30" w14:textId="6747A25B" w:rsidR="008B7D3C" w:rsidRPr="00317AC2" w:rsidRDefault="008B7D3C" w:rsidP="00DF5B12">
      <w:pPr>
        <w:pStyle w:val="Bullet"/>
        <w:rPr>
          <w:rFonts w:cs="Segoe UI"/>
          <w:szCs w:val="21"/>
        </w:rPr>
      </w:pPr>
      <w:r>
        <w:rPr>
          <w:rFonts w:cs="Segoe UI"/>
          <w:b/>
          <w:bCs/>
          <w:szCs w:val="21"/>
        </w:rPr>
        <w:t>a</w:t>
      </w:r>
      <w:r w:rsidRPr="000A5C08">
        <w:rPr>
          <w:rFonts w:cs="Segoe UI"/>
          <w:b/>
          <w:bCs/>
          <w:szCs w:val="21"/>
        </w:rPr>
        <w:t xml:space="preserve">cute </w:t>
      </w:r>
      <w:r w:rsidR="002F6FBA">
        <w:rPr>
          <w:rFonts w:cs="Segoe UI"/>
          <w:b/>
          <w:bCs/>
          <w:szCs w:val="21"/>
        </w:rPr>
        <w:t>COVID</w:t>
      </w:r>
      <w:r w:rsidR="002F6FBA">
        <w:rPr>
          <w:rFonts w:cs="Segoe UI"/>
          <w:b/>
          <w:bCs/>
          <w:szCs w:val="21"/>
        </w:rPr>
        <w:noBreakHyphen/>
        <w:t>19</w:t>
      </w:r>
      <w:r w:rsidRPr="00024F32">
        <w:rPr>
          <w:rFonts w:cs="Segoe UI"/>
          <w:szCs w:val="21"/>
        </w:rPr>
        <w:t xml:space="preserve"> – </w:t>
      </w:r>
      <w:r>
        <w:t>signs and symptoms of COVID</w:t>
      </w:r>
      <w:r>
        <w:rPr>
          <w:rFonts w:ascii="Cambria Math" w:hAnsi="Cambria Math" w:cs="Cambria Math"/>
        </w:rPr>
        <w:t>‑</w:t>
      </w:r>
      <w:r>
        <w:t>19 for up to four weeks</w:t>
      </w:r>
    </w:p>
    <w:p w14:paraId="3FA88A7F" w14:textId="3FBA25EB" w:rsidR="008B7D3C" w:rsidRPr="00E64A9D" w:rsidRDefault="008B7D3C" w:rsidP="00DF5B12">
      <w:pPr>
        <w:pStyle w:val="Bullet"/>
      </w:pPr>
      <w:r>
        <w:rPr>
          <w:rFonts w:cs="Segoe UI"/>
          <w:b/>
          <w:bCs/>
          <w:szCs w:val="21"/>
        </w:rPr>
        <w:t>o</w:t>
      </w:r>
      <w:r w:rsidRPr="000A5C08">
        <w:rPr>
          <w:rFonts w:cs="Segoe UI"/>
          <w:b/>
          <w:bCs/>
          <w:szCs w:val="21"/>
        </w:rPr>
        <w:t xml:space="preserve">ngoing symptomatic </w:t>
      </w:r>
      <w:r w:rsidR="002F6FBA">
        <w:rPr>
          <w:rFonts w:cs="Segoe UI"/>
          <w:b/>
          <w:bCs/>
          <w:szCs w:val="21"/>
        </w:rPr>
        <w:t>COVID</w:t>
      </w:r>
      <w:r w:rsidR="002F6FBA">
        <w:rPr>
          <w:rFonts w:cs="Segoe UI"/>
          <w:b/>
          <w:bCs/>
          <w:szCs w:val="21"/>
        </w:rPr>
        <w:noBreakHyphen/>
        <w:t>19</w:t>
      </w:r>
      <w:r w:rsidRPr="000A5C08">
        <w:rPr>
          <w:rFonts w:cs="Segoe UI"/>
          <w:szCs w:val="21"/>
        </w:rPr>
        <w:t xml:space="preserve"> </w:t>
      </w:r>
      <w:r>
        <w:rPr>
          <w:rFonts w:cs="Segoe UI"/>
          <w:szCs w:val="21"/>
        </w:rPr>
        <w:t>–</w:t>
      </w:r>
      <w:r w:rsidRPr="000A5C08">
        <w:rPr>
          <w:rFonts w:cs="Segoe UI"/>
          <w:szCs w:val="21"/>
        </w:rPr>
        <w:t xml:space="preserve"> </w:t>
      </w:r>
      <w:r>
        <w:rPr>
          <w:rFonts w:cs="Segoe UI"/>
          <w:szCs w:val="21"/>
        </w:rPr>
        <w:t>s</w:t>
      </w:r>
      <w:r w:rsidRPr="000A5C08">
        <w:rPr>
          <w:rFonts w:cs="Segoe UI"/>
          <w:szCs w:val="21"/>
        </w:rPr>
        <w:t>igns and symptoms of COVID</w:t>
      </w:r>
      <w:r w:rsidRPr="000A5C08">
        <w:rPr>
          <w:rFonts w:ascii="Cambria Math" w:hAnsi="Cambria Math" w:cs="Cambria Math"/>
          <w:szCs w:val="21"/>
        </w:rPr>
        <w:t>‑</w:t>
      </w:r>
      <w:r w:rsidRPr="000A5C08">
        <w:rPr>
          <w:rFonts w:cs="Segoe UI"/>
          <w:szCs w:val="21"/>
        </w:rPr>
        <w:t xml:space="preserve">19 </w:t>
      </w:r>
      <w:r>
        <w:rPr>
          <w:rFonts w:cs="Segoe UI"/>
          <w:szCs w:val="21"/>
        </w:rPr>
        <w:t xml:space="preserve">after the acute/infectious period of the illness </w:t>
      </w:r>
      <w:r w:rsidRPr="000A5C08">
        <w:rPr>
          <w:rFonts w:cs="Segoe UI"/>
          <w:szCs w:val="21"/>
        </w:rPr>
        <w:t>from 4 weeks up to 12 weeks</w:t>
      </w:r>
    </w:p>
    <w:p w14:paraId="641210AF" w14:textId="254847E7" w:rsidR="002F6FBA" w:rsidRDefault="008B7D3C" w:rsidP="00DF5B12">
      <w:pPr>
        <w:pStyle w:val="Bullet"/>
      </w:pPr>
      <w:r>
        <w:rPr>
          <w:b/>
          <w:bCs/>
        </w:rPr>
        <w:t>p</w:t>
      </w:r>
      <w:r w:rsidRPr="000A5C08">
        <w:rPr>
          <w:b/>
          <w:bCs/>
        </w:rPr>
        <w:t>ost-</w:t>
      </w:r>
      <w:r w:rsidR="002F6FBA">
        <w:rPr>
          <w:b/>
          <w:bCs/>
        </w:rPr>
        <w:t>COVID</w:t>
      </w:r>
      <w:r w:rsidR="002F6FBA">
        <w:rPr>
          <w:b/>
          <w:bCs/>
        </w:rPr>
        <w:noBreakHyphen/>
        <w:t>19</w:t>
      </w:r>
      <w:r w:rsidRPr="000A5C08">
        <w:rPr>
          <w:b/>
          <w:bCs/>
        </w:rPr>
        <w:t xml:space="preserve"> syndrome</w:t>
      </w:r>
      <w:r>
        <w:rPr>
          <w:b/>
          <w:bCs/>
        </w:rPr>
        <w:t xml:space="preserve"> (also referred to as </w:t>
      </w:r>
      <w:r w:rsidR="002F6FBA">
        <w:rPr>
          <w:b/>
          <w:bCs/>
        </w:rPr>
        <w:t>‘</w:t>
      </w:r>
      <w:r>
        <w:rPr>
          <w:b/>
          <w:bCs/>
        </w:rPr>
        <w:t>long COVID</w:t>
      </w:r>
      <w:r w:rsidR="002F6FBA">
        <w:rPr>
          <w:b/>
          <w:bCs/>
        </w:rPr>
        <w:t>’</w:t>
      </w:r>
      <w:r>
        <w:rPr>
          <w:b/>
          <w:bCs/>
        </w:rPr>
        <w:t>)</w:t>
      </w:r>
      <w:r w:rsidRPr="000A5C08">
        <w:rPr>
          <w:b/>
          <w:bCs/>
        </w:rPr>
        <w:t xml:space="preserve"> </w:t>
      </w:r>
      <w:r>
        <w:rPr>
          <w:b/>
          <w:bCs/>
        </w:rPr>
        <w:t>–</w:t>
      </w:r>
      <w:r w:rsidRPr="000A5C08">
        <w:rPr>
          <w:b/>
          <w:bCs/>
        </w:rPr>
        <w:t xml:space="preserve"> </w:t>
      </w:r>
      <w:r>
        <w:t>signs and symptoms that develop during or after an infection consistent with COVID</w:t>
      </w:r>
      <w:r>
        <w:rPr>
          <w:rFonts w:ascii="Cambria Math" w:hAnsi="Cambria Math" w:cs="Cambria Math"/>
        </w:rPr>
        <w:t>‑</w:t>
      </w:r>
      <w:r>
        <w:t>19 that continue for more than 12 weeks and are not explained by an alternative diagnosis.</w:t>
      </w:r>
    </w:p>
    <w:p w14:paraId="0EFEEF88" w14:textId="74F487FE" w:rsidR="008B7D3C" w:rsidRPr="00B90A79" w:rsidRDefault="008B7D3C" w:rsidP="00DF5B12"/>
    <w:p w14:paraId="6537F3B8" w14:textId="77777777" w:rsidR="008B7D3C" w:rsidRPr="00B90A79" w:rsidRDefault="008B7D3C" w:rsidP="00DF5B12">
      <w:pPr>
        <w:pStyle w:val="Heading2"/>
        <w:rPr>
          <w:lang w:eastAsia="en-NZ"/>
        </w:rPr>
      </w:pPr>
      <w:bookmarkStart w:id="13" w:name="_Toc107483164"/>
      <w:r w:rsidRPr="00B90A79">
        <w:rPr>
          <w:lang w:eastAsia="en-NZ"/>
        </w:rPr>
        <w:t>Background and context</w:t>
      </w:r>
      <w:bookmarkEnd w:id="13"/>
    </w:p>
    <w:p w14:paraId="0FFED20C" w14:textId="0B8C0858" w:rsidR="008B7D3C" w:rsidRDefault="008B7D3C" w:rsidP="00DF5B12">
      <w:pPr>
        <w:rPr>
          <w:lang w:eastAsia="en-NZ"/>
        </w:rPr>
      </w:pPr>
      <w:r w:rsidRPr="00EF26AE">
        <w:rPr>
          <w:lang w:eastAsia="en-NZ"/>
        </w:rPr>
        <w:t xml:space="preserve">Most people with </w:t>
      </w:r>
      <w:r w:rsidR="002F6FBA">
        <w:rPr>
          <w:lang w:eastAsia="en-NZ"/>
        </w:rPr>
        <w:t>COVID</w:t>
      </w:r>
      <w:r w:rsidR="002F6FBA">
        <w:rPr>
          <w:lang w:eastAsia="en-NZ"/>
        </w:rPr>
        <w:noBreakHyphen/>
        <w:t>19</w:t>
      </w:r>
      <w:r w:rsidRPr="00EF26AE">
        <w:rPr>
          <w:lang w:eastAsia="en-NZ"/>
        </w:rPr>
        <w:t xml:space="preserve"> recover completely and return to normal health. However, some people who have been infected with </w:t>
      </w:r>
      <w:r w:rsidR="002F6FBA">
        <w:rPr>
          <w:lang w:eastAsia="en-NZ"/>
        </w:rPr>
        <w:t>COVID</w:t>
      </w:r>
      <w:r w:rsidR="002F6FBA">
        <w:rPr>
          <w:lang w:eastAsia="en-NZ"/>
        </w:rPr>
        <w:noBreakHyphen/>
        <w:t>19</w:t>
      </w:r>
      <w:r>
        <w:rPr>
          <w:lang w:eastAsia="en-NZ"/>
        </w:rPr>
        <w:t xml:space="preserve"> </w:t>
      </w:r>
      <w:r w:rsidRPr="00EF26AE">
        <w:rPr>
          <w:lang w:eastAsia="en-NZ"/>
        </w:rPr>
        <w:t xml:space="preserve">report a diverse range of symptoms beyond the time of </w:t>
      </w:r>
      <w:r w:rsidR="002F6FBA">
        <w:rPr>
          <w:lang w:eastAsia="en-NZ"/>
        </w:rPr>
        <w:t>‘</w:t>
      </w:r>
      <w:r w:rsidRPr="00EF26AE">
        <w:rPr>
          <w:lang w:eastAsia="en-NZ"/>
        </w:rPr>
        <w:t>recovery</w:t>
      </w:r>
      <w:r w:rsidR="002F6FBA">
        <w:rPr>
          <w:lang w:eastAsia="en-NZ"/>
        </w:rPr>
        <w:t>’</w:t>
      </w:r>
      <w:r w:rsidRPr="00EF26AE">
        <w:rPr>
          <w:lang w:eastAsia="en-NZ"/>
        </w:rPr>
        <w:t xml:space="preserve"> from the acute phase of </w:t>
      </w:r>
      <w:r w:rsidR="002F6FBA">
        <w:rPr>
          <w:lang w:eastAsia="en-NZ"/>
        </w:rPr>
        <w:t>COVID</w:t>
      </w:r>
      <w:r w:rsidR="002F6FBA">
        <w:rPr>
          <w:lang w:eastAsia="en-NZ"/>
        </w:rPr>
        <w:noBreakHyphen/>
        <w:t>19</w:t>
      </w:r>
      <w:r w:rsidRPr="00EF26AE">
        <w:rPr>
          <w:lang w:eastAsia="en-NZ"/>
        </w:rPr>
        <w:t xml:space="preserve"> illness. </w:t>
      </w:r>
      <w:r>
        <w:rPr>
          <w:lang w:eastAsia="en-NZ"/>
        </w:rPr>
        <w:t>This is not remarkable: p</w:t>
      </w:r>
      <w:r w:rsidRPr="00EF26AE">
        <w:rPr>
          <w:lang w:eastAsia="en-NZ"/>
        </w:rPr>
        <w:t>rotracted symptoms are common following many viral and bacterial infections, including other coronaviruses.</w:t>
      </w:r>
    </w:p>
    <w:p w14:paraId="473046BE" w14:textId="77777777" w:rsidR="00DF5B12" w:rsidRPr="00EF26AE" w:rsidRDefault="00DF5B12" w:rsidP="00DF5B12">
      <w:pPr>
        <w:rPr>
          <w:lang w:eastAsia="en-NZ"/>
        </w:rPr>
      </w:pPr>
    </w:p>
    <w:p w14:paraId="20C28148" w14:textId="77777777" w:rsidR="002F6FBA" w:rsidRDefault="008B7D3C" w:rsidP="00DF5B12">
      <w:pPr>
        <w:rPr>
          <w:lang w:eastAsia="en-NZ"/>
        </w:rPr>
      </w:pPr>
      <w:r w:rsidRPr="00690780">
        <w:rPr>
          <w:rFonts w:eastAsia="Calibri"/>
          <w:lang w:eastAsia="en-NZ"/>
        </w:rPr>
        <w:t>Symptoms may last for weeks or months after the acute illness.</w:t>
      </w:r>
      <w:r w:rsidRPr="00EF26AE">
        <w:rPr>
          <w:lang w:eastAsia="en-NZ"/>
        </w:rPr>
        <w:t xml:space="preserve"> The presence of lingering symptoms may have a significant impact on the daily lives of those who are affected, and their family and </w:t>
      </w:r>
      <w:proofErr w:type="spellStart"/>
      <w:r w:rsidRPr="00EF26AE">
        <w:rPr>
          <w:lang w:eastAsia="en-NZ"/>
        </w:rPr>
        <w:t>whānau</w:t>
      </w:r>
      <w:proofErr w:type="spellEnd"/>
      <w:r w:rsidRPr="00EF26AE">
        <w:rPr>
          <w:lang w:eastAsia="en-NZ"/>
        </w:rPr>
        <w:t>.</w:t>
      </w:r>
    </w:p>
    <w:p w14:paraId="2216D399" w14:textId="77777777" w:rsidR="00DF5B12" w:rsidRDefault="00DF5B12" w:rsidP="00DF5B12">
      <w:pPr>
        <w:rPr>
          <w:lang w:eastAsia="en-NZ"/>
        </w:rPr>
      </w:pPr>
    </w:p>
    <w:p w14:paraId="75C97881" w14:textId="2416FBB1" w:rsidR="008B7D3C" w:rsidRPr="00EF26AE" w:rsidRDefault="008B7D3C" w:rsidP="00DF5B12">
      <w:pPr>
        <w:rPr>
          <w:rFonts w:eastAsia="Calibri"/>
          <w:lang w:eastAsia="en-NZ"/>
        </w:rPr>
      </w:pPr>
      <w:r w:rsidRPr="00EF26AE">
        <w:rPr>
          <w:rFonts w:eastAsia="Calibri"/>
          <w:lang w:eastAsia="en-NZ"/>
        </w:rPr>
        <w:t>There is no internationally agreed definition of the long COVID condition yet. However, the WHO published the following definition in October 2021:</w:t>
      </w:r>
    </w:p>
    <w:p w14:paraId="01E8E5B9" w14:textId="40FD1C0A" w:rsidR="008B7D3C" w:rsidRDefault="008B7D3C" w:rsidP="00DF5B12">
      <w:pPr>
        <w:pStyle w:val="Quote"/>
        <w:rPr>
          <w:rFonts w:eastAsia="Calibri"/>
          <w:lang w:eastAsia="en-NZ"/>
        </w:rPr>
      </w:pPr>
      <w:r w:rsidRPr="00024F32">
        <w:rPr>
          <w:rFonts w:eastAsia="Calibri"/>
          <w:lang w:eastAsia="en-NZ"/>
        </w:rPr>
        <w:t xml:space="preserve">Post </w:t>
      </w:r>
      <w:r w:rsidR="002F6FBA">
        <w:rPr>
          <w:rFonts w:eastAsia="Calibri"/>
          <w:lang w:eastAsia="en-NZ"/>
        </w:rPr>
        <w:t>COVID</w:t>
      </w:r>
      <w:r w:rsidR="002F6FBA">
        <w:rPr>
          <w:rFonts w:eastAsia="Calibri"/>
          <w:lang w:eastAsia="en-NZ"/>
        </w:rPr>
        <w:noBreakHyphen/>
        <w:t>19</w:t>
      </w:r>
      <w:r w:rsidRPr="00024F32">
        <w:rPr>
          <w:rFonts w:eastAsia="Calibri"/>
          <w:lang w:eastAsia="en-NZ"/>
        </w:rPr>
        <w:t xml:space="preserve"> condition occurs in individuals with a history of probable or confirmed SARS-CoV-2 infection, usually 3 months from the onset of </w:t>
      </w:r>
      <w:r w:rsidR="002F6FBA">
        <w:rPr>
          <w:rFonts w:eastAsia="Calibri"/>
          <w:lang w:eastAsia="en-NZ"/>
        </w:rPr>
        <w:t>COVID</w:t>
      </w:r>
      <w:r w:rsidR="002F6FBA">
        <w:rPr>
          <w:rFonts w:eastAsia="Calibri"/>
          <w:lang w:eastAsia="en-NZ"/>
        </w:rPr>
        <w:noBreakHyphen/>
        <w:t>19</w:t>
      </w:r>
      <w:r w:rsidRPr="00024F32">
        <w:rPr>
          <w:rFonts w:eastAsia="Calibri"/>
          <w:lang w:eastAsia="en-NZ"/>
        </w:rPr>
        <w:t xml:space="preserve"> with symptoms that last for at least 2 months and cannot be explained by an alternative diagnosis. Common symptoms include fatigue, shortness of breath, cognitive dysfunction but also others which generally have an impact on everyday functioning. Symptoms may be new onset, following initial recovery from an acute </w:t>
      </w:r>
      <w:r w:rsidR="002F6FBA">
        <w:rPr>
          <w:rFonts w:eastAsia="Calibri"/>
          <w:lang w:eastAsia="en-NZ"/>
        </w:rPr>
        <w:t>COVID</w:t>
      </w:r>
      <w:r w:rsidR="002F6FBA">
        <w:rPr>
          <w:rFonts w:eastAsia="Calibri"/>
          <w:lang w:eastAsia="en-NZ"/>
        </w:rPr>
        <w:noBreakHyphen/>
        <w:t>19</w:t>
      </w:r>
      <w:r w:rsidRPr="00024F32">
        <w:rPr>
          <w:rFonts w:eastAsia="Calibri"/>
          <w:lang w:eastAsia="en-NZ"/>
        </w:rPr>
        <w:t xml:space="preserve"> episode, or persist from the initial illness. Symptoms may also fluctuate or relapse over time. A separate definition may be applicable for children.</w:t>
      </w:r>
    </w:p>
    <w:p w14:paraId="60C04FA0" w14:textId="77777777" w:rsidR="00DF5B12" w:rsidRPr="00DF5B12" w:rsidRDefault="00DF5B12" w:rsidP="00DF5B12">
      <w:pPr>
        <w:rPr>
          <w:rFonts w:eastAsia="Calibri"/>
          <w:lang w:eastAsia="en-NZ"/>
        </w:rPr>
      </w:pPr>
    </w:p>
    <w:p w14:paraId="5EC1AACB" w14:textId="77777777" w:rsidR="008B7D3C" w:rsidRPr="0043478F" w:rsidRDefault="008B7D3C" w:rsidP="008B7D3C">
      <w:pPr>
        <w:pStyle w:val="Heading1"/>
      </w:pPr>
      <w:bookmarkStart w:id="14" w:name="_Toc102738299"/>
      <w:bookmarkStart w:id="15" w:name="_Toc107483165"/>
      <w:r w:rsidRPr="00005BB5">
        <w:rPr>
          <w:b w:val="0"/>
        </w:rPr>
        <w:lastRenderedPageBreak/>
        <w:t>Section 2:</w:t>
      </w:r>
      <w:r w:rsidRPr="00005BB5">
        <w:rPr>
          <w:b w:val="0"/>
        </w:rPr>
        <w:br/>
      </w:r>
      <w:r>
        <w:t>Rehabilitation</w:t>
      </w:r>
      <w:bookmarkEnd w:id="14"/>
      <w:bookmarkEnd w:id="15"/>
    </w:p>
    <w:p w14:paraId="46C21D9E" w14:textId="77777777" w:rsidR="008B7D3C" w:rsidRDefault="008B7D3C" w:rsidP="00DF5B12">
      <w:pPr>
        <w:pStyle w:val="Heading2"/>
      </w:pPr>
      <w:bookmarkStart w:id="16" w:name="_Toc102738300"/>
      <w:bookmarkStart w:id="17" w:name="_Toc107483166"/>
      <w:r>
        <w:t>Key principles for rehabilitation</w:t>
      </w:r>
      <w:bookmarkEnd w:id="16"/>
      <w:bookmarkEnd w:id="17"/>
    </w:p>
    <w:p w14:paraId="1FF70826" w14:textId="565D225F" w:rsidR="008B7D3C" w:rsidRPr="00F853E7" w:rsidRDefault="008B7D3C" w:rsidP="00DF5B12">
      <w:r>
        <w:t xml:space="preserve">The Ministry of Health has developed the following key principles for rehabilitation following </w:t>
      </w:r>
      <w:r w:rsidR="002F6FBA">
        <w:t>COVID</w:t>
      </w:r>
      <w:r w:rsidR="002F6FBA">
        <w:noBreakHyphen/>
        <w:t>19</w:t>
      </w:r>
      <w:r>
        <w:t>.</w:t>
      </w:r>
    </w:p>
    <w:p w14:paraId="630053CC" w14:textId="77777777" w:rsidR="008B7D3C" w:rsidRPr="00DF5B12" w:rsidRDefault="008B7D3C" w:rsidP="00DF5B12">
      <w:pPr>
        <w:pStyle w:val="Bullet"/>
        <w:spacing w:before="240"/>
        <w:rPr>
          <w:rFonts w:cs="Segoe UI"/>
          <w:b/>
          <w:szCs w:val="21"/>
        </w:rPr>
      </w:pPr>
      <w:proofErr w:type="spellStart"/>
      <w:r w:rsidRPr="00DF5B12">
        <w:rPr>
          <w:b/>
        </w:rPr>
        <w:t>Whānau</w:t>
      </w:r>
      <w:proofErr w:type="spellEnd"/>
      <w:r w:rsidRPr="00DF5B12">
        <w:rPr>
          <w:b/>
        </w:rPr>
        <w:t xml:space="preserve">-centred </w:t>
      </w:r>
      <w:r w:rsidRPr="00DF5B12">
        <w:rPr>
          <w:rFonts w:cs="Segoe UI"/>
          <w:b/>
          <w:szCs w:val="21"/>
        </w:rPr>
        <w:t>care</w:t>
      </w:r>
    </w:p>
    <w:p w14:paraId="013DFE5F" w14:textId="77777777" w:rsidR="002F6FBA" w:rsidRDefault="008B7D3C" w:rsidP="00DF5B12">
      <w:pPr>
        <w:spacing w:before="120"/>
        <w:ind w:left="284"/>
      </w:pPr>
      <w:r>
        <w:t xml:space="preserve">This approach aims to provide care to a person within the context of their </w:t>
      </w:r>
      <w:proofErr w:type="spellStart"/>
      <w:r>
        <w:t>whānau</w:t>
      </w:r>
      <w:proofErr w:type="spellEnd"/>
      <w:r>
        <w:t xml:space="preserve"> and the needs of the </w:t>
      </w:r>
      <w:proofErr w:type="spellStart"/>
      <w:r>
        <w:t>whānau</w:t>
      </w:r>
      <w:proofErr w:type="spellEnd"/>
      <w:r>
        <w:t xml:space="preserve"> group as a whole</w:t>
      </w:r>
      <w:r w:rsidRPr="007D4374">
        <w:t xml:space="preserve">. The holistic wellbeing of the person and </w:t>
      </w:r>
      <w:proofErr w:type="spellStart"/>
      <w:r w:rsidRPr="007D4374">
        <w:t>whānau</w:t>
      </w:r>
      <w:proofErr w:type="spellEnd"/>
      <w:r w:rsidRPr="007D4374">
        <w:t xml:space="preserve"> is prioritised. The health system works for the person and their </w:t>
      </w:r>
      <w:proofErr w:type="spellStart"/>
      <w:r w:rsidRPr="007D4374">
        <w:t>whānau</w:t>
      </w:r>
      <w:proofErr w:type="spellEnd"/>
      <w:r w:rsidRPr="007D4374">
        <w:t xml:space="preserve"> and ensures transition between settings and providers is seamless.</w:t>
      </w:r>
    </w:p>
    <w:p w14:paraId="32D63FA6" w14:textId="77777777" w:rsidR="008B7D3C" w:rsidRPr="00DF5B12" w:rsidRDefault="008B7D3C" w:rsidP="00DF5B12">
      <w:pPr>
        <w:pStyle w:val="Bullet"/>
        <w:spacing w:before="240"/>
        <w:rPr>
          <w:b/>
        </w:rPr>
      </w:pPr>
      <w:r w:rsidRPr="00DF5B12">
        <w:rPr>
          <w:b/>
        </w:rPr>
        <w:t>Equity</w:t>
      </w:r>
    </w:p>
    <w:p w14:paraId="330703D4" w14:textId="33BEA0DC" w:rsidR="002F6FBA" w:rsidRDefault="008B7D3C" w:rsidP="00DF5B12">
      <w:pPr>
        <w:spacing w:before="120"/>
        <w:ind w:left="284"/>
      </w:pPr>
      <w:r w:rsidRPr="007D4374">
        <w:t xml:space="preserve">Equity and our commitment to the </w:t>
      </w:r>
      <w:proofErr w:type="spellStart"/>
      <w:r w:rsidRPr="007D4374">
        <w:t>Te</w:t>
      </w:r>
      <w:proofErr w:type="spellEnd"/>
      <w:r w:rsidRPr="007D4374">
        <w:t xml:space="preserve"> </w:t>
      </w:r>
      <w:proofErr w:type="spellStart"/>
      <w:r w:rsidRPr="007D4374">
        <w:t>Tiriti</w:t>
      </w:r>
      <w:proofErr w:type="spellEnd"/>
      <w:r w:rsidRPr="007D4374">
        <w:t xml:space="preserve"> O Waitangi </w:t>
      </w:r>
      <w:r>
        <w:t xml:space="preserve">are </w:t>
      </w:r>
      <w:r w:rsidRPr="007D4374">
        <w:t xml:space="preserve">at the forefront of our health response to </w:t>
      </w:r>
      <w:r w:rsidR="002F6FBA">
        <w:t>COVID</w:t>
      </w:r>
      <w:r w:rsidR="002F6FBA">
        <w:noBreakHyphen/>
        <w:t>19</w:t>
      </w:r>
      <w:r w:rsidRPr="007D4374">
        <w:t>. Rehabilitation consider</w:t>
      </w:r>
      <w:r>
        <w:t>s</w:t>
      </w:r>
      <w:r w:rsidRPr="007D4374">
        <w:t xml:space="preserve"> bi-cultural and cultural practices</w:t>
      </w:r>
      <w:r>
        <w:t>;</w:t>
      </w:r>
      <w:r w:rsidRPr="007D4374">
        <w:t xml:space="preserve"> </w:t>
      </w:r>
      <w:r>
        <w:t xml:space="preserve">mana </w:t>
      </w:r>
      <w:proofErr w:type="spellStart"/>
      <w:r>
        <w:t>motuhake</w:t>
      </w:r>
      <w:proofErr w:type="spellEnd"/>
      <w:r>
        <w:t>; and people</w:t>
      </w:r>
      <w:r w:rsidR="002F6FBA">
        <w:t>’</w:t>
      </w:r>
      <w:r>
        <w:t xml:space="preserve">s aspirations, </w:t>
      </w:r>
      <w:proofErr w:type="gramStart"/>
      <w:r w:rsidRPr="007D4374">
        <w:t>values</w:t>
      </w:r>
      <w:proofErr w:type="gramEnd"/>
      <w:r w:rsidRPr="007D4374">
        <w:t xml:space="preserve"> and beliefs to ensure that treatment and rehabilitation is culturally safe and appropriate </w:t>
      </w:r>
      <w:r>
        <w:t xml:space="preserve">and </w:t>
      </w:r>
      <w:r w:rsidRPr="007D4374">
        <w:t>ensure all people receive beneficial rehabilitation</w:t>
      </w:r>
      <w:r>
        <w:t>.</w:t>
      </w:r>
    </w:p>
    <w:p w14:paraId="27151D86" w14:textId="425431CB" w:rsidR="008B7D3C" w:rsidRDefault="008B7D3C" w:rsidP="00DF5B12">
      <w:pPr>
        <w:spacing w:before="120"/>
        <w:ind w:left="284"/>
      </w:pPr>
      <w:r w:rsidRPr="007D4374">
        <w:t>People with co-morbidities are more likely to suffer life</w:t>
      </w:r>
      <w:r>
        <w:t>-</w:t>
      </w:r>
      <w:r w:rsidRPr="007D4374">
        <w:t xml:space="preserve">threatening symptoms of </w:t>
      </w:r>
      <w:r w:rsidR="002F6FBA">
        <w:t>COVID</w:t>
      </w:r>
      <w:r w:rsidR="002F6FBA">
        <w:noBreakHyphen/>
        <w:t>19</w:t>
      </w:r>
      <w:r w:rsidRPr="007D4374">
        <w:t xml:space="preserve">. The Māori population live with a higher burden of disease and are therefore more likely to be susceptible to </w:t>
      </w:r>
      <w:r w:rsidR="002F6FBA">
        <w:t>COVID</w:t>
      </w:r>
      <w:r w:rsidR="002F6FBA">
        <w:noBreakHyphen/>
        <w:t>19</w:t>
      </w:r>
      <w:r w:rsidRPr="007D4374">
        <w:t xml:space="preserve">. Māori </w:t>
      </w:r>
      <w:r>
        <w:t xml:space="preserve">and </w:t>
      </w:r>
      <w:r w:rsidRPr="007D4374">
        <w:t xml:space="preserve">other </w:t>
      </w:r>
      <w:r>
        <w:t xml:space="preserve">identified </w:t>
      </w:r>
      <w:r w:rsidRPr="007D4374">
        <w:t>populations</w:t>
      </w:r>
      <w:r>
        <w:t>,</w:t>
      </w:r>
      <w:r w:rsidRPr="007D4374">
        <w:t xml:space="preserve"> such as Pacific</w:t>
      </w:r>
      <w:r>
        <w:t xml:space="preserve"> peoples</w:t>
      </w:r>
      <w:r w:rsidRPr="007D4374">
        <w:t xml:space="preserve">, </w:t>
      </w:r>
      <w:r>
        <w:t xml:space="preserve">people </w:t>
      </w:r>
      <w:r w:rsidRPr="007D4374">
        <w:t>with disabilit</w:t>
      </w:r>
      <w:r>
        <w:t>ies</w:t>
      </w:r>
      <w:r w:rsidRPr="007D4374">
        <w:t xml:space="preserve">, </w:t>
      </w:r>
      <w:r>
        <w:t xml:space="preserve">the </w:t>
      </w:r>
      <w:proofErr w:type="gramStart"/>
      <w:r w:rsidRPr="007D4374">
        <w:t>elderly</w:t>
      </w:r>
      <w:proofErr w:type="gramEnd"/>
      <w:r w:rsidRPr="007D4374">
        <w:t xml:space="preserve"> and people with reduced immunity</w:t>
      </w:r>
      <w:r>
        <w:t>,</w:t>
      </w:r>
      <w:r w:rsidRPr="007D4374">
        <w:t xml:space="preserve"> require extra attention.</w:t>
      </w:r>
    </w:p>
    <w:p w14:paraId="3F23809F" w14:textId="77777777" w:rsidR="008B7D3C" w:rsidRPr="00DF5B12" w:rsidRDefault="008B7D3C" w:rsidP="00DF5B12">
      <w:pPr>
        <w:pStyle w:val="Bullet"/>
        <w:spacing w:before="240"/>
        <w:rPr>
          <w:b/>
        </w:rPr>
      </w:pPr>
      <w:r w:rsidRPr="00DF5B12">
        <w:rPr>
          <w:b/>
        </w:rPr>
        <w:t>Flexible workforce</w:t>
      </w:r>
    </w:p>
    <w:p w14:paraId="500A3731" w14:textId="002B6ADC" w:rsidR="008B7D3C" w:rsidRDefault="008B7D3C" w:rsidP="00DF5B12">
      <w:pPr>
        <w:spacing w:before="120"/>
        <w:ind w:left="284"/>
      </w:pPr>
      <w:r w:rsidRPr="007D4374">
        <w:t>The health workforce has had to quickly adapt to new ways of working. Self-isolation, physical distancing and enhanced infection prevention control has required health care professionals to work in broader roles</w:t>
      </w:r>
      <w:r>
        <w:t>,</w:t>
      </w:r>
      <w:r w:rsidRPr="007D4374">
        <w:t xml:space="preserve"> to avoid numerous clinical contacts. The broad scopes of practice of the allied, </w:t>
      </w:r>
      <w:proofErr w:type="gramStart"/>
      <w:r w:rsidRPr="007D4374">
        <w:t>scientific</w:t>
      </w:r>
      <w:proofErr w:type="gramEnd"/>
      <w:r w:rsidRPr="007D4374">
        <w:t xml:space="preserve"> and technical workforce are well placed </w:t>
      </w:r>
      <w:r>
        <w:t xml:space="preserve">for transdisciplinary </w:t>
      </w:r>
      <w:r w:rsidRPr="007D4374">
        <w:t>work</w:t>
      </w:r>
      <w:r>
        <w:t>,</w:t>
      </w:r>
      <w:r w:rsidRPr="007D4374">
        <w:t xml:space="preserve"> enabling a singular holistic assessment to </w:t>
      </w:r>
      <w:r>
        <w:t>determine and prioritise</w:t>
      </w:r>
      <w:r w:rsidRPr="007D4374">
        <w:t xml:space="preserve"> a person</w:t>
      </w:r>
      <w:r w:rsidR="002F6FBA">
        <w:t>’</w:t>
      </w:r>
      <w:r w:rsidRPr="007D4374">
        <w:t>s needs.</w:t>
      </w:r>
    </w:p>
    <w:p w14:paraId="5C97FECB" w14:textId="77777777" w:rsidR="008B7D3C" w:rsidRPr="00DF5B12" w:rsidRDefault="008B7D3C" w:rsidP="00DF5B12">
      <w:pPr>
        <w:pStyle w:val="Bullet"/>
        <w:spacing w:before="240"/>
        <w:rPr>
          <w:b/>
        </w:rPr>
      </w:pPr>
      <w:r w:rsidRPr="00DF5B12">
        <w:rPr>
          <w:b/>
        </w:rPr>
        <w:t>Embracing new models of care</w:t>
      </w:r>
    </w:p>
    <w:p w14:paraId="108D3267" w14:textId="77777777" w:rsidR="002F6FBA" w:rsidRDefault="008B7D3C" w:rsidP="00DF5B12">
      <w:pPr>
        <w:spacing w:before="120"/>
        <w:ind w:left="284"/>
      </w:pPr>
      <w:r w:rsidRPr="007D4374">
        <w:t>New models of care that improve access to health care</w:t>
      </w:r>
      <w:r>
        <w:t>,</w:t>
      </w:r>
      <w:r w:rsidRPr="007D4374">
        <w:t xml:space="preserve"> such as virtual clinics, outreach services and streamlined processes</w:t>
      </w:r>
      <w:r>
        <w:t>,</w:t>
      </w:r>
      <w:r w:rsidRPr="007D4374">
        <w:t xml:space="preserve"> should be encouraged alongside interdisciplinary and transdisciplinary work.</w:t>
      </w:r>
    </w:p>
    <w:p w14:paraId="3C12B89A" w14:textId="77777777" w:rsidR="008B7D3C" w:rsidRPr="00DF5B12" w:rsidRDefault="008B7D3C" w:rsidP="00DF5B12">
      <w:pPr>
        <w:pStyle w:val="Bullet"/>
        <w:keepNext/>
        <w:spacing w:before="240"/>
        <w:rPr>
          <w:b/>
        </w:rPr>
      </w:pPr>
      <w:r w:rsidRPr="00DF5B12">
        <w:rPr>
          <w:b/>
        </w:rPr>
        <w:lastRenderedPageBreak/>
        <w:t>Health and safety</w:t>
      </w:r>
    </w:p>
    <w:p w14:paraId="2E2B087E" w14:textId="77777777" w:rsidR="002F6FBA" w:rsidRDefault="008B7D3C" w:rsidP="00DF5B12">
      <w:pPr>
        <w:spacing w:before="120"/>
        <w:ind w:left="284"/>
      </w:pPr>
      <w:r w:rsidRPr="007D4374">
        <w:t xml:space="preserve">Health professionals and people </w:t>
      </w:r>
      <w:r>
        <w:t xml:space="preserve">should remain </w:t>
      </w:r>
      <w:r w:rsidRPr="007D4374">
        <w:t xml:space="preserve">protected and safe. This </w:t>
      </w:r>
      <w:r>
        <w:t>requires training,</w:t>
      </w:r>
      <w:r w:rsidRPr="007D4374">
        <w:t xml:space="preserve"> the use and provision of appropriate personal protective equipment and infection control measures.</w:t>
      </w:r>
    </w:p>
    <w:p w14:paraId="24B1D727" w14:textId="77777777" w:rsidR="002F6FBA" w:rsidRPr="00DF5B12" w:rsidRDefault="008B7D3C" w:rsidP="00DF5B12">
      <w:pPr>
        <w:pStyle w:val="Bullet"/>
        <w:spacing w:before="240"/>
        <w:rPr>
          <w:b/>
        </w:rPr>
      </w:pPr>
      <w:r w:rsidRPr="00DF5B12">
        <w:rPr>
          <w:b/>
        </w:rPr>
        <w:t>Health literacy</w:t>
      </w:r>
    </w:p>
    <w:p w14:paraId="2F2E45BA" w14:textId="43F18CC2" w:rsidR="008B7D3C" w:rsidRDefault="008B7D3C" w:rsidP="00DF5B12">
      <w:pPr>
        <w:spacing w:before="120"/>
        <w:ind w:left="284"/>
      </w:pPr>
      <w:r>
        <w:t>Health professionals should be able to supply</w:t>
      </w:r>
      <w:r w:rsidRPr="00EF26AE">
        <w:t xml:space="preserve"> patients/</w:t>
      </w:r>
      <w:proofErr w:type="spellStart"/>
      <w:r w:rsidRPr="00EF26AE">
        <w:t>whānau</w:t>
      </w:r>
      <w:proofErr w:type="spellEnd"/>
      <w:r w:rsidRPr="00EF26AE">
        <w:t xml:space="preserve"> with appropriate information and suitable educational materials</w:t>
      </w:r>
      <w:r>
        <w:t>. Communication should ensure</w:t>
      </w:r>
      <w:r w:rsidR="002F6FBA">
        <w:t xml:space="preserve"> </w:t>
      </w:r>
      <w:r>
        <w:t>provision of equitable service. This may require translated materials, use of interpreters, visual prompting and/or apps.</w:t>
      </w:r>
    </w:p>
    <w:p w14:paraId="2F58E138" w14:textId="77777777" w:rsidR="008B7D3C" w:rsidRDefault="008B7D3C" w:rsidP="00DF5B12"/>
    <w:p w14:paraId="7FC4FC14" w14:textId="0553EBEA" w:rsidR="008B7D3C" w:rsidRDefault="008B7D3C" w:rsidP="00DF5B12">
      <w:pPr>
        <w:pStyle w:val="Heading2"/>
      </w:pPr>
      <w:bookmarkStart w:id="18" w:name="_Toc102738301"/>
      <w:bookmarkStart w:id="19" w:name="_Toc107483167"/>
      <w:bookmarkStart w:id="20" w:name="_Hlk43376266"/>
      <w:r>
        <w:t>Allied health, scientific and technical professionals</w:t>
      </w:r>
      <w:r w:rsidR="002F6FBA">
        <w:t>’</w:t>
      </w:r>
      <w:r>
        <w:t xml:space="preserve"> input into the rehabilitation of people with </w:t>
      </w:r>
      <w:r w:rsidR="002F6FBA">
        <w:t>COVID</w:t>
      </w:r>
      <w:r w:rsidR="002F6FBA">
        <w:noBreakHyphen/>
        <w:t>19</w:t>
      </w:r>
      <w:bookmarkEnd w:id="18"/>
      <w:bookmarkEnd w:id="19"/>
    </w:p>
    <w:bookmarkEnd w:id="20"/>
    <w:p w14:paraId="3A3387D3" w14:textId="77777777" w:rsidR="002F6FBA" w:rsidRDefault="008B7D3C" w:rsidP="00DF5B12">
      <w:pPr>
        <w:rPr>
          <w:rFonts w:cs="Arial"/>
          <w:lang w:val="en"/>
        </w:rPr>
      </w:pPr>
      <w:r w:rsidRPr="000A02D8">
        <w:t xml:space="preserve">Allied </w:t>
      </w:r>
      <w:r>
        <w:t>h</w:t>
      </w:r>
      <w:r w:rsidRPr="000A02D8">
        <w:t xml:space="preserve">ealth, </w:t>
      </w:r>
      <w:r>
        <w:t>s</w:t>
      </w:r>
      <w:r w:rsidRPr="000A02D8">
        <w:t xml:space="preserve">cientific and </w:t>
      </w:r>
      <w:r>
        <w:t>t</w:t>
      </w:r>
      <w:r w:rsidRPr="000A02D8">
        <w:t>echnical professionals are involved</w:t>
      </w:r>
      <w:r>
        <w:t xml:space="preserve"> from the initial </w:t>
      </w:r>
      <w:r w:rsidRPr="000A02D8">
        <w:t xml:space="preserve">stages </w:t>
      </w:r>
      <w:r>
        <w:t xml:space="preserve">of recovery to the longer-term rehabilitation of people recovering from </w:t>
      </w:r>
      <w:r w:rsidR="002F6FBA">
        <w:t>COVID</w:t>
      </w:r>
      <w:r w:rsidR="002F6FBA">
        <w:noBreakHyphen/>
        <w:t>19</w:t>
      </w:r>
      <w:r>
        <w:t xml:space="preserve">. The allied health workforce entails approximately 50 qualified </w:t>
      </w:r>
      <w:r w:rsidRPr="006A2D60">
        <w:t>health professions</w:t>
      </w:r>
      <w:r>
        <w:t>,</w:t>
      </w:r>
      <w:r w:rsidRPr="006A2D60">
        <w:t xml:space="preserve"> each with specialised expertise in preventing, diagnosi</w:t>
      </w:r>
      <w:r>
        <w:t>ng</w:t>
      </w:r>
      <w:r w:rsidRPr="006A2D60">
        <w:t xml:space="preserve">, </w:t>
      </w:r>
      <w:proofErr w:type="gramStart"/>
      <w:r w:rsidRPr="006A2D60">
        <w:t>treating</w:t>
      </w:r>
      <w:proofErr w:type="gramEnd"/>
      <w:r w:rsidRPr="006A2D60">
        <w:t xml:space="preserve"> </w:t>
      </w:r>
      <w:r>
        <w:t xml:space="preserve">or </w:t>
      </w:r>
      <w:r w:rsidRPr="006A2D60">
        <w:t xml:space="preserve">rehabilitating a range of conditions and illness. </w:t>
      </w:r>
      <w:r>
        <w:rPr>
          <w:rFonts w:cs="Arial"/>
          <w:lang w:val="en"/>
        </w:rPr>
        <w:t>A</w:t>
      </w:r>
      <w:r w:rsidRPr="006A2D60">
        <w:rPr>
          <w:rFonts w:cs="Arial"/>
          <w:lang w:val="en"/>
        </w:rPr>
        <w:t xml:space="preserve"> broad scope of practice allows allied health professionals to work </w:t>
      </w:r>
      <w:r>
        <w:rPr>
          <w:rFonts w:cs="Arial"/>
          <w:lang w:val="en"/>
        </w:rPr>
        <w:t xml:space="preserve">together </w:t>
      </w:r>
      <w:r w:rsidRPr="006A2D60">
        <w:rPr>
          <w:rFonts w:cs="Arial"/>
          <w:lang w:val="en"/>
        </w:rPr>
        <w:t xml:space="preserve">in a transdisciplinary way </w:t>
      </w:r>
      <w:r>
        <w:rPr>
          <w:rFonts w:cs="Arial"/>
          <w:lang w:val="en"/>
        </w:rPr>
        <w:t xml:space="preserve">while </w:t>
      </w:r>
      <w:r w:rsidRPr="006A2D60">
        <w:rPr>
          <w:rFonts w:cs="Arial"/>
          <w:lang w:val="en"/>
        </w:rPr>
        <w:t>providing specialist care to New Zealanders.</w:t>
      </w:r>
    </w:p>
    <w:p w14:paraId="134D6E9E" w14:textId="5597C37D" w:rsidR="008B7D3C" w:rsidRDefault="008B7D3C" w:rsidP="00DF5B12">
      <w:pPr>
        <w:rPr>
          <w:lang w:val="en"/>
        </w:rPr>
      </w:pPr>
    </w:p>
    <w:p w14:paraId="1C995DB2" w14:textId="0D8C1FD9" w:rsidR="008B7D3C" w:rsidRDefault="008B7D3C" w:rsidP="00DF5B12">
      <w:r>
        <w:t>Transdisciplinary team members value the specific knowledge and core skills of other team members whilst acknowledging the skills they share. These shared skills allow team members to collaborate across professionals</w:t>
      </w:r>
      <w:r w:rsidR="002F6FBA">
        <w:t>’</w:t>
      </w:r>
      <w:r>
        <w:t xml:space="preserve"> boundaries. Transdisciplinary team working requires mutual understanding, </w:t>
      </w:r>
      <w:proofErr w:type="gramStart"/>
      <w:r>
        <w:t>trust</w:t>
      </w:r>
      <w:proofErr w:type="gramEnd"/>
      <w:r>
        <w:t xml:space="preserve"> and respect of all professionals to enable the team to function efficiently, enabling </w:t>
      </w:r>
      <w:proofErr w:type="spellStart"/>
      <w:r>
        <w:t>whānau</w:t>
      </w:r>
      <w:proofErr w:type="spellEnd"/>
      <w:r>
        <w:t>-centred care.</w:t>
      </w:r>
    </w:p>
    <w:p w14:paraId="76A532BE" w14:textId="77777777" w:rsidR="00DF5B12" w:rsidRDefault="00DF5B12" w:rsidP="00DF5B12"/>
    <w:p w14:paraId="42AC3547" w14:textId="53AE20B9" w:rsidR="008B7D3C" w:rsidRDefault="00DF5B12" w:rsidP="00DF5B12">
      <w:pPr>
        <w:pStyle w:val="Table"/>
        <w:rPr>
          <w:rFonts w:eastAsia="Arial"/>
        </w:rPr>
      </w:pPr>
      <w:bookmarkStart w:id="21" w:name="_Toc43990959"/>
      <w:bookmarkStart w:id="22" w:name="_Toc107472417"/>
      <w:r>
        <w:lastRenderedPageBreak/>
        <w:t>Table </w:t>
      </w:r>
      <w:fldSimple w:instr=" SEQ Table \* ARABIC ">
        <w:r w:rsidR="004E210D">
          <w:rPr>
            <w:noProof/>
          </w:rPr>
          <w:t>1</w:t>
        </w:r>
      </w:fldSimple>
      <w:r w:rsidR="008B7D3C" w:rsidRPr="0043478F">
        <w:rPr>
          <w:rFonts w:eastAsia="Arial"/>
        </w:rPr>
        <w:t xml:space="preserve">: </w:t>
      </w:r>
      <w:r w:rsidR="008B7D3C">
        <w:rPr>
          <w:rFonts w:eastAsia="Arial"/>
        </w:rPr>
        <w:t xml:space="preserve">Ways health professionals can rehabilitate people </w:t>
      </w:r>
      <w:bookmarkEnd w:id="21"/>
      <w:r w:rsidR="008B7D3C">
        <w:rPr>
          <w:rFonts w:eastAsia="Arial"/>
        </w:rPr>
        <w:t xml:space="preserve">recovering from </w:t>
      </w:r>
      <w:r w:rsidR="002F6FBA">
        <w:rPr>
          <w:rFonts w:eastAsia="Arial"/>
        </w:rPr>
        <w:t>COVID</w:t>
      </w:r>
      <w:r w:rsidR="002F6FBA">
        <w:rPr>
          <w:rFonts w:eastAsia="Arial"/>
        </w:rPr>
        <w:noBreakHyphen/>
        <w:t>19</w:t>
      </w:r>
      <w:bookmarkEnd w:id="22"/>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127"/>
        <w:gridCol w:w="5953"/>
      </w:tblGrid>
      <w:tr w:rsidR="00DF5B12" w:rsidRPr="008548B7" w14:paraId="0F64B668" w14:textId="77777777" w:rsidTr="008548B7">
        <w:trPr>
          <w:cantSplit/>
        </w:trPr>
        <w:tc>
          <w:tcPr>
            <w:tcW w:w="2127" w:type="dxa"/>
            <w:tcBorders>
              <w:top w:val="nil"/>
              <w:bottom w:val="nil"/>
            </w:tcBorders>
            <w:shd w:val="clear" w:color="auto" w:fill="D9D9D9" w:themeFill="background1" w:themeFillShade="D9"/>
          </w:tcPr>
          <w:p w14:paraId="34F63F52" w14:textId="12B66EC9" w:rsidR="00DF5B12" w:rsidRPr="008548B7" w:rsidRDefault="008548B7" w:rsidP="00DF5B12">
            <w:pPr>
              <w:pStyle w:val="TableText"/>
              <w:keepNext/>
              <w:rPr>
                <w:b/>
              </w:rPr>
            </w:pPr>
            <w:r w:rsidRPr="008548B7">
              <w:rPr>
                <w:b/>
              </w:rPr>
              <w:t>Profession</w:t>
            </w:r>
          </w:p>
        </w:tc>
        <w:tc>
          <w:tcPr>
            <w:tcW w:w="5953" w:type="dxa"/>
            <w:tcBorders>
              <w:top w:val="nil"/>
              <w:bottom w:val="nil"/>
            </w:tcBorders>
            <w:shd w:val="clear" w:color="auto" w:fill="D9D9D9" w:themeFill="background1" w:themeFillShade="D9"/>
          </w:tcPr>
          <w:p w14:paraId="65E7F9BD" w14:textId="0D17429E" w:rsidR="00DF5B12" w:rsidRPr="008548B7" w:rsidRDefault="008548B7" w:rsidP="008548B7">
            <w:pPr>
              <w:pStyle w:val="TableText"/>
              <w:keepNext/>
              <w:rPr>
                <w:b/>
              </w:rPr>
            </w:pPr>
            <w:r w:rsidRPr="008548B7">
              <w:rPr>
                <w:b/>
              </w:rPr>
              <w:t>Unique skills for rehabilitation of people recovering from COVID</w:t>
            </w:r>
            <w:r w:rsidRPr="008548B7">
              <w:rPr>
                <w:b/>
              </w:rPr>
              <w:noBreakHyphen/>
              <w:t>19</w:t>
            </w:r>
          </w:p>
        </w:tc>
      </w:tr>
      <w:tr w:rsidR="008548B7" w:rsidRPr="00DC20BD" w14:paraId="75FBCBAB" w14:textId="77777777" w:rsidTr="008548B7">
        <w:trPr>
          <w:cantSplit/>
        </w:trPr>
        <w:tc>
          <w:tcPr>
            <w:tcW w:w="2127" w:type="dxa"/>
            <w:tcBorders>
              <w:top w:val="nil"/>
              <w:bottom w:val="single" w:sz="4" w:space="0" w:color="A6A6A6" w:themeColor="background1" w:themeShade="A6"/>
            </w:tcBorders>
          </w:tcPr>
          <w:p w14:paraId="25B67918" w14:textId="3B5D0B40" w:rsidR="008548B7" w:rsidRPr="00DC20BD" w:rsidRDefault="008548B7" w:rsidP="00DF5B12">
            <w:pPr>
              <w:pStyle w:val="TableText"/>
              <w:keepNext/>
            </w:pPr>
            <w:r>
              <w:t>Clinical e</w:t>
            </w:r>
            <w:r w:rsidRPr="00704488">
              <w:t>xercise physiologist</w:t>
            </w:r>
          </w:p>
        </w:tc>
        <w:tc>
          <w:tcPr>
            <w:tcW w:w="5953" w:type="dxa"/>
            <w:tcBorders>
              <w:top w:val="nil"/>
              <w:bottom w:val="single" w:sz="4" w:space="0" w:color="A6A6A6" w:themeColor="background1" w:themeShade="A6"/>
            </w:tcBorders>
          </w:tcPr>
          <w:p w14:paraId="645041DE" w14:textId="72BEC13C" w:rsidR="008548B7" w:rsidRPr="00DC20BD" w:rsidRDefault="008548B7" w:rsidP="008548B7">
            <w:pPr>
              <w:pStyle w:val="TableText"/>
              <w:keepNext/>
              <w:rPr>
                <w:rFonts w:eastAsia="Lucida Sans Unicode" w:hAnsi="Lucida Sans Unicode" w:cs="Lucida Sans Unicode"/>
              </w:rPr>
            </w:pPr>
            <w:r w:rsidRPr="00A443F5">
              <w:t xml:space="preserve">Clinical </w:t>
            </w:r>
            <w:r>
              <w:t>e</w:t>
            </w:r>
            <w:r w:rsidRPr="00A443F5">
              <w:t xml:space="preserve">xercise </w:t>
            </w:r>
            <w:r>
              <w:t>p</w:t>
            </w:r>
            <w:r w:rsidRPr="00A443F5">
              <w:t>hysiologist</w:t>
            </w:r>
            <w:r>
              <w:t xml:space="preserve">s </w:t>
            </w:r>
            <w:r w:rsidRPr="00A443F5">
              <w:t>use assessment</w:t>
            </w:r>
            <w:r>
              <w:t>s</w:t>
            </w:r>
            <w:r w:rsidRPr="00A443F5">
              <w:t xml:space="preserve"> to identify the causes </w:t>
            </w:r>
            <w:r>
              <w:t xml:space="preserve">of </w:t>
            </w:r>
            <w:r w:rsidRPr="00A443F5">
              <w:t>reduced functional capacity or exercise</w:t>
            </w:r>
            <w:r>
              <w:t xml:space="preserve"> </w:t>
            </w:r>
            <w:r w:rsidRPr="00A443F5">
              <w:t>intolerance. They then develop</w:t>
            </w:r>
            <w:r>
              <w:t xml:space="preserve"> individualised</w:t>
            </w:r>
            <w:r w:rsidRPr="00A443F5">
              <w:t xml:space="preserve"> exercise-focused interventions based on their assessment to restore and mitigate loss of function</w:t>
            </w:r>
            <w:r>
              <w:t>.</w:t>
            </w:r>
          </w:p>
        </w:tc>
      </w:tr>
      <w:tr w:rsidR="008548B7" w:rsidRPr="00DC20BD" w14:paraId="7B01F894" w14:textId="77777777" w:rsidTr="008548B7">
        <w:trPr>
          <w:cantSplit/>
        </w:trPr>
        <w:tc>
          <w:tcPr>
            <w:tcW w:w="2127" w:type="dxa"/>
          </w:tcPr>
          <w:p w14:paraId="57C16026" w14:textId="7B857362" w:rsidR="008548B7" w:rsidRPr="00DC20BD" w:rsidRDefault="008548B7" w:rsidP="008548B7">
            <w:pPr>
              <w:pStyle w:val="TableText"/>
              <w:keepNext/>
            </w:pPr>
            <w:r w:rsidRPr="00704488">
              <w:t>Dietitian</w:t>
            </w:r>
          </w:p>
        </w:tc>
        <w:tc>
          <w:tcPr>
            <w:tcW w:w="5953" w:type="dxa"/>
          </w:tcPr>
          <w:p w14:paraId="3092638D" w14:textId="5482EBAE" w:rsidR="008548B7" w:rsidRPr="00DC20BD" w:rsidRDefault="008548B7" w:rsidP="008548B7">
            <w:pPr>
              <w:pStyle w:val="TableText"/>
              <w:keepNext/>
              <w:rPr>
                <w:rFonts w:eastAsia="Lucida Sans Unicode" w:hAnsi="Lucida Sans Unicode" w:cs="Lucida Sans Unicode"/>
              </w:rPr>
            </w:pPr>
            <w:r>
              <w:rPr>
                <w:shd w:val="clear" w:color="auto" w:fill="FFFFFF"/>
              </w:rPr>
              <w:t>D</w:t>
            </w:r>
            <w:r w:rsidRPr="007C6D6D">
              <w:rPr>
                <w:shd w:val="clear" w:color="auto" w:fill="FFFFFF"/>
              </w:rPr>
              <w:t>ietitians provide medical nutrition therapy</w:t>
            </w:r>
            <w:r>
              <w:rPr>
                <w:shd w:val="clear" w:color="auto" w:fill="FFFFFF"/>
              </w:rPr>
              <w:t>,</w:t>
            </w:r>
            <w:r w:rsidRPr="007C6D6D">
              <w:rPr>
                <w:shd w:val="clear" w:color="auto" w:fill="FFFFFF"/>
              </w:rPr>
              <w:t xml:space="preserve"> which involves assessing the nutritional needs of patients and together creating an individual nutritional plan to meet those needs as they recover, taking in</w:t>
            </w:r>
            <w:r>
              <w:rPr>
                <w:shd w:val="clear" w:color="auto" w:fill="FFFFFF"/>
              </w:rPr>
              <w:t>to</w:t>
            </w:r>
            <w:r w:rsidRPr="007C6D6D">
              <w:rPr>
                <w:shd w:val="clear" w:color="auto" w:fill="FFFFFF"/>
              </w:rPr>
              <w:t xml:space="preserve"> account any other underlying conditions, swallowing difficulties</w:t>
            </w:r>
            <w:r>
              <w:rPr>
                <w:shd w:val="clear" w:color="auto" w:fill="FFFFFF"/>
              </w:rPr>
              <w:t>,</w:t>
            </w:r>
            <w:r w:rsidRPr="007C6D6D">
              <w:rPr>
                <w:shd w:val="clear" w:color="auto" w:fill="FFFFFF"/>
              </w:rPr>
              <w:t xml:space="preserve"> lifestyle, social </w:t>
            </w:r>
            <w:r>
              <w:rPr>
                <w:shd w:val="clear" w:color="auto" w:fill="FFFFFF"/>
              </w:rPr>
              <w:t>and</w:t>
            </w:r>
            <w:r w:rsidRPr="007C6D6D">
              <w:rPr>
                <w:shd w:val="clear" w:color="auto" w:fill="FFFFFF"/>
              </w:rPr>
              <w:t xml:space="preserve"> cultural factors.</w:t>
            </w:r>
          </w:p>
        </w:tc>
      </w:tr>
      <w:tr w:rsidR="008548B7" w:rsidRPr="00DC20BD" w14:paraId="2475976D" w14:textId="77777777" w:rsidTr="008548B7">
        <w:trPr>
          <w:cantSplit/>
        </w:trPr>
        <w:tc>
          <w:tcPr>
            <w:tcW w:w="2127" w:type="dxa"/>
          </w:tcPr>
          <w:p w14:paraId="15AA363C" w14:textId="49A86E56" w:rsidR="008548B7" w:rsidRPr="00DC20BD" w:rsidRDefault="008548B7" w:rsidP="00DF5B12">
            <w:pPr>
              <w:pStyle w:val="TableText"/>
            </w:pPr>
            <w:r w:rsidRPr="00704488">
              <w:t>Occupational therapist</w:t>
            </w:r>
          </w:p>
        </w:tc>
        <w:tc>
          <w:tcPr>
            <w:tcW w:w="5953" w:type="dxa"/>
          </w:tcPr>
          <w:p w14:paraId="3DEF6800" w14:textId="6411C112" w:rsidR="008548B7" w:rsidRPr="00DC20BD" w:rsidRDefault="008548B7" w:rsidP="008548B7">
            <w:pPr>
              <w:pStyle w:val="TableText"/>
              <w:rPr>
                <w:rFonts w:eastAsia="Lucida Sans Unicode" w:hAnsi="Lucida Sans Unicode" w:cs="Lucida Sans Unicode"/>
              </w:rPr>
            </w:pPr>
            <w:r w:rsidRPr="00DF732A">
              <w:t xml:space="preserve">Occupational therapists engage people and </w:t>
            </w:r>
            <w:proofErr w:type="spellStart"/>
            <w:r w:rsidRPr="00DF732A">
              <w:t>wh</w:t>
            </w:r>
            <w:r>
              <w:t>ā</w:t>
            </w:r>
            <w:r w:rsidRPr="00DF732A">
              <w:t>nau</w:t>
            </w:r>
            <w:proofErr w:type="spellEnd"/>
            <w:r w:rsidRPr="00DF732A">
              <w:t xml:space="preserve"> in personally meaningful occupations (self-care, productivity, leisure) to empower them through rehabilitation that will optimise their recovery.</w:t>
            </w:r>
          </w:p>
        </w:tc>
      </w:tr>
      <w:tr w:rsidR="008548B7" w:rsidRPr="00DC20BD" w14:paraId="7FE94488" w14:textId="77777777" w:rsidTr="008548B7">
        <w:trPr>
          <w:cantSplit/>
        </w:trPr>
        <w:tc>
          <w:tcPr>
            <w:tcW w:w="2127" w:type="dxa"/>
          </w:tcPr>
          <w:p w14:paraId="1D2798A2" w14:textId="6E63D359" w:rsidR="008548B7" w:rsidRPr="00DC20BD" w:rsidRDefault="008548B7" w:rsidP="00DF5B12">
            <w:pPr>
              <w:pStyle w:val="TableText"/>
            </w:pPr>
            <w:r w:rsidRPr="00704488">
              <w:t>Physiotherapist</w:t>
            </w:r>
          </w:p>
        </w:tc>
        <w:tc>
          <w:tcPr>
            <w:tcW w:w="5953" w:type="dxa"/>
          </w:tcPr>
          <w:p w14:paraId="13174CC8" w14:textId="06AFDD2B" w:rsidR="008548B7" w:rsidRPr="00DC20BD" w:rsidRDefault="008548B7" w:rsidP="008548B7">
            <w:pPr>
              <w:pStyle w:val="TableText"/>
              <w:rPr>
                <w:rFonts w:eastAsia="Lucida Sans Unicode" w:hAnsi="Lucida Sans Unicode" w:cs="Lucida Sans Unicode"/>
              </w:rPr>
            </w:pPr>
            <w:r>
              <w:t>Physiotherapists are autonomous practitioners who work in partnership with the wider team to mitigate the physiological consequences of COVID</w:t>
            </w:r>
            <w:r>
              <w:noBreakHyphen/>
              <w:t>19. Physiotherapists may be involved in a person’s rehabilitation from acute admission in an intensive care unit through to community, occupational and sporting environments. Physiotherapists interpret the findings of individualised assessments and prescribe a management plan supported by evidence to meet a person’s needs and specific goals.</w:t>
            </w:r>
          </w:p>
        </w:tc>
      </w:tr>
      <w:tr w:rsidR="008548B7" w:rsidRPr="00DC20BD" w14:paraId="35D4C961" w14:textId="77777777" w:rsidTr="008548B7">
        <w:trPr>
          <w:cantSplit/>
        </w:trPr>
        <w:tc>
          <w:tcPr>
            <w:tcW w:w="2127" w:type="dxa"/>
          </w:tcPr>
          <w:p w14:paraId="03D2EA47" w14:textId="23C47A63" w:rsidR="008548B7" w:rsidRPr="00DC20BD" w:rsidRDefault="008548B7" w:rsidP="00DF5B12">
            <w:pPr>
              <w:pStyle w:val="TableText"/>
            </w:pPr>
            <w:r w:rsidRPr="00704488">
              <w:t>Psychologist</w:t>
            </w:r>
          </w:p>
        </w:tc>
        <w:tc>
          <w:tcPr>
            <w:tcW w:w="5953" w:type="dxa"/>
          </w:tcPr>
          <w:p w14:paraId="4D725286" w14:textId="4397F18B" w:rsidR="008548B7" w:rsidRPr="00DC20BD" w:rsidRDefault="008548B7" w:rsidP="008548B7">
            <w:pPr>
              <w:pStyle w:val="TableText"/>
              <w:rPr>
                <w:rFonts w:eastAsia="Lucida Sans Unicode" w:hAnsi="Lucida Sans Unicode" w:cs="Lucida Sans Unicode"/>
              </w:rPr>
            </w:pPr>
            <w:r>
              <w:rPr>
                <w:rFonts w:cs="Arial"/>
                <w:szCs w:val="18"/>
              </w:rPr>
              <w:t xml:space="preserve">Psychologists are scientist practitioners who apply psychological knowledge, principles, </w:t>
            </w:r>
            <w:proofErr w:type="gramStart"/>
            <w:r>
              <w:rPr>
                <w:rFonts w:cs="Arial"/>
                <w:szCs w:val="18"/>
              </w:rPr>
              <w:t>methods</w:t>
            </w:r>
            <w:proofErr w:type="gramEnd"/>
            <w:r>
              <w:rPr>
                <w:rFonts w:cs="Arial"/>
                <w:szCs w:val="18"/>
              </w:rPr>
              <w:t xml:space="preserve"> and procedures to predict and influence behaviour and/or cognition to support people to achieve psychological and psychosocial wellbeing. Psychologists provide evidence-based psychological therapies to optimise wellbeing.</w:t>
            </w:r>
          </w:p>
        </w:tc>
      </w:tr>
      <w:tr w:rsidR="008548B7" w:rsidRPr="00DC20BD" w14:paraId="3C134215" w14:textId="77777777" w:rsidTr="008548B7">
        <w:trPr>
          <w:cantSplit/>
        </w:trPr>
        <w:tc>
          <w:tcPr>
            <w:tcW w:w="2127" w:type="dxa"/>
          </w:tcPr>
          <w:p w14:paraId="4B2E3BD2" w14:textId="29E45247" w:rsidR="008548B7" w:rsidRPr="00DC20BD" w:rsidRDefault="008548B7" w:rsidP="00DF5B12">
            <w:pPr>
              <w:pStyle w:val="TableText"/>
            </w:pPr>
            <w:r w:rsidRPr="00704488">
              <w:t>Social worker</w:t>
            </w:r>
          </w:p>
        </w:tc>
        <w:tc>
          <w:tcPr>
            <w:tcW w:w="5953" w:type="dxa"/>
          </w:tcPr>
          <w:p w14:paraId="47B9C04E" w14:textId="37354323" w:rsidR="008548B7" w:rsidRPr="00DC20BD" w:rsidRDefault="008548B7" w:rsidP="008548B7">
            <w:pPr>
              <w:pStyle w:val="TableText"/>
              <w:rPr>
                <w:rFonts w:eastAsia="Lucida Sans Unicode" w:hAnsi="Lucida Sans Unicode" w:cs="Lucida Sans Unicode"/>
              </w:rPr>
            </w:pPr>
            <w:r w:rsidRPr="00F368BE">
              <w:rPr>
                <w:bCs/>
              </w:rPr>
              <w:t xml:space="preserve">Social </w:t>
            </w:r>
            <w:r>
              <w:rPr>
                <w:bCs/>
              </w:rPr>
              <w:t>w</w:t>
            </w:r>
            <w:r w:rsidRPr="00F368BE">
              <w:rPr>
                <w:bCs/>
              </w:rPr>
              <w:t xml:space="preserve">orkers assess and evaluate </w:t>
            </w:r>
            <w:r>
              <w:t xml:space="preserve">individual and </w:t>
            </w:r>
            <w:proofErr w:type="spellStart"/>
            <w:r>
              <w:t>whānau</w:t>
            </w:r>
            <w:proofErr w:type="spellEnd"/>
            <w:r>
              <w:t xml:space="preserve"> </w:t>
            </w:r>
            <w:r>
              <w:rPr>
                <w:bCs/>
              </w:rPr>
              <w:t>situations</w:t>
            </w:r>
            <w:r w:rsidRPr="00F368BE">
              <w:rPr>
                <w:bCs/>
              </w:rPr>
              <w:t xml:space="preserve"> and needs</w:t>
            </w:r>
            <w:r>
              <w:rPr>
                <w:bCs/>
              </w:rPr>
              <w:t>,</w:t>
            </w:r>
            <w:r w:rsidRPr="00F368BE">
              <w:rPr>
                <w:bCs/>
              </w:rPr>
              <w:t xml:space="preserve"> incorporating analysis of structural, cultural, </w:t>
            </w:r>
            <w:proofErr w:type="gramStart"/>
            <w:r w:rsidRPr="00F368BE">
              <w:rPr>
                <w:bCs/>
              </w:rPr>
              <w:t>social</w:t>
            </w:r>
            <w:proofErr w:type="gramEnd"/>
            <w:r w:rsidRPr="00F368BE">
              <w:rPr>
                <w:bCs/>
              </w:rPr>
              <w:t xml:space="preserve"> and economic issues to explore and identify strengths, needs, context and support networks</w:t>
            </w:r>
            <w:r>
              <w:rPr>
                <w:bCs/>
              </w:rPr>
              <w:t xml:space="preserve">. Social workers view rehabilitation from the </w:t>
            </w:r>
            <w:r w:rsidRPr="00F368BE">
              <w:rPr>
                <w:bCs/>
              </w:rPr>
              <w:t>client</w:t>
            </w:r>
            <w:r>
              <w:rPr>
                <w:bCs/>
              </w:rPr>
              <w:t>’</w:t>
            </w:r>
            <w:r w:rsidRPr="00F368BE">
              <w:rPr>
                <w:bCs/>
              </w:rPr>
              <w:t xml:space="preserve">s perspective, </w:t>
            </w:r>
            <w:r>
              <w:t xml:space="preserve">working in partnership to </w:t>
            </w:r>
            <w:r w:rsidRPr="00F368BE">
              <w:rPr>
                <w:bCs/>
              </w:rPr>
              <w:t xml:space="preserve">determine and prioritise goals that will enhance </w:t>
            </w:r>
            <w:r>
              <w:rPr>
                <w:bCs/>
              </w:rPr>
              <w:t xml:space="preserve">people’s </w:t>
            </w:r>
            <w:r w:rsidRPr="00F368BE">
              <w:rPr>
                <w:bCs/>
              </w:rPr>
              <w:t xml:space="preserve">wellbeing, </w:t>
            </w:r>
            <w:proofErr w:type="gramStart"/>
            <w:r w:rsidRPr="00F368BE">
              <w:rPr>
                <w:bCs/>
              </w:rPr>
              <w:t>resilience</w:t>
            </w:r>
            <w:proofErr w:type="gramEnd"/>
            <w:r w:rsidRPr="00F368BE">
              <w:rPr>
                <w:bCs/>
              </w:rPr>
              <w:t xml:space="preserve"> and ability to cope with life stress</w:t>
            </w:r>
            <w:r>
              <w:rPr>
                <w:bCs/>
              </w:rPr>
              <w:t xml:space="preserve">ors </w:t>
            </w:r>
            <w:r w:rsidRPr="00F368BE">
              <w:rPr>
                <w:bCs/>
              </w:rPr>
              <w:t>such as grief, loss, trauma and other major events and challenges.</w:t>
            </w:r>
          </w:p>
        </w:tc>
      </w:tr>
      <w:tr w:rsidR="008548B7" w:rsidRPr="00DC20BD" w14:paraId="722272D7" w14:textId="77777777" w:rsidTr="008548B7">
        <w:trPr>
          <w:cantSplit/>
        </w:trPr>
        <w:tc>
          <w:tcPr>
            <w:tcW w:w="2127" w:type="dxa"/>
          </w:tcPr>
          <w:p w14:paraId="6F660094" w14:textId="66D16599" w:rsidR="008548B7" w:rsidRPr="00DC20BD" w:rsidRDefault="008548B7" w:rsidP="00DF5B12">
            <w:pPr>
              <w:pStyle w:val="TableText"/>
            </w:pPr>
            <w:r w:rsidRPr="00704488">
              <w:t>Speech and language therapist</w:t>
            </w:r>
          </w:p>
        </w:tc>
        <w:tc>
          <w:tcPr>
            <w:tcW w:w="5953" w:type="dxa"/>
          </w:tcPr>
          <w:p w14:paraId="37311C96" w14:textId="6A8C854E" w:rsidR="008548B7" w:rsidRPr="00DC20BD" w:rsidRDefault="008548B7" w:rsidP="008548B7">
            <w:pPr>
              <w:pStyle w:val="TableText"/>
              <w:rPr>
                <w:rFonts w:eastAsia="Lucida Sans Unicode" w:hAnsi="Lucida Sans Unicode" w:cs="Lucida Sans Unicode"/>
              </w:rPr>
            </w:pPr>
            <w:r w:rsidRPr="005C618D">
              <w:rPr>
                <w:rFonts w:eastAsia="Calibri"/>
              </w:rPr>
              <w:t xml:space="preserve">Speech-language therapists are autonomous practitioners who work in partnership with the wider team to provide specialist assessment and rehabilitation for people </w:t>
            </w:r>
            <w:r>
              <w:rPr>
                <w:rFonts w:eastAsia="Calibri"/>
              </w:rPr>
              <w:t xml:space="preserve">of all ages </w:t>
            </w:r>
            <w:r w:rsidRPr="005C618D">
              <w:rPr>
                <w:rFonts w:eastAsia="Calibri"/>
              </w:rPr>
              <w:t>with acute and chronic communication and swallowing difficulties.</w:t>
            </w:r>
          </w:p>
        </w:tc>
      </w:tr>
    </w:tbl>
    <w:p w14:paraId="6D6E2109" w14:textId="77777777" w:rsidR="00DF5B12" w:rsidRPr="0043478F" w:rsidRDefault="00DF5B12" w:rsidP="008548B7">
      <w:pPr>
        <w:rPr>
          <w:rFonts w:eastAsia="Arial"/>
        </w:rPr>
      </w:pPr>
    </w:p>
    <w:p w14:paraId="081802E4" w14:textId="33971CB1" w:rsidR="002F6FBA" w:rsidRDefault="008B7D3C" w:rsidP="006E4065">
      <w:pPr>
        <w:pStyle w:val="Heading2"/>
        <w:rPr>
          <w:rFonts w:eastAsia="Arial"/>
        </w:rPr>
      </w:pPr>
      <w:bookmarkStart w:id="23" w:name="_Toc102738302"/>
      <w:bookmarkStart w:id="24" w:name="_Toc107483168"/>
      <w:r w:rsidRPr="00F92328">
        <w:rPr>
          <w:rFonts w:eastAsia="Arial"/>
        </w:rPr>
        <w:lastRenderedPageBreak/>
        <w:t xml:space="preserve">Providing </w:t>
      </w:r>
      <w:r>
        <w:rPr>
          <w:rFonts w:eastAsia="Arial"/>
        </w:rPr>
        <w:t>rehabilitation</w:t>
      </w:r>
      <w:r w:rsidRPr="00F92328">
        <w:rPr>
          <w:rFonts w:eastAsia="Arial"/>
        </w:rPr>
        <w:t xml:space="preserve"> to people </w:t>
      </w:r>
      <w:r>
        <w:rPr>
          <w:rFonts w:eastAsia="Arial"/>
        </w:rPr>
        <w:t xml:space="preserve">recovering from </w:t>
      </w:r>
      <w:bookmarkEnd w:id="23"/>
      <w:r w:rsidR="002F6FBA">
        <w:rPr>
          <w:rFonts w:eastAsia="Arial"/>
        </w:rPr>
        <w:t>COVID</w:t>
      </w:r>
      <w:r w:rsidR="002F6FBA">
        <w:rPr>
          <w:rFonts w:eastAsia="Arial"/>
        </w:rPr>
        <w:noBreakHyphen/>
        <w:t>19</w:t>
      </w:r>
      <w:bookmarkEnd w:id="24"/>
    </w:p>
    <w:p w14:paraId="4FE3B614" w14:textId="65EE7554" w:rsidR="008B7D3C" w:rsidRDefault="008B7D3C" w:rsidP="006E4065">
      <w:pPr>
        <w:keepNext/>
        <w:rPr>
          <w:rFonts w:eastAsia="Arial"/>
        </w:rPr>
      </w:pPr>
      <w:r w:rsidRPr="00F92328">
        <w:rPr>
          <w:rFonts w:eastAsia="Arial"/>
        </w:rPr>
        <w:t xml:space="preserve">The </w:t>
      </w:r>
      <w:r>
        <w:rPr>
          <w:rFonts w:eastAsia="Arial"/>
        </w:rPr>
        <w:t xml:space="preserve">following </w:t>
      </w:r>
      <w:r w:rsidRPr="00F92328">
        <w:rPr>
          <w:rFonts w:eastAsia="Arial"/>
        </w:rPr>
        <w:t xml:space="preserve">table shows the phases of care for people </w:t>
      </w:r>
      <w:r>
        <w:rPr>
          <w:rFonts w:eastAsia="Arial"/>
        </w:rPr>
        <w:t xml:space="preserve">recovering from </w:t>
      </w:r>
      <w:r w:rsidR="002F6FBA">
        <w:rPr>
          <w:rFonts w:eastAsia="Arial"/>
        </w:rPr>
        <w:t>COVID</w:t>
      </w:r>
      <w:r w:rsidR="002F6FBA">
        <w:rPr>
          <w:rFonts w:eastAsia="Arial"/>
        </w:rPr>
        <w:noBreakHyphen/>
        <w:t>19</w:t>
      </w:r>
      <w:r>
        <w:rPr>
          <w:rFonts w:eastAsia="Arial"/>
        </w:rPr>
        <w:t>.</w:t>
      </w:r>
      <w:r w:rsidRPr="00F92328">
        <w:rPr>
          <w:rFonts w:eastAsia="Arial"/>
        </w:rPr>
        <w:t xml:space="preserve"> It outlines the key principles and the requirements of specific health professional groups for each of the phases.</w:t>
      </w:r>
    </w:p>
    <w:p w14:paraId="3849C2BE" w14:textId="77777777" w:rsidR="006E4065" w:rsidRPr="00C528BF" w:rsidRDefault="006E4065" w:rsidP="006E4065">
      <w:pPr>
        <w:keepNext/>
        <w:rPr>
          <w:rFonts w:eastAsia="Arial"/>
        </w:rPr>
      </w:pPr>
    </w:p>
    <w:p w14:paraId="6DCD021E" w14:textId="11A64D42" w:rsidR="008B7D3C" w:rsidRPr="0043478F" w:rsidRDefault="006E4065" w:rsidP="006E4065">
      <w:pPr>
        <w:pStyle w:val="Table"/>
        <w:rPr>
          <w:rFonts w:eastAsia="Arial"/>
        </w:rPr>
      </w:pPr>
      <w:bookmarkStart w:id="25" w:name="_Toc43990960"/>
      <w:bookmarkStart w:id="26" w:name="_Toc107472418"/>
      <w:r>
        <w:t>Table </w:t>
      </w:r>
      <w:fldSimple w:instr=" SEQ Table \* ARABIC ">
        <w:r w:rsidR="004E210D">
          <w:rPr>
            <w:noProof/>
          </w:rPr>
          <w:t>2</w:t>
        </w:r>
      </w:fldSimple>
      <w:r w:rsidR="008B7D3C" w:rsidRPr="0043478F">
        <w:rPr>
          <w:rFonts w:eastAsia="Arial"/>
        </w:rPr>
        <w:t xml:space="preserve">: </w:t>
      </w:r>
      <w:r w:rsidR="008B7D3C">
        <w:rPr>
          <w:rFonts w:eastAsia="Arial"/>
        </w:rPr>
        <w:t xml:space="preserve">Key principles for and requirements of specific health professional groups when providing care to persons </w:t>
      </w:r>
      <w:bookmarkEnd w:id="25"/>
      <w:r w:rsidR="008B7D3C">
        <w:rPr>
          <w:rFonts w:eastAsia="Arial"/>
        </w:rPr>
        <w:t xml:space="preserve">recovering from </w:t>
      </w:r>
      <w:r w:rsidR="002F6FBA">
        <w:rPr>
          <w:rFonts w:eastAsia="Arial"/>
        </w:rPr>
        <w:t>COVID</w:t>
      </w:r>
      <w:r w:rsidR="002F6FBA">
        <w:rPr>
          <w:rFonts w:eastAsia="Arial"/>
        </w:rPr>
        <w:noBreakHyphen/>
        <w:t>19</w:t>
      </w:r>
      <w:bookmarkEnd w:id="26"/>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701"/>
        <w:gridCol w:w="4678"/>
        <w:gridCol w:w="1701"/>
      </w:tblGrid>
      <w:tr w:rsidR="008B7D3C" w:rsidRPr="006E4065" w14:paraId="719ADDBE" w14:textId="77777777" w:rsidTr="00075E9B">
        <w:trPr>
          <w:cantSplit/>
          <w:tblHeader/>
        </w:trPr>
        <w:tc>
          <w:tcPr>
            <w:tcW w:w="1701" w:type="dxa"/>
            <w:tcBorders>
              <w:top w:val="nil"/>
              <w:bottom w:val="nil"/>
            </w:tcBorders>
            <w:shd w:val="clear" w:color="auto" w:fill="D9D9D9" w:themeFill="background1" w:themeFillShade="D9"/>
          </w:tcPr>
          <w:p w14:paraId="6CD72578" w14:textId="77777777" w:rsidR="008B7D3C" w:rsidRPr="006E4065" w:rsidRDefault="008B7D3C" w:rsidP="006E4065">
            <w:pPr>
              <w:pStyle w:val="TableText"/>
              <w:rPr>
                <w:b/>
              </w:rPr>
            </w:pPr>
            <w:r w:rsidRPr="006E4065">
              <w:rPr>
                <w:b/>
              </w:rPr>
              <w:t>Phase of care</w:t>
            </w:r>
          </w:p>
        </w:tc>
        <w:tc>
          <w:tcPr>
            <w:tcW w:w="4678" w:type="dxa"/>
            <w:tcBorders>
              <w:top w:val="nil"/>
              <w:bottom w:val="nil"/>
            </w:tcBorders>
            <w:shd w:val="clear" w:color="auto" w:fill="D9D9D9" w:themeFill="background1" w:themeFillShade="D9"/>
          </w:tcPr>
          <w:p w14:paraId="14C54E14" w14:textId="77777777" w:rsidR="008B7D3C" w:rsidRPr="006E4065" w:rsidRDefault="008B7D3C" w:rsidP="006E4065">
            <w:pPr>
              <w:pStyle w:val="TableText"/>
              <w:rPr>
                <w:b/>
              </w:rPr>
            </w:pPr>
            <w:r w:rsidRPr="006E4065">
              <w:rPr>
                <w:b/>
              </w:rPr>
              <w:t>Rehabilitation interventions</w:t>
            </w:r>
          </w:p>
        </w:tc>
        <w:tc>
          <w:tcPr>
            <w:tcW w:w="1701" w:type="dxa"/>
            <w:tcBorders>
              <w:top w:val="nil"/>
              <w:bottom w:val="nil"/>
            </w:tcBorders>
            <w:shd w:val="clear" w:color="auto" w:fill="D9D9D9" w:themeFill="background1" w:themeFillShade="D9"/>
          </w:tcPr>
          <w:p w14:paraId="705114E1" w14:textId="77777777" w:rsidR="008B7D3C" w:rsidRPr="006E4065" w:rsidRDefault="008B7D3C" w:rsidP="00DF5B12">
            <w:pPr>
              <w:pStyle w:val="TableText"/>
              <w:keepNext/>
              <w:rPr>
                <w:b/>
              </w:rPr>
            </w:pPr>
            <w:r w:rsidRPr="006E4065">
              <w:rPr>
                <w:b/>
              </w:rPr>
              <w:t>Possible locations</w:t>
            </w:r>
          </w:p>
        </w:tc>
      </w:tr>
      <w:tr w:rsidR="008B7D3C" w:rsidRPr="00DC20BD" w14:paraId="48ED55A3" w14:textId="77777777" w:rsidTr="006E4065">
        <w:trPr>
          <w:cantSplit/>
        </w:trPr>
        <w:tc>
          <w:tcPr>
            <w:tcW w:w="1701" w:type="dxa"/>
            <w:tcBorders>
              <w:top w:val="nil"/>
              <w:bottom w:val="single" w:sz="4" w:space="0" w:color="A6A6A6" w:themeColor="background1" w:themeShade="A6"/>
            </w:tcBorders>
          </w:tcPr>
          <w:p w14:paraId="5D39B257" w14:textId="77777777" w:rsidR="008B7D3C" w:rsidRPr="006E4065" w:rsidRDefault="008B7D3C" w:rsidP="006E4065">
            <w:pPr>
              <w:pStyle w:val="TableText"/>
              <w:rPr>
                <w:b/>
              </w:rPr>
            </w:pPr>
            <w:r w:rsidRPr="006E4065">
              <w:rPr>
                <w:b/>
              </w:rPr>
              <w:t>Pre-rehabilitation</w:t>
            </w:r>
          </w:p>
        </w:tc>
        <w:tc>
          <w:tcPr>
            <w:tcW w:w="4678" w:type="dxa"/>
            <w:tcBorders>
              <w:top w:val="nil"/>
              <w:bottom w:val="single" w:sz="4" w:space="0" w:color="A6A6A6" w:themeColor="background1" w:themeShade="A6"/>
            </w:tcBorders>
          </w:tcPr>
          <w:p w14:paraId="377B676C" w14:textId="77777777" w:rsidR="006E4065" w:rsidRDefault="008B7D3C" w:rsidP="006E4065">
            <w:pPr>
              <w:pStyle w:val="TableText"/>
            </w:pPr>
            <w:r>
              <w:t>This phase entails i</w:t>
            </w:r>
            <w:r w:rsidRPr="00603882">
              <w:t xml:space="preserve">dentification of </w:t>
            </w:r>
            <w:r>
              <w:t>priority</w:t>
            </w:r>
            <w:r w:rsidRPr="00603882">
              <w:t xml:space="preserve"> groups to support people</w:t>
            </w:r>
            <w:r w:rsidR="002F6FBA">
              <w:t>’</w:t>
            </w:r>
            <w:r w:rsidRPr="00603882">
              <w:t>s health and wellbe</w:t>
            </w:r>
            <w:r w:rsidR="006E4065">
              <w:t>ing through a challenging time.</w:t>
            </w:r>
          </w:p>
          <w:p w14:paraId="41707344" w14:textId="77777777" w:rsidR="006E4065" w:rsidRDefault="008B7D3C" w:rsidP="006E4065">
            <w:pPr>
              <w:pStyle w:val="TableText"/>
            </w:pPr>
            <w:r>
              <w:t xml:space="preserve">Also </w:t>
            </w:r>
            <w:r w:rsidRPr="00603882">
              <w:t>community care plans, home exercise programmes and mental health support.</w:t>
            </w:r>
          </w:p>
          <w:p w14:paraId="097B983D" w14:textId="22477B50" w:rsidR="008B7D3C" w:rsidRPr="00603882" w:rsidRDefault="008B7D3C" w:rsidP="006E4065">
            <w:pPr>
              <w:pStyle w:val="TableText"/>
            </w:pPr>
            <w:r w:rsidRPr="00603882">
              <w:t xml:space="preserve">These </w:t>
            </w:r>
            <w:r>
              <w:t xml:space="preserve">interventions </w:t>
            </w:r>
            <w:r w:rsidRPr="00603882">
              <w:t>may be delivered virtually.</w:t>
            </w:r>
          </w:p>
        </w:tc>
        <w:tc>
          <w:tcPr>
            <w:tcW w:w="1701" w:type="dxa"/>
            <w:tcBorders>
              <w:top w:val="nil"/>
              <w:bottom w:val="single" w:sz="4" w:space="0" w:color="A6A6A6" w:themeColor="background1" w:themeShade="A6"/>
            </w:tcBorders>
          </w:tcPr>
          <w:p w14:paraId="658C0D76" w14:textId="688B6E26" w:rsidR="008B7D3C" w:rsidRPr="00603882" w:rsidRDefault="008B7D3C" w:rsidP="006E4065">
            <w:pPr>
              <w:pStyle w:val="TableText"/>
            </w:pPr>
            <w:r>
              <w:t xml:space="preserve">Community outreach, primary care, </w:t>
            </w:r>
            <w:proofErr w:type="spellStart"/>
            <w:r>
              <w:t>kaupap</w:t>
            </w:r>
            <w:r w:rsidR="006E4065">
              <w:t>a</w:t>
            </w:r>
            <w:proofErr w:type="spellEnd"/>
            <w:r w:rsidR="006E4065">
              <w:t xml:space="preserve">/ kaumatua, </w:t>
            </w:r>
            <w:proofErr w:type="spellStart"/>
            <w:r w:rsidR="006E4065">
              <w:t>mārae</w:t>
            </w:r>
            <w:proofErr w:type="spellEnd"/>
            <w:r w:rsidR="006E4065">
              <w:t>-based services</w:t>
            </w:r>
          </w:p>
        </w:tc>
      </w:tr>
      <w:tr w:rsidR="006E4065" w:rsidRPr="00DC20BD" w14:paraId="18956F67" w14:textId="77777777" w:rsidTr="006E4065">
        <w:trPr>
          <w:cantSplit/>
        </w:trPr>
        <w:tc>
          <w:tcPr>
            <w:tcW w:w="1701" w:type="dxa"/>
          </w:tcPr>
          <w:p w14:paraId="7EE06B99" w14:textId="4A92184B" w:rsidR="006E4065" w:rsidRPr="006E4065" w:rsidRDefault="006E4065" w:rsidP="00D16502">
            <w:pPr>
              <w:pStyle w:val="TableText"/>
              <w:rPr>
                <w:b/>
              </w:rPr>
            </w:pPr>
            <w:r w:rsidRPr="006E4065">
              <w:rPr>
                <w:b/>
              </w:rPr>
              <w:t>Acute</w:t>
            </w:r>
            <w:r w:rsidR="00D16502">
              <w:rPr>
                <w:b/>
              </w:rPr>
              <w:br/>
            </w:r>
            <w:r>
              <w:t>Assessment, initial treatment, early rehabilitation</w:t>
            </w:r>
          </w:p>
        </w:tc>
        <w:tc>
          <w:tcPr>
            <w:tcW w:w="4678" w:type="dxa"/>
          </w:tcPr>
          <w:p w14:paraId="7BB796B4" w14:textId="77777777" w:rsidR="006E4065" w:rsidRDefault="006E4065" w:rsidP="006E4065">
            <w:pPr>
              <w:pStyle w:val="TableText"/>
              <w:rPr>
                <w:szCs w:val="18"/>
              </w:rPr>
            </w:pPr>
            <w:r w:rsidRPr="00603882">
              <w:rPr>
                <w:szCs w:val="18"/>
              </w:rPr>
              <w:t xml:space="preserve">A person may require some </w:t>
            </w:r>
            <w:r>
              <w:rPr>
                <w:szCs w:val="18"/>
              </w:rPr>
              <w:t xml:space="preserve">or all </w:t>
            </w:r>
            <w:r w:rsidRPr="00603882">
              <w:rPr>
                <w:szCs w:val="18"/>
              </w:rPr>
              <w:t>of these rehabilitation interventions, depending on the severity or presentation of their illness.</w:t>
            </w:r>
          </w:p>
          <w:p w14:paraId="4D1D7D83" w14:textId="77777777" w:rsidR="006E4065" w:rsidRPr="006E4065" w:rsidRDefault="006E4065" w:rsidP="006E4065">
            <w:pPr>
              <w:pStyle w:val="TableText"/>
              <w:spacing w:before="120"/>
              <w:rPr>
                <w:b/>
                <w:szCs w:val="18"/>
              </w:rPr>
            </w:pPr>
            <w:r w:rsidRPr="006E4065">
              <w:rPr>
                <w:b/>
                <w:szCs w:val="18"/>
              </w:rPr>
              <w:t>Respiratory</w:t>
            </w:r>
          </w:p>
          <w:p w14:paraId="7F64E9D2" w14:textId="77777777" w:rsidR="006E4065" w:rsidRPr="00603882" w:rsidRDefault="006E4065" w:rsidP="006E4065">
            <w:pPr>
              <w:pStyle w:val="TableText"/>
              <w:rPr>
                <w:szCs w:val="18"/>
              </w:rPr>
            </w:pPr>
            <w:r w:rsidRPr="00603882">
              <w:rPr>
                <w:szCs w:val="18"/>
              </w:rPr>
              <w:t xml:space="preserve">A respiratory assessment may be required </w:t>
            </w:r>
            <w:r>
              <w:rPr>
                <w:szCs w:val="18"/>
              </w:rPr>
              <w:t xml:space="preserve">that </w:t>
            </w:r>
            <w:r w:rsidRPr="00603882">
              <w:rPr>
                <w:szCs w:val="18"/>
              </w:rPr>
              <w:t>includes the person</w:t>
            </w:r>
            <w:r>
              <w:rPr>
                <w:szCs w:val="18"/>
              </w:rPr>
              <w:t>’</w:t>
            </w:r>
            <w:r w:rsidRPr="00603882">
              <w:rPr>
                <w:szCs w:val="18"/>
              </w:rPr>
              <w:t xml:space="preserve">s oxygen requirements, exercise capacity, </w:t>
            </w:r>
            <w:proofErr w:type="gramStart"/>
            <w:r w:rsidRPr="00603882">
              <w:rPr>
                <w:szCs w:val="18"/>
              </w:rPr>
              <w:t>mobility</w:t>
            </w:r>
            <w:proofErr w:type="gramEnd"/>
            <w:r w:rsidRPr="00603882">
              <w:rPr>
                <w:szCs w:val="18"/>
              </w:rPr>
              <w:t xml:space="preserve"> and lung clearance. Specific reliable outcome measures</w:t>
            </w:r>
            <w:r>
              <w:rPr>
                <w:szCs w:val="18"/>
              </w:rPr>
              <w:t>,</w:t>
            </w:r>
            <w:r w:rsidRPr="00603882">
              <w:rPr>
                <w:szCs w:val="18"/>
              </w:rPr>
              <w:t xml:space="preserve"> both physiological </w:t>
            </w:r>
            <w:r>
              <w:rPr>
                <w:szCs w:val="18"/>
              </w:rPr>
              <w:t>and</w:t>
            </w:r>
            <w:r w:rsidRPr="00603882">
              <w:rPr>
                <w:szCs w:val="18"/>
              </w:rPr>
              <w:t xml:space="preserve"> functional</w:t>
            </w:r>
            <w:r>
              <w:rPr>
                <w:szCs w:val="18"/>
              </w:rPr>
              <w:t>,</w:t>
            </w:r>
            <w:r w:rsidRPr="00603882">
              <w:rPr>
                <w:szCs w:val="18"/>
              </w:rPr>
              <w:t xml:space="preserve"> should be used for assessment.</w:t>
            </w:r>
          </w:p>
          <w:p w14:paraId="028CBC74" w14:textId="01C1F018" w:rsidR="006E4065" w:rsidRPr="006E4065" w:rsidRDefault="006E4065" w:rsidP="006E4065">
            <w:pPr>
              <w:pStyle w:val="TableText"/>
              <w:rPr>
                <w:rFonts w:cstheme="minorHAnsi"/>
                <w:iCs/>
                <w:szCs w:val="18"/>
              </w:rPr>
            </w:pPr>
            <w:r w:rsidRPr="00603882">
              <w:rPr>
                <w:szCs w:val="18"/>
              </w:rPr>
              <w:t xml:space="preserve">Treatment should be tailored depending on the assessment, </w:t>
            </w:r>
            <w:r>
              <w:rPr>
                <w:szCs w:val="18"/>
              </w:rPr>
              <w:t xml:space="preserve">the person’s </w:t>
            </w:r>
            <w:r w:rsidRPr="00603882">
              <w:rPr>
                <w:szCs w:val="18"/>
              </w:rPr>
              <w:t>ventilation status and the person</w:t>
            </w:r>
            <w:r>
              <w:rPr>
                <w:szCs w:val="18"/>
              </w:rPr>
              <w:t>’</w:t>
            </w:r>
            <w:r w:rsidRPr="00603882">
              <w:rPr>
                <w:szCs w:val="18"/>
              </w:rPr>
              <w:t xml:space="preserve">s goals. The treatment may </w:t>
            </w:r>
            <w:proofErr w:type="gramStart"/>
            <w:r w:rsidRPr="00603882">
              <w:rPr>
                <w:szCs w:val="18"/>
              </w:rPr>
              <w:t>include</w:t>
            </w:r>
            <w:r>
              <w:rPr>
                <w:szCs w:val="18"/>
              </w:rPr>
              <w:t>:</w:t>
            </w:r>
            <w:proofErr w:type="gramEnd"/>
            <w:r w:rsidRPr="00603882">
              <w:rPr>
                <w:szCs w:val="18"/>
              </w:rPr>
              <w:t xml:space="preserve"> acute pulmonary rehabilitation, strength training for ventilator weaning, positioning for</w:t>
            </w:r>
            <w:r w:rsidRPr="00603882">
              <w:rPr>
                <w:rFonts w:cstheme="minorHAnsi"/>
                <w:iCs/>
                <w:szCs w:val="18"/>
              </w:rPr>
              <w:t xml:space="preserve"> </w:t>
            </w:r>
            <w:r>
              <w:rPr>
                <w:rFonts w:cstheme="minorHAnsi"/>
                <w:iCs/>
                <w:szCs w:val="18"/>
              </w:rPr>
              <w:t>v</w:t>
            </w:r>
            <w:r w:rsidRPr="00C037A6">
              <w:rPr>
                <w:rFonts w:cstheme="minorHAnsi"/>
                <w:iCs/>
                <w:szCs w:val="18"/>
              </w:rPr>
              <w:t>entilation and perfusion matching</w:t>
            </w:r>
            <w:r>
              <w:rPr>
                <w:rFonts w:cstheme="minorHAnsi"/>
                <w:iCs/>
                <w:szCs w:val="18"/>
              </w:rPr>
              <w:t xml:space="preserve"> or secretion clearance</w:t>
            </w:r>
            <w:r w:rsidRPr="00603882">
              <w:rPr>
                <w:rFonts w:cstheme="minorHAnsi"/>
                <w:iCs/>
                <w:szCs w:val="18"/>
              </w:rPr>
              <w:t>, secretion clearance (</w:t>
            </w:r>
            <w:r>
              <w:rPr>
                <w:rFonts w:cstheme="minorHAnsi"/>
                <w:iCs/>
                <w:szCs w:val="18"/>
              </w:rPr>
              <w:t>for example, through</w:t>
            </w:r>
            <w:r w:rsidRPr="00603882">
              <w:rPr>
                <w:rFonts w:cstheme="minorHAnsi"/>
                <w:iCs/>
                <w:szCs w:val="18"/>
              </w:rPr>
              <w:t xml:space="preserve"> manual techniques, oscillatory techniques and positive expiratory pressure</w:t>
            </w:r>
            <w:r>
              <w:rPr>
                <w:rFonts w:cstheme="minorHAnsi"/>
                <w:iCs/>
                <w:szCs w:val="18"/>
              </w:rPr>
              <w:t>),</w:t>
            </w:r>
            <w:r w:rsidRPr="00603882">
              <w:rPr>
                <w:szCs w:val="18"/>
              </w:rPr>
              <w:t xml:space="preserve"> </w:t>
            </w:r>
            <w:r>
              <w:rPr>
                <w:szCs w:val="18"/>
              </w:rPr>
              <w:t xml:space="preserve">and </w:t>
            </w:r>
            <w:r w:rsidRPr="00603882">
              <w:rPr>
                <w:szCs w:val="18"/>
              </w:rPr>
              <w:t>fatigue and energy conservation management</w:t>
            </w:r>
            <w:r>
              <w:rPr>
                <w:szCs w:val="18"/>
              </w:rPr>
              <w:t>,</w:t>
            </w:r>
            <w:r w:rsidRPr="00603882" w:rsidDel="00C037A6">
              <w:rPr>
                <w:rFonts w:cstheme="minorHAnsi"/>
                <w:iCs/>
                <w:szCs w:val="18"/>
              </w:rPr>
              <w:t xml:space="preserve"> </w:t>
            </w:r>
            <w:r w:rsidRPr="00C037A6">
              <w:rPr>
                <w:rFonts w:cstheme="minorHAnsi"/>
                <w:iCs/>
                <w:szCs w:val="18"/>
              </w:rPr>
              <w:t xml:space="preserve">including </w:t>
            </w:r>
            <w:r>
              <w:rPr>
                <w:rFonts w:cstheme="minorHAnsi"/>
                <w:iCs/>
                <w:szCs w:val="18"/>
              </w:rPr>
              <w:t>c</w:t>
            </w:r>
            <w:r w:rsidRPr="00C037A6">
              <w:rPr>
                <w:rFonts w:cstheme="minorHAnsi"/>
                <w:iCs/>
                <w:szCs w:val="18"/>
              </w:rPr>
              <w:t xml:space="preserve">onscious </w:t>
            </w:r>
            <w:proofErr w:type="spellStart"/>
            <w:r w:rsidRPr="00C037A6">
              <w:rPr>
                <w:rFonts w:cstheme="minorHAnsi"/>
                <w:iCs/>
                <w:szCs w:val="18"/>
              </w:rPr>
              <w:t>proning</w:t>
            </w:r>
            <w:proofErr w:type="spellEnd"/>
            <w:r>
              <w:rPr>
                <w:rFonts w:cstheme="minorHAnsi"/>
                <w:iCs/>
                <w:szCs w:val="18"/>
              </w:rPr>
              <w:t>.</w:t>
            </w:r>
          </w:p>
        </w:tc>
        <w:tc>
          <w:tcPr>
            <w:tcW w:w="1701" w:type="dxa"/>
          </w:tcPr>
          <w:p w14:paraId="6C2668F5" w14:textId="73115B9E" w:rsidR="006E4065" w:rsidRDefault="006E4065" w:rsidP="006E4065">
            <w:pPr>
              <w:pStyle w:val="TableText"/>
              <w:rPr>
                <w:shd w:val="clear" w:color="auto" w:fill="FFFFFF"/>
              </w:rPr>
            </w:pPr>
            <w:r>
              <w:rPr>
                <w:shd w:val="clear" w:color="auto" w:fill="FFFFFF"/>
              </w:rPr>
              <w:t>Intensive care unit, medical ward, acute assessment unit, primary care, community</w:t>
            </w:r>
          </w:p>
        </w:tc>
      </w:tr>
      <w:tr w:rsidR="00075E9B" w:rsidRPr="00DC20BD" w14:paraId="6593FBE9" w14:textId="77777777" w:rsidTr="00D16502">
        <w:trPr>
          <w:cantSplit/>
        </w:trPr>
        <w:tc>
          <w:tcPr>
            <w:tcW w:w="1701" w:type="dxa"/>
            <w:tcBorders>
              <w:bottom w:val="nil"/>
            </w:tcBorders>
          </w:tcPr>
          <w:p w14:paraId="709B6B8C" w14:textId="58F83D05" w:rsidR="00075E9B" w:rsidRPr="006E4065" w:rsidRDefault="00075E9B" w:rsidP="006E4065">
            <w:pPr>
              <w:pStyle w:val="TableText"/>
              <w:rPr>
                <w:b/>
              </w:rPr>
            </w:pPr>
            <w:r w:rsidRPr="006E4065">
              <w:rPr>
                <w:b/>
              </w:rPr>
              <w:lastRenderedPageBreak/>
              <w:t>Acute</w:t>
            </w:r>
            <w:r>
              <w:rPr>
                <w:b/>
              </w:rPr>
              <w:br/>
            </w:r>
            <w:r>
              <w:t>(continued)</w:t>
            </w:r>
          </w:p>
        </w:tc>
        <w:tc>
          <w:tcPr>
            <w:tcW w:w="4678" w:type="dxa"/>
            <w:tcBorders>
              <w:bottom w:val="nil"/>
            </w:tcBorders>
          </w:tcPr>
          <w:p w14:paraId="5AAA2078" w14:textId="77777777" w:rsidR="00075E9B" w:rsidRPr="006E4065" w:rsidRDefault="00075E9B" w:rsidP="00075E9B">
            <w:pPr>
              <w:pStyle w:val="TableText"/>
              <w:rPr>
                <w:rFonts w:cstheme="minorHAnsi"/>
                <w:b/>
                <w:iCs/>
                <w:szCs w:val="18"/>
              </w:rPr>
            </w:pPr>
            <w:r w:rsidRPr="006E4065">
              <w:rPr>
                <w:rFonts w:cstheme="minorHAnsi"/>
                <w:b/>
                <w:iCs/>
                <w:szCs w:val="18"/>
              </w:rPr>
              <w:t>Physical</w:t>
            </w:r>
          </w:p>
          <w:p w14:paraId="4BAC779B" w14:textId="77777777" w:rsidR="00075E9B" w:rsidRDefault="00075E9B" w:rsidP="00075E9B">
            <w:pPr>
              <w:pStyle w:val="TableText"/>
              <w:rPr>
                <w:szCs w:val="18"/>
              </w:rPr>
            </w:pPr>
            <w:r w:rsidRPr="00603882">
              <w:rPr>
                <w:rFonts w:cstheme="minorHAnsi"/>
                <w:iCs/>
                <w:szCs w:val="18"/>
              </w:rPr>
              <w:t>Physical assessment may be required depending on the person</w:t>
            </w:r>
            <w:r>
              <w:rPr>
                <w:rFonts w:cstheme="minorHAnsi"/>
                <w:iCs/>
                <w:szCs w:val="18"/>
              </w:rPr>
              <w:t>’</w:t>
            </w:r>
            <w:r w:rsidRPr="00603882">
              <w:rPr>
                <w:rFonts w:cstheme="minorHAnsi"/>
                <w:iCs/>
                <w:szCs w:val="18"/>
              </w:rPr>
              <w:t xml:space="preserve">s medical status. An assessment may include analysis </w:t>
            </w:r>
            <w:proofErr w:type="gramStart"/>
            <w:r w:rsidRPr="00603882">
              <w:rPr>
                <w:rFonts w:cstheme="minorHAnsi"/>
                <w:iCs/>
                <w:szCs w:val="18"/>
              </w:rPr>
              <w:t>of</w:t>
            </w:r>
            <w:r>
              <w:rPr>
                <w:rFonts w:cstheme="minorHAnsi"/>
                <w:iCs/>
                <w:szCs w:val="18"/>
              </w:rPr>
              <w:t>:</w:t>
            </w:r>
            <w:proofErr w:type="gramEnd"/>
            <w:r w:rsidRPr="00603882">
              <w:rPr>
                <w:rFonts w:cstheme="minorHAnsi"/>
                <w:iCs/>
                <w:szCs w:val="18"/>
              </w:rPr>
              <w:t xml:space="preserve"> skeletal</w:t>
            </w:r>
            <w:r w:rsidRPr="00603882">
              <w:rPr>
                <w:szCs w:val="18"/>
              </w:rPr>
              <w:t xml:space="preserve"> muscle and deconditioning, dysfunctional breathing patterns, post</w:t>
            </w:r>
            <w:r>
              <w:rPr>
                <w:szCs w:val="18"/>
              </w:rPr>
              <w:t>-</w:t>
            </w:r>
            <w:r w:rsidRPr="00603882">
              <w:rPr>
                <w:szCs w:val="18"/>
              </w:rPr>
              <w:t xml:space="preserve">viral fatigue response and </w:t>
            </w:r>
            <w:r>
              <w:rPr>
                <w:szCs w:val="18"/>
              </w:rPr>
              <w:t>cardio-respiratory fitness</w:t>
            </w:r>
            <w:r w:rsidRPr="00603882">
              <w:rPr>
                <w:szCs w:val="18"/>
              </w:rPr>
              <w:t>. Treatment may include fatigue and energy conservation management, assisted or active exercise plan</w:t>
            </w:r>
            <w:r>
              <w:rPr>
                <w:szCs w:val="18"/>
              </w:rPr>
              <w:t>s,</w:t>
            </w:r>
            <w:r w:rsidRPr="00603882">
              <w:rPr>
                <w:szCs w:val="18"/>
              </w:rPr>
              <w:t xml:space="preserve"> prescription of mobility aids</w:t>
            </w:r>
            <w:r>
              <w:rPr>
                <w:szCs w:val="18"/>
              </w:rPr>
              <w:t xml:space="preserve"> and assessment of an appropriate level of care.</w:t>
            </w:r>
          </w:p>
          <w:p w14:paraId="1579D831" w14:textId="59BAB2DB" w:rsidR="00075E9B" w:rsidRPr="00075E9B" w:rsidRDefault="00075E9B" w:rsidP="006E4065">
            <w:pPr>
              <w:pStyle w:val="TableText"/>
              <w:rPr>
                <w:szCs w:val="18"/>
              </w:rPr>
            </w:pPr>
            <w:r w:rsidRPr="00603882">
              <w:rPr>
                <w:szCs w:val="18"/>
              </w:rPr>
              <w:t xml:space="preserve">Pressure needs </w:t>
            </w:r>
            <w:r>
              <w:rPr>
                <w:szCs w:val="18"/>
              </w:rPr>
              <w:t xml:space="preserve">to ensure skin integrity </w:t>
            </w:r>
            <w:r w:rsidRPr="00603882">
              <w:rPr>
                <w:szCs w:val="18"/>
              </w:rPr>
              <w:t>should be assessed in sedentary or limited mobility persons</w:t>
            </w:r>
            <w:r>
              <w:rPr>
                <w:szCs w:val="18"/>
              </w:rPr>
              <w:t>,</w:t>
            </w:r>
            <w:r w:rsidRPr="00603882">
              <w:rPr>
                <w:szCs w:val="18"/>
              </w:rPr>
              <w:t xml:space="preserve"> </w:t>
            </w:r>
            <w:r>
              <w:rPr>
                <w:szCs w:val="18"/>
              </w:rPr>
              <w:t xml:space="preserve">and </w:t>
            </w:r>
            <w:r w:rsidRPr="00603882">
              <w:rPr>
                <w:szCs w:val="18"/>
              </w:rPr>
              <w:t xml:space="preserve">a positioning plan </w:t>
            </w:r>
            <w:r>
              <w:rPr>
                <w:szCs w:val="18"/>
              </w:rPr>
              <w:t>or mobility plan implemented when appropriate</w:t>
            </w:r>
            <w:r w:rsidRPr="00603882">
              <w:rPr>
                <w:szCs w:val="18"/>
              </w:rPr>
              <w:t>.</w:t>
            </w:r>
          </w:p>
        </w:tc>
        <w:tc>
          <w:tcPr>
            <w:tcW w:w="1701" w:type="dxa"/>
            <w:tcBorders>
              <w:bottom w:val="nil"/>
            </w:tcBorders>
          </w:tcPr>
          <w:p w14:paraId="7E678CDD" w14:textId="77777777" w:rsidR="00075E9B" w:rsidRPr="007C6D6D" w:rsidRDefault="00075E9B" w:rsidP="006E4065">
            <w:pPr>
              <w:pStyle w:val="TableText"/>
              <w:rPr>
                <w:shd w:val="clear" w:color="auto" w:fill="FFFFFF"/>
              </w:rPr>
            </w:pPr>
          </w:p>
        </w:tc>
      </w:tr>
      <w:tr w:rsidR="00075E9B" w:rsidRPr="00DC20BD" w14:paraId="5B0F8FBE" w14:textId="77777777" w:rsidTr="00D16502">
        <w:trPr>
          <w:cantSplit/>
        </w:trPr>
        <w:tc>
          <w:tcPr>
            <w:tcW w:w="1701" w:type="dxa"/>
            <w:tcBorders>
              <w:top w:val="nil"/>
              <w:bottom w:val="nil"/>
            </w:tcBorders>
          </w:tcPr>
          <w:p w14:paraId="0FB34F60" w14:textId="1469D609" w:rsidR="00075E9B" w:rsidRPr="006E4065" w:rsidRDefault="00075E9B" w:rsidP="006E4065">
            <w:pPr>
              <w:pStyle w:val="TableText"/>
              <w:rPr>
                <w:b/>
              </w:rPr>
            </w:pPr>
          </w:p>
        </w:tc>
        <w:tc>
          <w:tcPr>
            <w:tcW w:w="4678" w:type="dxa"/>
            <w:tcBorders>
              <w:top w:val="nil"/>
              <w:bottom w:val="nil"/>
            </w:tcBorders>
          </w:tcPr>
          <w:p w14:paraId="2F14204C" w14:textId="77777777" w:rsidR="00075E9B" w:rsidRPr="00075E9B" w:rsidRDefault="00075E9B" w:rsidP="00075E9B">
            <w:pPr>
              <w:pStyle w:val="TableText"/>
              <w:rPr>
                <w:b/>
                <w:szCs w:val="18"/>
              </w:rPr>
            </w:pPr>
            <w:r w:rsidRPr="00075E9B">
              <w:rPr>
                <w:b/>
                <w:szCs w:val="18"/>
              </w:rPr>
              <w:t>Nutritional</w:t>
            </w:r>
          </w:p>
          <w:p w14:paraId="3227C6F9" w14:textId="77777777" w:rsidR="00075E9B" w:rsidRPr="00603882" w:rsidRDefault="00075E9B" w:rsidP="00075E9B">
            <w:pPr>
              <w:pStyle w:val="TableText"/>
            </w:pPr>
            <w:r w:rsidRPr="00603882">
              <w:t xml:space="preserve">A nutritional assessment may </w:t>
            </w:r>
            <w:r>
              <w:t xml:space="preserve">be </w:t>
            </w:r>
            <w:proofErr w:type="gramStart"/>
            <w:r>
              <w:t>required, and</w:t>
            </w:r>
            <w:proofErr w:type="gramEnd"/>
            <w:r>
              <w:t xml:space="preserve"> may </w:t>
            </w:r>
            <w:r w:rsidRPr="00603882">
              <w:t>include malnutrition screening. Assessment and management of swallowing difficulties should be considered for persons with prolonged intubation, neurologic presentations and observed or reported difficulties in eating and drinking.</w:t>
            </w:r>
          </w:p>
          <w:p w14:paraId="6CF8BDA9" w14:textId="02516A05" w:rsidR="00075E9B" w:rsidRPr="00075E9B" w:rsidRDefault="00075E9B" w:rsidP="00075E9B">
            <w:pPr>
              <w:pStyle w:val="TableText"/>
            </w:pPr>
            <w:r w:rsidRPr="00603882">
              <w:t xml:space="preserve">Nutritional needs should be monitored twice weekly for high-risk </w:t>
            </w:r>
            <w:r>
              <w:t xml:space="preserve">patients </w:t>
            </w:r>
            <w:r w:rsidRPr="00603882">
              <w:t>and weekly for lower</w:t>
            </w:r>
            <w:r>
              <w:t>-</w:t>
            </w:r>
            <w:r w:rsidRPr="00603882">
              <w:t>risk patients. Nutrition support may include food fortification and prescription of texture modification</w:t>
            </w:r>
            <w:r>
              <w:t>,</w:t>
            </w:r>
            <w:r w:rsidRPr="00603882">
              <w:t xml:space="preserve"> oral nutrition support supplements </w:t>
            </w:r>
            <w:r>
              <w:t xml:space="preserve">and </w:t>
            </w:r>
            <w:r w:rsidRPr="00603882">
              <w:t>enteral nutrition support. Swallowing difficulties s</w:t>
            </w:r>
            <w:r>
              <w:t>hould be re-assessed regularly.</w:t>
            </w:r>
          </w:p>
        </w:tc>
        <w:tc>
          <w:tcPr>
            <w:tcW w:w="1701" w:type="dxa"/>
            <w:tcBorders>
              <w:top w:val="nil"/>
              <w:bottom w:val="nil"/>
            </w:tcBorders>
          </w:tcPr>
          <w:p w14:paraId="1D90E78B" w14:textId="77777777" w:rsidR="00075E9B" w:rsidRPr="007C6D6D" w:rsidRDefault="00075E9B" w:rsidP="006E4065">
            <w:pPr>
              <w:pStyle w:val="TableText"/>
              <w:rPr>
                <w:shd w:val="clear" w:color="auto" w:fill="FFFFFF"/>
              </w:rPr>
            </w:pPr>
          </w:p>
        </w:tc>
      </w:tr>
      <w:tr w:rsidR="00075E9B" w:rsidRPr="00DC20BD" w14:paraId="2EB727DA" w14:textId="77777777" w:rsidTr="00D16502">
        <w:trPr>
          <w:cantSplit/>
        </w:trPr>
        <w:tc>
          <w:tcPr>
            <w:tcW w:w="1701" w:type="dxa"/>
            <w:tcBorders>
              <w:top w:val="nil"/>
            </w:tcBorders>
          </w:tcPr>
          <w:p w14:paraId="761F4C57" w14:textId="3B44CB58" w:rsidR="00075E9B" w:rsidRPr="006E4065" w:rsidRDefault="00075E9B" w:rsidP="006E4065">
            <w:pPr>
              <w:pStyle w:val="TableText"/>
              <w:rPr>
                <w:b/>
              </w:rPr>
            </w:pPr>
          </w:p>
        </w:tc>
        <w:tc>
          <w:tcPr>
            <w:tcW w:w="4678" w:type="dxa"/>
            <w:tcBorders>
              <w:top w:val="nil"/>
            </w:tcBorders>
          </w:tcPr>
          <w:p w14:paraId="54A7BD89" w14:textId="77777777" w:rsidR="00075E9B" w:rsidRPr="00075E9B" w:rsidRDefault="00075E9B" w:rsidP="00075E9B">
            <w:pPr>
              <w:pStyle w:val="TableText"/>
              <w:rPr>
                <w:b/>
                <w:szCs w:val="18"/>
              </w:rPr>
            </w:pPr>
            <w:r w:rsidRPr="00075E9B">
              <w:rPr>
                <w:b/>
                <w:szCs w:val="18"/>
              </w:rPr>
              <w:t>Communication</w:t>
            </w:r>
          </w:p>
          <w:p w14:paraId="29C0A164" w14:textId="3ED7F276" w:rsidR="00075E9B" w:rsidRPr="00075E9B" w:rsidRDefault="00075E9B" w:rsidP="006E4065">
            <w:pPr>
              <w:pStyle w:val="TableText"/>
              <w:rPr>
                <w:rFonts w:cstheme="minorHAnsi"/>
                <w:color w:val="000000"/>
                <w:szCs w:val="18"/>
              </w:rPr>
            </w:pPr>
            <w:r w:rsidRPr="00603882">
              <w:rPr>
                <w:szCs w:val="18"/>
              </w:rPr>
              <w:t xml:space="preserve">An assessment may be required if the person has voice, speech, language and/or cognitive communication difficulties. A </w:t>
            </w:r>
            <w:r>
              <w:rPr>
                <w:szCs w:val="18"/>
              </w:rPr>
              <w:t xml:space="preserve">speech language </w:t>
            </w:r>
            <w:r w:rsidRPr="00603882">
              <w:rPr>
                <w:szCs w:val="18"/>
              </w:rPr>
              <w:t xml:space="preserve">therapist should </w:t>
            </w:r>
            <w:r w:rsidRPr="002F6FBA">
              <w:rPr>
                <w:rFonts w:cstheme="minorHAnsi"/>
                <w:color w:val="000000"/>
                <w:szCs w:val="18"/>
              </w:rPr>
              <w:t xml:space="preserve">work with the person and </w:t>
            </w:r>
            <w:proofErr w:type="spellStart"/>
            <w:r w:rsidRPr="002F6FBA">
              <w:rPr>
                <w:rFonts w:cstheme="minorHAnsi"/>
                <w:color w:val="000000"/>
                <w:szCs w:val="18"/>
              </w:rPr>
              <w:t>whānau</w:t>
            </w:r>
            <w:proofErr w:type="spellEnd"/>
            <w:r w:rsidRPr="002F6FBA">
              <w:rPr>
                <w:rFonts w:cstheme="minorHAnsi"/>
                <w:color w:val="000000"/>
                <w:szCs w:val="18"/>
              </w:rPr>
              <w:t xml:space="preserve"> to assess, educate and manage the bio-psychosocial issues related to communication difficulties.</w:t>
            </w:r>
          </w:p>
        </w:tc>
        <w:tc>
          <w:tcPr>
            <w:tcW w:w="1701" w:type="dxa"/>
            <w:tcBorders>
              <w:top w:val="nil"/>
            </w:tcBorders>
          </w:tcPr>
          <w:p w14:paraId="5DFC2F80" w14:textId="77777777" w:rsidR="00075E9B" w:rsidRPr="007C6D6D" w:rsidRDefault="00075E9B" w:rsidP="006E4065">
            <w:pPr>
              <w:pStyle w:val="TableText"/>
              <w:rPr>
                <w:shd w:val="clear" w:color="auto" w:fill="FFFFFF"/>
              </w:rPr>
            </w:pPr>
          </w:p>
        </w:tc>
      </w:tr>
      <w:tr w:rsidR="00075E9B" w:rsidRPr="00DC20BD" w14:paraId="4514EE4E" w14:textId="77777777" w:rsidTr="00D16502">
        <w:trPr>
          <w:cantSplit/>
        </w:trPr>
        <w:tc>
          <w:tcPr>
            <w:tcW w:w="1701" w:type="dxa"/>
            <w:tcBorders>
              <w:bottom w:val="nil"/>
            </w:tcBorders>
          </w:tcPr>
          <w:p w14:paraId="4A9990A8" w14:textId="59F217C7" w:rsidR="00075E9B" w:rsidRPr="006E4065" w:rsidRDefault="00075E9B" w:rsidP="006E4065">
            <w:pPr>
              <w:pStyle w:val="TableText"/>
              <w:rPr>
                <w:b/>
              </w:rPr>
            </w:pPr>
            <w:r w:rsidRPr="006E4065">
              <w:rPr>
                <w:b/>
              </w:rPr>
              <w:lastRenderedPageBreak/>
              <w:t>Acute</w:t>
            </w:r>
            <w:r>
              <w:rPr>
                <w:b/>
              </w:rPr>
              <w:br/>
            </w:r>
            <w:r>
              <w:t>(continued)</w:t>
            </w:r>
          </w:p>
        </w:tc>
        <w:tc>
          <w:tcPr>
            <w:tcW w:w="4678" w:type="dxa"/>
            <w:tcBorders>
              <w:bottom w:val="nil"/>
            </w:tcBorders>
          </w:tcPr>
          <w:p w14:paraId="32648CB6" w14:textId="77777777" w:rsidR="00075E9B" w:rsidRPr="00075E9B" w:rsidRDefault="00075E9B" w:rsidP="00075E9B">
            <w:pPr>
              <w:pStyle w:val="TableText"/>
              <w:rPr>
                <w:b/>
                <w:szCs w:val="18"/>
              </w:rPr>
            </w:pPr>
            <w:r w:rsidRPr="00075E9B">
              <w:rPr>
                <w:b/>
                <w:szCs w:val="18"/>
              </w:rPr>
              <w:t>Mental health/psychosocial</w:t>
            </w:r>
          </w:p>
          <w:p w14:paraId="5676FCDB" w14:textId="77777777" w:rsidR="00075E9B" w:rsidRPr="00440D95" w:rsidRDefault="00075E9B" w:rsidP="00075E9B">
            <w:pPr>
              <w:pStyle w:val="TableText"/>
            </w:pPr>
            <w:r w:rsidRPr="002F6FBA">
              <w:t>Diagnosis of COVID</w:t>
            </w:r>
            <w:r w:rsidRPr="002F6FBA">
              <w:noBreakHyphen/>
              <w:t xml:space="preserve">19, is likely to cause distress alongside the physical symptoms, which can affect recovery. Screening of the person’s mental health and psychosocial functioning may be required, which may include a more in-depth psychological assessment involving </w:t>
            </w:r>
            <w:r w:rsidRPr="00440D95">
              <w:t xml:space="preserve">the family, </w:t>
            </w:r>
            <w:proofErr w:type="spellStart"/>
            <w:r w:rsidRPr="00440D95">
              <w:t>whānau</w:t>
            </w:r>
            <w:proofErr w:type="spellEnd"/>
            <w:r w:rsidRPr="00440D95">
              <w:t xml:space="preserve"> and wider social network. </w:t>
            </w:r>
            <w:r>
              <w:t>D</w:t>
            </w:r>
            <w:r w:rsidRPr="003415CC">
              <w:t>iagnos</w:t>
            </w:r>
            <w:r w:rsidRPr="00514014">
              <w:t xml:space="preserve">is of </w:t>
            </w:r>
            <w:r>
              <w:t>COVID</w:t>
            </w:r>
            <w:r>
              <w:noBreakHyphen/>
              <w:t>19</w:t>
            </w:r>
            <w:r w:rsidRPr="00B5205C">
              <w:t xml:space="preserve"> </w:t>
            </w:r>
            <w:r w:rsidRPr="009D57FE">
              <w:t>works to exacerbate existing and often immediate social stressors</w:t>
            </w:r>
            <w:r>
              <w:t>,</w:t>
            </w:r>
            <w:r w:rsidRPr="009D57FE">
              <w:t xml:space="preserve"> and additional support </w:t>
            </w:r>
            <w:r>
              <w:t xml:space="preserve">may be </w:t>
            </w:r>
            <w:r w:rsidRPr="009D57FE">
              <w:t xml:space="preserve">required, particularly when </w:t>
            </w:r>
            <w:r>
              <w:t xml:space="preserve">usual </w:t>
            </w:r>
            <w:r w:rsidRPr="009D57FE">
              <w:t xml:space="preserve">access to social networks and support mechanisms has been disrupted. There is a need to identify </w:t>
            </w:r>
            <w:r w:rsidRPr="00440D95">
              <w:t xml:space="preserve">and coordinate with relevant community service providers, including </w:t>
            </w:r>
            <w:proofErr w:type="spellStart"/>
            <w:r w:rsidRPr="00440D95">
              <w:t>kaupapa</w:t>
            </w:r>
            <w:proofErr w:type="spellEnd"/>
            <w:r w:rsidRPr="00440D95">
              <w:t xml:space="preserve"> Māori and iwi providers</w:t>
            </w:r>
            <w:r>
              <w:t>,</w:t>
            </w:r>
            <w:r w:rsidRPr="00440D95">
              <w:t xml:space="preserve"> to ensure </w:t>
            </w:r>
            <w:r>
              <w:t xml:space="preserve">people’s </w:t>
            </w:r>
            <w:r w:rsidRPr="00440D95">
              <w:t>wider needs are met.</w:t>
            </w:r>
          </w:p>
          <w:p w14:paraId="2DCF3620" w14:textId="77777777" w:rsidR="00075E9B" w:rsidRPr="002F6FBA" w:rsidRDefault="00075E9B" w:rsidP="00075E9B">
            <w:pPr>
              <w:pStyle w:val="TableText"/>
            </w:pPr>
            <w:r w:rsidRPr="002F6FBA">
              <w:t>Provision of evidenced-based psychological first aid to foster illness adjustment and adaptive coping may be recommended. Given the COVID</w:t>
            </w:r>
            <w:r w:rsidRPr="002F6FBA">
              <w:noBreakHyphen/>
              <w:t>19 context, a wider assessment of risk to individual and vulnerable others (that is, dependants) may be warranted.</w:t>
            </w:r>
          </w:p>
          <w:p w14:paraId="004F4DBC" w14:textId="49DA51D1" w:rsidR="00075E9B" w:rsidRPr="00075E9B" w:rsidRDefault="00075E9B" w:rsidP="006E4065">
            <w:pPr>
              <w:pStyle w:val="TableText"/>
            </w:pPr>
            <w:r w:rsidRPr="002F6FBA">
              <w:t xml:space="preserve">People at risk of harm, </w:t>
            </w:r>
            <w:proofErr w:type="gramStart"/>
            <w:r w:rsidRPr="002F6FBA">
              <w:t>individuals</w:t>
            </w:r>
            <w:proofErr w:type="gramEnd"/>
            <w:r w:rsidRPr="002F6FBA">
              <w:t xml:space="preserve"> and families in crisis situations and those with multiple complex health and social needs should be identified and person-centred care plans implemented to respond to the immediate crisis and ongoing rehabilitation needs.</w:t>
            </w:r>
          </w:p>
        </w:tc>
        <w:tc>
          <w:tcPr>
            <w:tcW w:w="1701" w:type="dxa"/>
            <w:tcBorders>
              <w:bottom w:val="nil"/>
            </w:tcBorders>
          </w:tcPr>
          <w:p w14:paraId="7D65CA75" w14:textId="77777777" w:rsidR="00075E9B" w:rsidRPr="007C6D6D" w:rsidRDefault="00075E9B" w:rsidP="006E4065">
            <w:pPr>
              <w:pStyle w:val="TableText"/>
              <w:rPr>
                <w:shd w:val="clear" w:color="auto" w:fill="FFFFFF"/>
              </w:rPr>
            </w:pPr>
          </w:p>
        </w:tc>
      </w:tr>
      <w:tr w:rsidR="008B7D3C" w:rsidRPr="00DC20BD" w14:paraId="0F221DED" w14:textId="77777777" w:rsidTr="00D16502">
        <w:trPr>
          <w:cantSplit/>
        </w:trPr>
        <w:tc>
          <w:tcPr>
            <w:tcW w:w="1701" w:type="dxa"/>
            <w:tcBorders>
              <w:top w:val="nil"/>
            </w:tcBorders>
          </w:tcPr>
          <w:p w14:paraId="65D4CBE7" w14:textId="42876DA1" w:rsidR="008B7D3C" w:rsidRPr="00603882" w:rsidRDefault="008B7D3C" w:rsidP="006E4065">
            <w:pPr>
              <w:pStyle w:val="TableText"/>
            </w:pPr>
          </w:p>
        </w:tc>
        <w:tc>
          <w:tcPr>
            <w:tcW w:w="4678" w:type="dxa"/>
            <w:tcBorders>
              <w:top w:val="nil"/>
            </w:tcBorders>
          </w:tcPr>
          <w:p w14:paraId="70F7A44C" w14:textId="77777777" w:rsidR="002F6FBA" w:rsidRPr="00075E9B" w:rsidRDefault="008B7D3C" w:rsidP="006E4065">
            <w:pPr>
              <w:pStyle w:val="TableText"/>
              <w:rPr>
                <w:rFonts w:cs="Segoe UI"/>
                <w:b/>
                <w:szCs w:val="18"/>
              </w:rPr>
            </w:pPr>
            <w:r w:rsidRPr="00075E9B">
              <w:rPr>
                <w:rFonts w:cs="Segoe UI"/>
                <w:b/>
                <w:szCs w:val="18"/>
              </w:rPr>
              <w:t>Occupational participation</w:t>
            </w:r>
          </w:p>
          <w:p w14:paraId="35DE9356" w14:textId="24DC512A" w:rsidR="008B7D3C" w:rsidRPr="006F3FFF" w:rsidRDefault="008B7D3C" w:rsidP="006E4065">
            <w:pPr>
              <w:pStyle w:val="TableText"/>
              <w:rPr>
                <w:rFonts w:cs="Segoe UI"/>
                <w:szCs w:val="18"/>
              </w:rPr>
            </w:pPr>
            <w:r w:rsidRPr="00603882">
              <w:rPr>
                <w:rFonts w:cs="Segoe UI"/>
                <w:iCs/>
                <w:szCs w:val="18"/>
              </w:rPr>
              <w:t xml:space="preserve">A person receiving in-patient care may require an occupational assessment to </w:t>
            </w:r>
            <w:r>
              <w:rPr>
                <w:rFonts w:cs="Segoe UI"/>
                <w:iCs/>
                <w:szCs w:val="18"/>
              </w:rPr>
              <w:t xml:space="preserve">decide if they can </w:t>
            </w:r>
            <w:r w:rsidRPr="00603882">
              <w:rPr>
                <w:rFonts w:cs="Segoe UI"/>
                <w:iCs/>
                <w:szCs w:val="18"/>
              </w:rPr>
              <w:t>return home</w:t>
            </w:r>
            <w:r>
              <w:rPr>
                <w:rFonts w:cs="Segoe UI"/>
                <w:iCs/>
                <w:szCs w:val="18"/>
              </w:rPr>
              <w:t xml:space="preserve"> and resume their daily life roles, </w:t>
            </w:r>
            <w:proofErr w:type="gramStart"/>
            <w:r>
              <w:rPr>
                <w:rFonts w:cs="Segoe UI"/>
                <w:iCs/>
                <w:szCs w:val="18"/>
              </w:rPr>
              <w:t>routines</w:t>
            </w:r>
            <w:proofErr w:type="gramEnd"/>
            <w:r>
              <w:rPr>
                <w:rFonts w:cs="Segoe UI"/>
                <w:iCs/>
                <w:szCs w:val="18"/>
              </w:rPr>
              <w:t xml:space="preserve"> and occupations</w:t>
            </w:r>
            <w:r w:rsidRPr="00603882">
              <w:rPr>
                <w:rFonts w:cs="Segoe UI"/>
                <w:iCs/>
                <w:szCs w:val="18"/>
              </w:rPr>
              <w:t xml:space="preserve">. This may </w:t>
            </w:r>
            <w:r>
              <w:rPr>
                <w:rFonts w:cs="Segoe UI"/>
                <w:iCs/>
                <w:szCs w:val="18"/>
              </w:rPr>
              <w:t xml:space="preserve">cover </w:t>
            </w:r>
            <w:r w:rsidRPr="00603882">
              <w:rPr>
                <w:rFonts w:cs="Segoe UI"/>
                <w:iCs/>
                <w:szCs w:val="18"/>
              </w:rPr>
              <w:t>how the person will cope in self-isolation.</w:t>
            </w:r>
            <w:r w:rsidRPr="00603882">
              <w:rPr>
                <w:rFonts w:cs="Segoe UI"/>
                <w:szCs w:val="18"/>
              </w:rPr>
              <w:t xml:space="preserve"> Rehabilitation may include management of </w:t>
            </w:r>
            <w:r>
              <w:rPr>
                <w:rFonts w:cs="Segoe UI"/>
                <w:szCs w:val="18"/>
              </w:rPr>
              <w:t xml:space="preserve">the </w:t>
            </w:r>
            <w:r w:rsidRPr="00603882">
              <w:rPr>
                <w:rFonts w:cs="Segoe UI"/>
                <w:szCs w:val="18"/>
              </w:rPr>
              <w:t>activities of daily living, including adaptive strategies such as assistive devices</w:t>
            </w:r>
            <w:r>
              <w:rPr>
                <w:rFonts w:cs="Segoe UI"/>
                <w:szCs w:val="18"/>
              </w:rPr>
              <w:t>,</w:t>
            </w:r>
            <w:r w:rsidRPr="00603882">
              <w:rPr>
                <w:rFonts w:cs="Segoe UI"/>
                <w:szCs w:val="18"/>
              </w:rPr>
              <w:t xml:space="preserve"> and </w:t>
            </w:r>
            <w:r w:rsidRPr="00E065A7">
              <w:rPr>
                <w:rFonts w:cs="Segoe UI"/>
                <w:szCs w:val="18"/>
              </w:rPr>
              <w:t>fatigue and energy conservation management</w:t>
            </w:r>
            <w:r>
              <w:rPr>
                <w:rFonts w:cs="Segoe UI"/>
                <w:szCs w:val="18"/>
              </w:rPr>
              <w:t>,</w:t>
            </w:r>
            <w:r w:rsidRPr="00E065A7">
              <w:rPr>
                <w:rFonts w:cs="Segoe UI"/>
                <w:szCs w:val="18"/>
              </w:rPr>
              <w:t xml:space="preserve"> </w:t>
            </w:r>
            <w:r w:rsidRPr="00603882">
              <w:rPr>
                <w:rFonts w:cs="Segoe UI"/>
                <w:szCs w:val="18"/>
              </w:rPr>
              <w:t>which encourages functional independence and/or enabling family to support the person</w:t>
            </w:r>
            <w:r>
              <w:rPr>
                <w:rFonts w:cs="Segoe UI"/>
                <w:szCs w:val="18"/>
              </w:rPr>
              <w:t>, as well as health literacy and self-advocacy</w:t>
            </w:r>
            <w:r w:rsidRPr="00603882">
              <w:rPr>
                <w:rFonts w:cs="Segoe UI"/>
                <w:szCs w:val="18"/>
              </w:rPr>
              <w:t>.</w:t>
            </w:r>
            <w:r>
              <w:rPr>
                <w:rFonts w:cs="Segoe UI"/>
                <w:szCs w:val="18"/>
              </w:rPr>
              <w:t xml:space="preserve"> Potential loss of function or disengagement in daily life may, in turn, affect psychological wellbeing, </w:t>
            </w:r>
            <w:r w:rsidR="00075E9B">
              <w:rPr>
                <w:rFonts w:cs="Segoe UI"/>
                <w:szCs w:val="18"/>
              </w:rPr>
              <w:t>which can affect self-identity.</w:t>
            </w:r>
          </w:p>
        </w:tc>
        <w:tc>
          <w:tcPr>
            <w:tcW w:w="1701" w:type="dxa"/>
            <w:tcBorders>
              <w:top w:val="nil"/>
            </w:tcBorders>
          </w:tcPr>
          <w:p w14:paraId="36C7194B" w14:textId="79A96840" w:rsidR="008B7D3C" w:rsidRPr="007C6D6D" w:rsidRDefault="008B7D3C" w:rsidP="006E4065">
            <w:pPr>
              <w:pStyle w:val="TableText"/>
              <w:rPr>
                <w:shd w:val="clear" w:color="auto" w:fill="FFFFFF"/>
              </w:rPr>
            </w:pPr>
          </w:p>
        </w:tc>
      </w:tr>
      <w:tr w:rsidR="00F32260" w:rsidRPr="00DC20BD" w14:paraId="31950C89" w14:textId="77777777" w:rsidTr="006E4065">
        <w:trPr>
          <w:cantSplit/>
        </w:trPr>
        <w:tc>
          <w:tcPr>
            <w:tcW w:w="1701" w:type="dxa"/>
          </w:tcPr>
          <w:p w14:paraId="3AACBB65" w14:textId="563175F7" w:rsidR="00F32260" w:rsidRPr="00F32260" w:rsidRDefault="00F32260" w:rsidP="00D16502">
            <w:pPr>
              <w:pStyle w:val="TableText"/>
              <w:rPr>
                <w:b/>
              </w:rPr>
            </w:pPr>
            <w:r w:rsidRPr="00F32260">
              <w:rPr>
                <w:b/>
              </w:rPr>
              <w:t>Sub-acute</w:t>
            </w:r>
            <w:r w:rsidR="00D16502">
              <w:rPr>
                <w:b/>
              </w:rPr>
              <w:br/>
            </w:r>
            <w:r>
              <w:t>Initial stages of rehabilitation once medically stable</w:t>
            </w:r>
          </w:p>
        </w:tc>
        <w:tc>
          <w:tcPr>
            <w:tcW w:w="4678" w:type="dxa"/>
          </w:tcPr>
          <w:p w14:paraId="1D564DBD" w14:textId="77777777" w:rsidR="00F32260" w:rsidRPr="00F32260" w:rsidRDefault="00F32260" w:rsidP="00F32260">
            <w:pPr>
              <w:pStyle w:val="TableText"/>
              <w:rPr>
                <w:rFonts w:cs="Segoe UI"/>
                <w:b/>
                <w:szCs w:val="18"/>
              </w:rPr>
            </w:pPr>
            <w:r w:rsidRPr="00F32260">
              <w:rPr>
                <w:rFonts w:cs="Segoe UI"/>
                <w:b/>
                <w:szCs w:val="18"/>
              </w:rPr>
              <w:t>Respiratory</w:t>
            </w:r>
          </w:p>
          <w:p w14:paraId="12F10056" w14:textId="77777777" w:rsidR="00F32260" w:rsidRDefault="00F32260" w:rsidP="00F32260">
            <w:pPr>
              <w:pStyle w:val="TableText"/>
              <w:rPr>
                <w:rFonts w:cs="Segoe UI"/>
                <w:iCs/>
                <w:szCs w:val="18"/>
              </w:rPr>
            </w:pPr>
            <w:r>
              <w:rPr>
                <w:rFonts w:cs="Segoe UI"/>
                <w:iCs/>
                <w:szCs w:val="18"/>
              </w:rPr>
              <w:t>Following an individualised assessment, r</w:t>
            </w:r>
            <w:r w:rsidRPr="006F3FFF">
              <w:rPr>
                <w:rFonts w:cs="Segoe UI"/>
                <w:iCs/>
                <w:szCs w:val="18"/>
              </w:rPr>
              <w:t>ehabilitation may include management of</w:t>
            </w:r>
            <w:r>
              <w:rPr>
                <w:rFonts w:cs="Segoe UI"/>
                <w:iCs/>
                <w:szCs w:val="18"/>
              </w:rPr>
              <w:t xml:space="preserve"> oxygen requirements,</w:t>
            </w:r>
            <w:r w:rsidRPr="006F3FFF">
              <w:rPr>
                <w:rFonts w:cs="Segoe UI"/>
                <w:iCs/>
                <w:szCs w:val="18"/>
              </w:rPr>
              <w:t xml:space="preserve"> altered breathing patterns, respiratory </w:t>
            </w:r>
            <w:proofErr w:type="gramStart"/>
            <w:r w:rsidRPr="006F3FFF">
              <w:rPr>
                <w:rFonts w:cs="Segoe UI"/>
                <w:iCs/>
                <w:szCs w:val="18"/>
              </w:rPr>
              <w:t>fatigue</w:t>
            </w:r>
            <w:proofErr w:type="gramEnd"/>
            <w:r w:rsidRPr="006F3FFF">
              <w:rPr>
                <w:rFonts w:cs="Segoe UI"/>
                <w:iCs/>
                <w:szCs w:val="18"/>
              </w:rPr>
              <w:t xml:space="preserve"> </w:t>
            </w:r>
            <w:r>
              <w:rPr>
                <w:rFonts w:cs="Segoe UI"/>
                <w:iCs/>
                <w:szCs w:val="18"/>
              </w:rPr>
              <w:t>or</w:t>
            </w:r>
            <w:r w:rsidRPr="006F3FFF">
              <w:rPr>
                <w:rFonts w:cs="Segoe UI"/>
                <w:iCs/>
                <w:szCs w:val="18"/>
              </w:rPr>
              <w:t xml:space="preserve"> secretion clearance.</w:t>
            </w:r>
          </w:p>
          <w:p w14:paraId="0F9DEFBB" w14:textId="1ED39288" w:rsidR="00F32260" w:rsidRPr="00F32260" w:rsidRDefault="00F32260" w:rsidP="006E4065">
            <w:pPr>
              <w:pStyle w:val="TableText"/>
              <w:rPr>
                <w:rFonts w:cs="Segoe UI"/>
                <w:iCs/>
                <w:szCs w:val="18"/>
              </w:rPr>
            </w:pPr>
            <w:r w:rsidRPr="006F3FFF">
              <w:rPr>
                <w:rFonts w:cs="Segoe UI"/>
                <w:iCs/>
                <w:szCs w:val="18"/>
              </w:rPr>
              <w:t>Exercise testing and exercise prescription may be utilised</w:t>
            </w:r>
            <w:r>
              <w:rPr>
                <w:rFonts w:cs="Segoe UI"/>
                <w:iCs/>
                <w:szCs w:val="18"/>
              </w:rPr>
              <w:t>,</w:t>
            </w:r>
            <w:r w:rsidRPr="006F3FFF">
              <w:rPr>
                <w:rFonts w:cs="Segoe UI"/>
                <w:iCs/>
                <w:szCs w:val="18"/>
              </w:rPr>
              <w:t xml:space="preserve"> depending on the person</w:t>
            </w:r>
            <w:r>
              <w:rPr>
                <w:rFonts w:cs="Segoe UI"/>
                <w:iCs/>
                <w:szCs w:val="18"/>
              </w:rPr>
              <w:t>’</w:t>
            </w:r>
            <w:r w:rsidRPr="006F3FFF">
              <w:rPr>
                <w:rFonts w:cs="Segoe UI"/>
                <w:iCs/>
                <w:szCs w:val="18"/>
              </w:rPr>
              <w:t xml:space="preserve">s goals. Education </w:t>
            </w:r>
            <w:r>
              <w:rPr>
                <w:rFonts w:cs="Segoe UI"/>
                <w:iCs/>
                <w:szCs w:val="18"/>
              </w:rPr>
              <w:t xml:space="preserve">may be </w:t>
            </w:r>
            <w:r w:rsidRPr="006F3FFF">
              <w:rPr>
                <w:rFonts w:cs="Segoe UI"/>
                <w:iCs/>
                <w:szCs w:val="18"/>
              </w:rPr>
              <w:t>provided to empower longer</w:t>
            </w:r>
            <w:r>
              <w:rPr>
                <w:rFonts w:cs="Segoe UI"/>
                <w:iCs/>
                <w:szCs w:val="18"/>
              </w:rPr>
              <w:t>-</w:t>
            </w:r>
            <w:r w:rsidRPr="006F3FFF">
              <w:rPr>
                <w:rFonts w:cs="Segoe UI"/>
                <w:iCs/>
                <w:szCs w:val="18"/>
              </w:rPr>
              <w:t xml:space="preserve">term </w:t>
            </w:r>
            <w:r>
              <w:rPr>
                <w:rFonts w:cs="Segoe UI"/>
                <w:iCs/>
                <w:szCs w:val="18"/>
              </w:rPr>
              <w:t>self-management and resilience.</w:t>
            </w:r>
          </w:p>
        </w:tc>
        <w:tc>
          <w:tcPr>
            <w:tcW w:w="1701" w:type="dxa"/>
          </w:tcPr>
          <w:p w14:paraId="39028AD6" w14:textId="1F7D366D" w:rsidR="00F32260" w:rsidRPr="000339FD" w:rsidRDefault="00801DDE" w:rsidP="00DF5B12">
            <w:pPr>
              <w:pStyle w:val="TableText"/>
              <w:tabs>
                <w:tab w:val="decimal" w:pos="0"/>
              </w:tabs>
              <w:spacing w:before="120"/>
            </w:pPr>
            <w:r w:rsidRPr="000339FD">
              <w:t>Medical ward</w:t>
            </w:r>
            <w:r>
              <w:t>, rehabilitation unit, home</w:t>
            </w:r>
          </w:p>
        </w:tc>
      </w:tr>
      <w:tr w:rsidR="00F32260" w:rsidRPr="00DC20BD" w14:paraId="3A265E68" w14:textId="77777777" w:rsidTr="00D16502">
        <w:trPr>
          <w:cantSplit/>
        </w:trPr>
        <w:tc>
          <w:tcPr>
            <w:tcW w:w="1701" w:type="dxa"/>
            <w:tcBorders>
              <w:bottom w:val="nil"/>
            </w:tcBorders>
          </w:tcPr>
          <w:p w14:paraId="78834792" w14:textId="0126BB89" w:rsidR="00F32260" w:rsidRPr="00F32260" w:rsidRDefault="00F32260" w:rsidP="00D16502">
            <w:pPr>
              <w:pStyle w:val="TableText"/>
              <w:rPr>
                <w:b/>
              </w:rPr>
            </w:pPr>
            <w:r w:rsidRPr="00F32260">
              <w:rPr>
                <w:b/>
              </w:rPr>
              <w:lastRenderedPageBreak/>
              <w:t>Sub-acute</w:t>
            </w:r>
            <w:r w:rsidR="00D16502">
              <w:rPr>
                <w:b/>
              </w:rPr>
              <w:br/>
            </w:r>
            <w:r>
              <w:t>(continued)</w:t>
            </w:r>
          </w:p>
        </w:tc>
        <w:tc>
          <w:tcPr>
            <w:tcW w:w="4678" w:type="dxa"/>
            <w:tcBorders>
              <w:bottom w:val="nil"/>
            </w:tcBorders>
          </w:tcPr>
          <w:p w14:paraId="68B84A9A" w14:textId="77777777" w:rsidR="00F32260" w:rsidRPr="00F32260" w:rsidRDefault="00F32260" w:rsidP="00F32260">
            <w:pPr>
              <w:pStyle w:val="TableText"/>
              <w:rPr>
                <w:rFonts w:cs="Segoe UI"/>
                <w:b/>
                <w:iCs/>
                <w:szCs w:val="18"/>
              </w:rPr>
            </w:pPr>
            <w:r w:rsidRPr="00F32260">
              <w:rPr>
                <w:rFonts w:cs="Segoe UI"/>
                <w:b/>
                <w:iCs/>
                <w:szCs w:val="18"/>
              </w:rPr>
              <w:t>Physical</w:t>
            </w:r>
          </w:p>
          <w:p w14:paraId="5F5DB0F6" w14:textId="4755F85C" w:rsidR="00F32260" w:rsidRPr="00F32260" w:rsidRDefault="00F32260" w:rsidP="006E4065">
            <w:pPr>
              <w:pStyle w:val="TableText"/>
              <w:rPr>
                <w:rFonts w:cs="Segoe UI"/>
                <w:iCs/>
                <w:szCs w:val="18"/>
              </w:rPr>
            </w:pPr>
            <w:r w:rsidRPr="006F3FFF">
              <w:rPr>
                <w:rFonts w:cs="Segoe UI"/>
                <w:iCs/>
                <w:szCs w:val="18"/>
              </w:rPr>
              <w:t>The person may require a strategy to manage fatigue and reduced exercise tolerance</w:t>
            </w:r>
            <w:r>
              <w:rPr>
                <w:rFonts w:cs="Segoe UI"/>
                <w:iCs/>
                <w:szCs w:val="18"/>
              </w:rPr>
              <w:t>,</w:t>
            </w:r>
            <w:r w:rsidRPr="006F3FFF">
              <w:rPr>
                <w:rFonts w:cs="Segoe UI"/>
                <w:iCs/>
                <w:szCs w:val="18"/>
              </w:rPr>
              <w:t xml:space="preserve"> which </w:t>
            </w:r>
            <w:r>
              <w:rPr>
                <w:rFonts w:cs="Segoe UI"/>
                <w:iCs/>
                <w:szCs w:val="18"/>
              </w:rPr>
              <w:t xml:space="preserve">may </w:t>
            </w:r>
            <w:r w:rsidRPr="006F3FFF">
              <w:rPr>
                <w:rFonts w:cs="Segoe UI"/>
                <w:iCs/>
                <w:szCs w:val="18"/>
              </w:rPr>
              <w:t xml:space="preserve">include a </w:t>
            </w:r>
            <w:r>
              <w:rPr>
                <w:rFonts w:cs="Segoe UI"/>
                <w:iCs/>
                <w:szCs w:val="18"/>
              </w:rPr>
              <w:t>paced</w:t>
            </w:r>
            <w:r w:rsidRPr="006F3FFF">
              <w:rPr>
                <w:rFonts w:cs="Segoe UI"/>
                <w:iCs/>
                <w:szCs w:val="18"/>
              </w:rPr>
              <w:t xml:space="preserve"> exercise or mobility plan. This will be dependent on the</w:t>
            </w:r>
            <w:r>
              <w:rPr>
                <w:rFonts w:cs="Segoe UI"/>
                <w:iCs/>
                <w:szCs w:val="18"/>
              </w:rPr>
              <w:t>ir</w:t>
            </w:r>
            <w:r w:rsidRPr="006F3FFF">
              <w:rPr>
                <w:rFonts w:cs="Segoe UI"/>
                <w:iCs/>
                <w:szCs w:val="18"/>
              </w:rPr>
              <w:t xml:space="preserve"> cardiorespiratory stat</w:t>
            </w:r>
            <w:r>
              <w:rPr>
                <w:rFonts w:cs="Segoe UI"/>
                <w:iCs/>
                <w:szCs w:val="18"/>
              </w:rPr>
              <w:t>us and muscular deconditioning.</w:t>
            </w:r>
          </w:p>
        </w:tc>
        <w:tc>
          <w:tcPr>
            <w:tcW w:w="1701" w:type="dxa"/>
            <w:tcBorders>
              <w:bottom w:val="nil"/>
            </w:tcBorders>
          </w:tcPr>
          <w:p w14:paraId="285AB033" w14:textId="77777777" w:rsidR="00F32260" w:rsidRPr="000339FD" w:rsidRDefault="00F32260" w:rsidP="00F32260">
            <w:pPr>
              <w:pStyle w:val="TableText"/>
            </w:pPr>
          </w:p>
        </w:tc>
      </w:tr>
      <w:tr w:rsidR="00F32260" w:rsidRPr="00DC20BD" w14:paraId="2F140E13" w14:textId="77777777" w:rsidTr="00D16502">
        <w:trPr>
          <w:cantSplit/>
        </w:trPr>
        <w:tc>
          <w:tcPr>
            <w:tcW w:w="1701" w:type="dxa"/>
            <w:tcBorders>
              <w:top w:val="nil"/>
              <w:bottom w:val="nil"/>
            </w:tcBorders>
          </w:tcPr>
          <w:p w14:paraId="23684CEE" w14:textId="66B9EAF3" w:rsidR="00F32260" w:rsidRPr="00F32260" w:rsidRDefault="00F32260" w:rsidP="00F32260">
            <w:pPr>
              <w:pStyle w:val="TableText"/>
              <w:rPr>
                <w:b/>
              </w:rPr>
            </w:pPr>
          </w:p>
        </w:tc>
        <w:tc>
          <w:tcPr>
            <w:tcW w:w="4678" w:type="dxa"/>
            <w:tcBorders>
              <w:top w:val="nil"/>
              <w:bottom w:val="nil"/>
            </w:tcBorders>
          </w:tcPr>
          <w:p w14:paraId="5DA61063" w14:textId="77777777" w:rsidR="00F32260" w:rsidRPr="00F32260" w:rsidRDefault="00F32260" w:rsidP="00F32260">
            <w:pPr>
              <w:pStyle w:val="TableText"/>
              <w:rPr>
                <w:rFonts w:cs="Segoe UI"/>
                <w:b/>
                <w:szCs w:val="18"/>
              </w:rPr>
            </w:pPr>
            <w:r w:rsidRPr="00F32260">
              <w:rPr>
                <w:rFonts w:cs="Segoe UI"/>
                <w:b/>
                <w:szCs w:val="18"/>
              </w:rPr>
              <w:t>Nutritional</w:t>
            </w:r>
          </w:p>
          <w:p w14:paraId="735C16EE" w14:textId="2F30922A" w:rsidR="00F32260" w:rsidRPr="005D5E45" w:rsidRDefault="00F32260" w:rsidP="006E4065">
            <w:pPr>
              <w:pStyle w:val="TableText"/>
              <w:rPr>
                <w:rFonts w:cs="Segoe UI"/>
                <w:bCs/>
                <w:szCs w:val="18"/>
              </w:rPr>
            </w:pPr>
            <w:r w:rsidRPr="006F3FFF">
              <w:rPr>
                <w:rFonts w:cs="Segoe UI"/>
                <w:szCs w:val="18"/>
              </w:rPr>
              <w:t>Monitoring of nutritional needs may still be required. Monitoring progress of oral intake and of muscle function may continue. Nutrition support should be escalated if the person</w:t>
            </w:r>
            <w:r>
              <w:rPr>
                <w:rFonts w:cs="Segoe UI"/>
                <w:szCs w:val="18"/>
              </w:rPr>
              <w:t>’</w:t>
            </w:r>
            <w:r w:rsidRPr="006F3FFF">
              <w:rPr>
                <w:rFonts w:cs="Segoe UI"/>
                <w:szCs w:val="18"/>
              </w:rPr>
              <w:t>s calorie intake remains under 50</w:t>
            </w:r>
            <w:r>
              <w:rPr>
                <w:rFonts w:cs="Segoe UI"/>
                <w:szCs w:val="18"/>
              </w:rPr>
              <w:t> percent</w:t>
            </w:r>
            <w:r w:rsidRPr="006F3FFF">
              <w:rPr>
                <w:rFonts w:cs="Segoe UI"/>
                <w:szCs w:val="18"/>
              </w:rPr>
              <w:t xml:space="preserve"> over a </w:t>
            </w:r>
            <w:r>
              <w:rPr>
                <w:rFonts w:cs="Segoe UI"/>
                <w:szCs w:val="18"/>
              </w:rPr>
              <w:t>five- to seven</w:t>
            </w:r>
            <w:r w:rsidRPr="006F3FFF">
              <w:rPr>
                <w:rFonts w:cs="Segoe UI"/>
                <w:szCs w:val="18"/>
              </w:rPr>
              <w:t>-day period. If the person is at home</w:t>
            </w:r>
            <w:r>
              <w:rPr>
                <w:rFonts w:cs="Segoe UI"/>
                <w:szCs w:val="18"/>
              </w:rPr>
              <w:t>,</w:t>
            </w:r>
            <w:r w:rsidRPr="006F3FFF">
              <w:rPr>
                <w:rFonts w:cs="Segoe UI"/>
                <w:szCs w:val="18"/>
              </w:rPr>
              <w:t xml:space="preserve"> </w:t>
            </w:r>
            <w:r w:rsidRPr="006F3FFF">
              <w:rPr>
                <w:rFonts w:cs="Segoe UI"/>
                <w:bCs/>
                <w:szCs w:val="18"/>
              </w:rPr>
              <w:t xml:space="preserve">local pathways to optimise nutrition provision, including </w:t>
            </w:r>
            <w:r>
              <w:rPr>
                <w:rFonts w:cs="Segoe UI"/>
                <w:bCs/>
                <w:szCs w:val="18"/>
              </w:rPr>
              <w:t>Oral nutritional support (</w:t>
            </w:r>
            <w:r w:rsidRPr="006F3FFF">
              <w:rPr>
                <w:rFonts w:cs="Segoe UI"/>
                <w:bCs/>
                <w:szCs w:val="18"/>
              </w:rPr>
              <w:t>ONS</w:t>
            </w:r>
            <w:r>
              <w:rPr>
                <w:rFonts w:cs="Segoe UI"/>
                <w:bCs/>
                <w:szCs w:val="18"/>
              </w:rPr>
              <w:t>)</w:t>
            </w:r>
            <w:r w:rsidRPr="006F3FFF">
              <w:rPr>
                <w:rFonts w:cs="Segoe UI"/>
                <w:bCs/>
                <w:szCs w:val="18"/>
              </w:rPr>
              <w:t xml:space="preserve"> support</w:t>
            </w:r>
            <w:r>
              <w:rPr>
                <w:rFonts w:cs="Segoe UI"/>
                <w:bCs/>
                <w:szCs w:val="18"/>
              </w:rPr>
              <w:t>,</w:t>
            </w:r>
            <w:r w:rsidRPr="006F3FFF">
              <w:rPr>
                <w:rFonts w:cs="Segoe UI"/>
                <w:bCs/>
                <w:szCs w:val="18"/>
              </w:rPr>
              <w:t xml:space="preserve"> should be implemented. Swallow may need to be re-assessed</w:t>
            </w:r>
            <w:r>
              <w:rPr>
                <w:rFonts w:cs="Segoe UI"/>
                <w:bCs/>
                <w:szCs w:val="18"/>
              </w:rPr>
              <w:t xml:space="preserve"> and may require further rehabilitation</w:t>
            </w:r>
            <w:r w:rsidR="005D5E45">
              <w:rPr>
                <w:rFonts w:cs="Segoe UI"/>
                <w:bCs/>
                <w:szCs w:val="18"/>
              </w:rPr>
              <w:t>.</w:t>
            </w:r>
          </w:p>
        </w:tc>
        <w:tc>
          <w:tcPr>
            <w:tcW w:w="1701" w:type="dxa"/>
            <w:tcBorders>
              <w:top w:val="nil"/>
              <w:bottom w:val="nil"/>
            </w:tcBorders>
          </w:tcPr>
          <w:p w14:paraId="2EE8ABD0" w14:textId="77777777" w:rsidR="00F32260" w:rsidRPr="000339FD" w:rsidRDefault="00F32260" w:rsidP="00F32260">
            <w:pPr>
              <w:pStyle w:val="TableText"/>
            </w:pPr>
          </w:p>
        </w:tc>
      </w:tr>
      <w:tr w:rsidR="00801DDE" w:rsidRPr="00DC20BD" w14:paraId="03BF6951" w14:textId="77777777" w:rsidTr="00D16502">
        <w:trPr>
          <w:cantSplit/>
        </w:trPr>
        <w:tc>
          <w:tcPr>
            <w:tcW w:w="1701" w:type="dxa"/>
            <w:tcBorders>
              <w:top w:val="nil"/>
              <w:bottom w:val="nil"/>
            </w:tcBorders>
          </w:tcPr>
          <w:p w14:paraId="6A861CCB" w14:textId="05776896" w:rsidR="00801DDE" w:rsidRPr="00F32260" w:rsidRDefault="00801DDE" w:rsidP="00801DDE">
            <w:pPr>
              <w:pStyle w:val="TableText"/>
              <w:rPr>
                <w:b/>
              </w:rPr>
            </w:pPr>
          </w:p>
        </w:tc>
        <w:tc>
          <w:tcPr>
            <w:tcW w:w="4678" w:type="dxa"/>
            <w:tcBorders>
              <w:top w:val="nil"/>
              <w:bottom w:val="nil"/>
            </w:tcBorders>
          </w:tcPr>
          <w:p w14:paraId="55949B6D" w14:textId="77777777" w:rsidR="00801DDE" w:rsidRPr="00F32260" w:rsidRDefault="00801DDE" w:rsidP="00801DDE">
            <w:pPr>
              <w:pStyle w:val="TableText"/>
              <w:rPr>
                <w:rFonts w:cs="Segoe UI"/>
                <w:b/>
                <w:szCs w:val="18"/>
              </w:rPr>
            </w:pPr>
            <w:r w:rsidRPr="00F32260">
              <w:rPr>
                <w:rFonts w:cs="Segoe UI"/>
                <w:b/>
                <w:szCs w:val="18"/>
              </w:rPr>
              <w:t>Communication</w:t>
            </w:r>
          </w:p>
          <w:p w14:paraId="360B7F86" w14:textId="56446691" w:rsidR="00801DDE" w:rsidRPr="00801DDE" w:rsidRDefault="00801DDE" w:rsidP="006E4065">
            <w:pPr>
              <w:pStyle w:val="TableText"/>
              <w:rPr>
                <w:rFonts w:cs="Segoe UI"/>
                <w:szCs w:val="18"/>
              </w:rPr>
            </w:pPr>
            <w:r w:rsidRPr="006F3FFF">
              <w:rPr>
                <w:rFonts w:cs="Segoe UI"/>
                <w:szCs w:val="18"/>
              </w:rPr>
              <w:t>People who have been intubated or continue to have voice, speech, language and/or cognitive communication difficulties may still need communication supports and rehabilitation</w:t>
            </w:r>
            <w:r>
              <w:rPr>
                <w:rFonts w:cs="Segoe UI"/>
                <w:szCs w:val="18"/>
              </w:rPr>
              <w:t>, including c</w:t>
            </w:r>
            <w:r w:rsidRPr="006F3FFF">
              <w:rPr>
                <w:rFonts w:cs="Segoe UI"/>
                <w:szCs w:val="18"/>
              </w:rPr>
              <w:t>ommunication aids.</w:t>
            </w:r>
            <w:r>
              <w:rPr>
                <w:rFonts w:cs="Segoe UI"/>
                <w:szCs w:val="18"/>
              </w:rPr>
              <w:t xml:space="preserve"> Voice disorders may be best managed in joint speech-language therapists-otolaryngologist clinics</w:t>
            </w:r>
          </w:p>
        </w:tc>
        <w:tc>
          <w:tcPr>
            <w:tcW w:w="1701" w:type="dxa"/>
            <w:tcBorders>
              <w:top w:val="nil"/>
              <w:bottom w:val="nil"/>
            </w:tcBorders>
          </w:tcPr>
          <w:p w14:paraId="7228011B" w14:textId="77777777" w:rsidR="00801DDE" w:rsidRPr="000339FD" w:rsidRDefault="00801DDE" w:rsidP="00F32260">
            <w:pPr>
              <w:pStyle w:val="TableText"/>
            </w:pPr>
          </w:p>
        </w:tc>
      </w:tr>
      <w:tr w:rsidR="00801DDE" w:rsidRPr="00DC20BD" w14:paraId="5658EA76" w14:textId="77777777" w:rsidTr="00D16502">
        <w:trPr>
          <w:cantSplit/>
        </w:trPr>
        <w:tc>
          <w:tcPr>
            <w:tcW w:w="1701" w:type="dxa"/>
            <w:tcBorders>
              <w:top w:val="nil"/>
              <w:bottom w:val="nil"/>
            </w:tcBorders>
          </w:tcPr>
          <w:p w14:paraId="09D502C6" w14:textId="50F40314" w:rsidR="00801DDE" w:rsidRPr="00F32260" w:rsidRDefault="00801DDE" w:rsidP="00801DDE">
            <w:pPr>
              <w:pStyle w:val="TableText"/>
              <w:rPr>
                <w:b/>
              </w:rPr>
            </w:pPr>
          </w:p>
        </w:tc>
        <w:tc>
          <w:tcPr>
            <w:tcW w:w="4678" w:type="dxa"/>
            <w:tcBorders>
              <w:top w:val="nil"/>
              <w:bottom w:val="nil"/>
            </w:tcBorders>
          </w:tcPr>
          <w:p w14:paraId="3221427B" w14:textId="77777777" w:rsidR="00801DDE" w:rsidRPr="00801DDE" w:rsidRDefault="00801DDE" w:rsidP="00801DDE">
            <w:pPr>
              <w:pStyle w:val="TableText"/>
              <w:rPr>
                <w:rFonts w:cs="Segoe UI"/>
                <w:b/>
                <w:szCs w:val="18"/>
              </w:rPr>
            </w:pPr>
            <w:r w:rsidRPr="00801DDE">
              <w:rPr>
                <w:rFonts w:cs="Segoe UI"/>
                <w:b/>
                <w:szCs w:val="18"/>
              </w:rPr>
              <w:t>Mental health/psychosocial</w:t>
            </w:r>
          </w:p>
          <w:p w14:paraId="4BD811EA" w14:textId="430A7495" w:rsidR="00801DDE" w:rsidRPr="00801DDE" w:rsidRDefault="00801DDE" w:rsidP="006E4065">
            <w:pPr>
              <w:pStyle w:val="TableText"/>
              <w:rPr>
                <w:rFonts w:cs="Segoe UI"/>
                <w:szCs w:val="18"/>
              </w:rPr>
            </w:pPr>
            <w:r w:rsidRPr="006F3FFF">
              <w:rPr>
                <w:rFonts w:cs="Segoe UI"/>
                <w:szCs w:val="18"/>
              </w:rPr>
              <w:t>Provision of evidenced</w:t>
            </w:r>
            <w:r>
              <w:rPr>
                <w:rFonts w:cs="Segoe UI"/>
                <w:szCs w:val="18"/>
              </w:rPr>
              <w:t>-</w:t>
            </w:r>
            <w:r w:rsidRPr="006F3FFF">
              <w:rPr>
                <w:rFonts w:cs="Segoe UI"/>
                <w:szCs w:val="18"/>
              </w:rPr>
              <w:t xml:space="preserve">based interventions for identified psychosocial needs </w:t>
            </w:r>
            <w:r>
              <w:rPr>
                <w:rFonts w:cs="Segoe UI"/>
                <w:szCs w:val="18"/>
              </w:rPr>
              <w:t xml:space="preserve">may need to </w:t>
            </w:r>
            <w:r w:rsidRPr="006F3FFF">
              <w:rPr>
                <w:rFonts w:cs="Segoe UI"/>
                <w:szCs w:val="18"/>
              </w:rPr>
              <w:t xml:space="preserve">continue. These interventions may begin in hospital, during transition </w:t>
            </w:r>
            <w:r>
              <w:rPr>
                <w:rFonts w:cs="Segoe UI"/>
                <w:szCs w:val="18"/>
              </w:rPr>
              <w:t xml:space="preserve">or </w:t>
            </w:r>
            <w:r w:rsidRPr="006F3FFF">
              <w:rPr>
                <w:rFonts w:cs="Segoe UI"/>
                <w:szCs w:val="18"/>
              </w:rPr>
              <w:t>in the community.</w:t>
            </w:r>
          </w:p>
        </w:tc>
        <w:tc>
          <w:tcPr>
            <w:tcW w:w="1701" w:type="dxa"/>
            <w:tcBorders>
              <w:top w:val="nil"/>
              <w:bottom w:val="nil"/>
            </w:tcBorders>
          </w:tcPr>
          <w:p w14:paraId="3B340963" w14:textId="77777777" w:rsidR="00801DDE" w:rsidRPr="00DF732A" w:rsidRDefault="00801DDE" w:rsidP="00F32260">
            <w:pPr>
              <w:pStyle w:val="TableText"/>
              <w:rPr>
                <w:rFonts w:cstheme="minorHAnsi"/>
              </w:rPr>
            </w:pPr>
          </w:p>
        </w:tc>
      </w:tr>
      <w:tr w:rsidR="008B7D3C" w:rsidRPr="00DC20BD" w14:paraId="34044DB0" w14:textId="77777777" w:rsidTr="00D16502">
        <w:trPr>
          <w:cantSplit/>
        </w:trPr>
        <w:tc>
          <w:tcPr>
            <w:tcW w:w="1701" w:type="dxa"/>
            <w:tcBorders>
              <w:top w:val="nil"/>
            </w:tcBorders>
          </w:tcPr>
          <w:p w14:paraId="5AA33AD0" w14:textId="3C270622" w:rsidR="008B7D3C" w:rsidRPr="00603882" w:rsidRDefault="008B7D3C" w:rsidP="00801DDE">
            <w:pPr>
              <w:pStyle w:val="TableText"/>
            </w:pPr>
          </w:p>
        </w:tc>
        <w:tc>
          <w:tcPr>
            <w:tcW w:w="4678" w:type="dxa"/>
            <w:tcBorders>
              <w:top w:val="nil"/>
            </w:tcBorders>
          </w:tcPr>
          <w:p w14:paraId="708DDFF0" w14:textId="13B07788" w:rsidR="008B7D3C" w:rsidRPr="00801DDE" w:rsidRDefault="008B7D3C" w:rsidP="006E4065">
            <w:pPr>
              <w:pStyle w:val="TableText"/>
              <w:rPr>
                <w:rFonts w:cs="Segoe UI"/>
                <w:b/>
                <w:szCs w:val="18"/>
              </w:rPr>
            </w:pPr>
            <w:r w:rsidRPr="00801DDE">
              <w:rPr>
                <w:rFonts w:cs="Segoe UI"/>
                <w:b/>
                <w:szCs w:val="18"/>
              </w:rPr>
              <w:t>Occupational participation</w:t>
            </w:r>
          </w:p>
          <w:p w14:paraId="0DD4E6E9" w14:textId="698070D5" w:rsidR="008B7D3C" w:rsidRPr="006F3FFF" w:rsidRDefault="008B7D3C" w:rsidP="006E4065">
            <w:pPr>
              <w:pStyle w:val="TableText"/>
              <w:rPr>
                <w:rFonts w:cs="Segoe UI"/>
                <w:szCs w:val="18"/>
              </w:rPr>
            </w:pPr>
            <w:r w:rsidRPr="006F3FFF">
              <w:rPr>
                <w:rFonts w:cs="Segoe UI"/>
                <w:szCs w:val="18"/>
              </w:rPr>
              <w:t>The person and family/</w:t>
            </w:r>
            <w:proofErr w:type="spellStart"/>
            <w:r w:rsidRPr="006F3FFF">
              <w:rPr>
                <w:rFonts w:cs="Segoe UI"/>
                <w:szCs w:val="18"/>
              </w:rPr>
              <w:t>whānau</w:t>
            </w:r>
            <w:proofErr w:type="spellEnd"/>
            <w:r w:rsidRPr="006F3FFF">
              <w:rPr>
                <w:rFonts w:cs="Segoe UI"/>
                <w:szCs w:val="18"/>
              </w:rPr>
              <w:t xml:space="preserve"> may require reassessment of activities of daily living</w:t>
            </w:r>
            <w:r>
              <w:rPr>
                <w:rFonts w:cs="Segoe UI"/>
                <w:szCs w:val="18"/>
              </w:rPr>
              <w:t>,</w:t>
            </w:r>
            <w:r w:rsidRPr="006F3FFF">
              <w:rPr>
                <w:rFonts w:cs="Segoe UI"/>
                <w:szCs w:val="18"/>
              </w:rPr>
              <w:t xml:space="preserve"> which may include a home assessment. Support may be given to engage </w:t>
            </w:r>
            <w:r>
              <w:rPr>
                <w:rFonts w:cs="Segoe UI"/>
                <w:szCs w:val="18"/>
              </w:rPr>
              <w:t xml:space="preserve">and </w:t>
            </w:r>
            <w:r w:rsidRPr="006F3FFF">
              <w:rPr>
                <w:rFonts w:cs="Segoe UI"/>
                <w:szCs w:val="18"/>
              </w:rPr>
              <w:t xml:space="preserve">empower </w:t>
            </w:r>
            <w:r>
              <w:rPr>
                <w:rFonts w:cs="Segoe UI"/>
                <w:szCs w:val="18"/>
              </w:rPr>
              <w:t xml:space="preserve">the person </w:t>
            </w:r>
            <w:r w:rsidRPr="006F3FFF">
              <w:rPr>
                <w:rFonts w:cs="Segoe UI"/>
                <w:szCs w:val="18"/>
              </w:rPr>
              <w:t xml:space="preserve">and enable </w:t>
            </w:r>
            <w:r>
              <w:rPr>
                <w:rFonts w:cs="Segoe UI"/>
                <w:szCs w:val="18"/>
              </w:rPr>
              <w:t xml:space="preserve">a graded </w:t>
            </w:r>
            <w:r w:rsidRPr="006F3FFF">
              <w:rPr>
                <w:rFonts w:cs="Segoe UI"/>
                <w:bCs/>
                <w:szCs w:val="18"/>
              </w:rPr>
              <w:t xml:space="preserve">return to </w:t>
            </w:r>
            <w:r>
              <w:rPr>
                <w:rFonts w:cs="Segoe UI"/>
                <w:bCs/>
                <w:szCs w:val="18"/>
              </w:rPr>
              <w:t xml:space="preserve">central </w:t>
            </w:r>
            <w:r w:rsidRPr="006F3FFF">
              <w:rPr>
                <w:rFonts w:cs="Segoe UI"/>
                <w:bCs/>
                <w:szCs w:val="18"/>
              </w:rPr>
              <w:t>activities</w:t>
            </w:r>
            <w:r>
              <w:t xml:space="preserve"> </w:t>
            </w:r>
            <w:r>
              <w:rPr>
                <w:rFonts w:cs="Segoe UI"/>
                <w:bCs/>
                <w:szCs w:val="18"/>
              </w:rPr>
              <w:t xml:space="preserve">such as </w:t>
            </w:r>
            <w:r w:rsidRPr="00E221D5">
              <w:rPr>
                <w:rFonts w:cs="Segoe UI"/>
                <w:bCs/>
                <w:szCs w:val="18"/>
              </w:rPr>
              <w:t>school</w:t>
            </w:r>
            <w:r>
              <w:rPr>
                <w:rFonts w:cs="Segoe UI"/>
                <w:bCs/>
                <w:szCs w:val="18"/>
              </w:rPr>
              <w:t xml:space="preserve"> or </w:t>
            </w:r>
            <w:r w:rsidRPr="00E221D5">
              <w:rPr>
                <w:rFonts w:cs="Segoe UI"/>
                <w:bCs/>
                <w:szCs w:val="18"/>
              </w:rPr>
              <w:t>work</w:t>
            </w:r>
            <w:r>
              <w:rPr>
                <w:rFonts w:cs="Segoe UI"/>
                <w:bCs/>
                <w:szCs w:val="18"/>
              </w:rPr>
              <w:t xml:space="preserve">. </w:t>
            </w:r>
            <w:r w:rsidRPr="004B1BC1">
              <w:rPr>
                <w:rFonts w:cs="Segoe UI"/>
                <w:bCs/>
                <w:szCs w:val="18"/>
              </w:rPr>
              <w:t xml:space="preserve">Rehabilitation may include management of </w:t>
            </w:r>
            <w:r>
              <w:rPr>
                <w:rFonts w:cs="Segoe UI"/>
                <w:bCs/>
                <w:szCs w:val="18"/>
              </w:rPr>
              <w:t xml:space="preserve">the </w:t>
            </w:r>
            <w:r w:rsidRPr="004B1BC1">
              <w:rPr>
                <w:rFonts w:cs="Segoe UI"/>
                <w:bCs/>
                <w:szCs w:val="18"/>
              </w:rPr>
              <w:t>activities of daily living, including adaptive strategies such as assistive devices and fatigue and energy conservation management</w:t>
            </w:r>
            <w:r>
              <w:rPr>
                <w:rFonts w:cs="Segoe UI"/>
                <w:bCs/>
                <w:szCs w:val="18"/>
              </w:rPr>
              <w:t>,</w:t>
            </w:r>
            <w:r w:rsidRPr="004B1BC1">
              <w:rPr>
                <w:rFonts w:cs="Segoe UI"/>
                <w:bCs/>
                <w:szCs w:val="18"/>
              </w:rPr>
              <w:t xml:space="preserve"> which encourages functional independence and/or enabling family to support the person</w:t>
            </w:r>
            <w:r>
              <w:rPr>
                <w:rFonts w:cs="Segoe UI"/>
                <w:bCs/>
                <w:szCs w:val="18"/>
              </w:rPr>
              <w:t>,</w:t>
            </w:r>
            <w:r w:rsidRPr="004B1BC1">
              <w:rPr>
                <w:rFonts w:cs="Segoe UI"/>
                <w:bCs/>
                <w:szCs w:val="18"/>
              </w:rPr>
              <w:t xml:space="preserve"> as well as health literacy and self-advocacy. Potential loss of function o</w:t>
            </w:r>
            <w:r>
              <w:rPr>
                <w:rFonts w:cs="Segoe UI"/>
                <w:bCs/>
                <w:szCs w:val="18"/>
              </w:rPr>
              <w:t>r</w:t>
            </w:r>
            <w:r w:rsidRPr="004B1BC1">
              <w:rPr>
                <w:rFonts w:cs="Segoe UI"/>
                <w:bCs/>
                <w:szCs w:val="18"/>
              </w:rPr>
              <w:t xml:space="preserve"> </w:t>
            </w:r>
            <w:r>
              <w:rPr>
                <w:rFonts w:cs="Segoe UI"/>
                <w:bCs/>
                <w:szCs w:val="18"/>
              </w:rPr>
              <w:t>dis</w:t>
            </w:r>
            <w:r w:rsidRPr="004B1BC1">
              <w:rPr>
                <w:rFonts w:cs="Segoe UI"/>
                <w:bCs/>
                <w:szCs w:val="18"/>
              </w:rPr>
              <w:t>engagement in daily life</w:t>
            </w:r>
            <w:r>
              <w:rPr>
                <w:rFonts w:cs="Segoe UI"/>
                <w:bCs/>
                <w:szCs w:val="18"/>
              </w:rPr>
              <w:t xml:space="preserve"> may, </w:t>
            </w:r>
            <w:r w:rsidRPr="004B1BC1">
              <w:rPr>
                <w:rFonts w:cs="Segoe UI"/>
                <w:bCs/>
                <w:szCs w:val="18"/>
              </w:rPr>
              <w:t xml:space="preserve">in turn, </w:t>
            </w:r>
            <w:r>
              <w:rPr>
                <w:rFonts w:cs="Segoe UI"/>
                <w:bCs/>
                <w:szCs w:val="18"/>
              </w:rPr>
              <w:t xml:space="preserve">affect </w:t>
            </w:r>
            <w:r w:rsidRPr="004B1BC1">
              <w:rPr>
                <w:rFonts w:cs="Segoe UI"/>
                <w:bCs/>
                <w:szCs w:val="18"/>
              </w:rPr>
              <w:t>psychological wellbeing</w:t>
            </w:r>
            <w:r>
              <w:rPr>
                <w:rFonts w:cs="Segoe UI"/>
                <w:bCs/>
                <w:szCs w:val="18"/>
              </w:rPr>
              <w:t>,</w:t>
            </w:r>
            <w:r w:rsidRPr="004B1BC1">
              <w:rPr>
                <w:rFonts w:cs="Segoe UI"/>
                <w:bCs/>
                <w:szCs w:val="18"/>
              </w:rPr>
              <w:t xml:space="preserve"> which </w:t>
            </w:r>
            <w:r>
              <w:rPr>
                <w:rFonts w:cs="Segoe UI"/>
                <w:bCs/>
                <w:szCs w:val="18"/>
              </w:rPr>
              <w:t>can affect self-</w:t>
            </w:r>
            <w:r w:rsidR="00801DDE">
              <w:rPr>
                <w:rFonts w:cs="Segoe UI"/>
                <w:bCs/>
                <w:szCs w:val="18"/>
              </w:rPr>
              <w:t>identity.</w:t>
            </w:r>
          </w:p>
        </w:tc>
        <w:tc>
          <w:tcPr>
            <w:tcW w:w="1701" w:type="dxa"/>
            <w:tcBorders>
              <w:top w:val="nil"/>
            </w:tcBorders>
          </w:tcPr>
          <w:p w14:paraId="3BAB41B3" w14:textId="6E7F2A0D" w:rsidR="008B7D3C" w:rsidRPr="00DF732A" w:rsidRDefault="008B7D3C" w:rsidP="00F32260">
            <w:pPr>
              <w:pStyle w:val="TableText"/>
              <w:rPr>
                <w:rFonts w:cstheme="minorHAnsi"/>
              </w:rPr>
            </w:pPr>
          </w:p>
        </w:tc>
      </w:tr>
      <w:tr w:rsidR="00801DDE" w:rsidRPr="00DC20BD" w14:paraId="1E8AA291" w14:textId="77777777" w:rsidTr="00D16502">
        <w:trPr>
          <w:cantSplit/>
        </w:trPr>
        <w:tc>
          <w:tcPr>
            <w:tcW w:w="1701" w:type="dxa"/>
            <w:tcBorders>
              <w:bottom w:val="nil"/>
            </w:tcBorders>
          </w:tcPr>
          <w:p w14:paraId="271D1A02" w14:textId="676E5B0F" w:rsidR="00801DDE" w:rsidRPr="00801DDE" w:rsidRDefault="00801DDE" w:rsidP="00D16502">
            <w:pPr>
              <w:pStyle w:val="TableText"/>
              <w:rPr>
                <w:b/>
              </w:rPr>
            </w:pPr>
            <w:r w:rsidRPr="00801DDE">
              <w:rPr>
                <w:b/>
              </w:rPr>
              <w:lastRenderedPageBreak/>
              <w:t>Long term</w:t>
            </w:r>
            <w:r w:rsidR="00D16502">
              <w:rPr>
                <w:b/>
              </w:rPr>
              <w:br/>
            </w:r>
            <w:r>
              <w:t>Longer-term functional rehabilitation</w:t>
            </w:r>
          </w:p>
        </w:tc>
        <w:tc>
          <w:tcPr>
            <w:tcW w:w="4678" w:type="dxa"/>
            <w:tcBorders>
              <w:bottom w:val="nil"/>
            </w:tcBorders>
          </w:tcPr>
          <w:p w14:paraId="25A6EB1E" w14:textId="77777777" w:rsidR="00801DDE" w:rsidRPr="00801DDE" w:rsidRDefault="00801DDE" w:rsidP="00801DDE">
            <w:pPr>
              <w:pStyle w:val="TableText"/>
              <w:rPr>
                <w:b/>
                <w:bCs/>
                <w:szCs w:val="18"/>
              </w:rPr>
            </w:pPr>
            <w:r w:rsidRPr="00801DDE">
              <w:rPr>
                <w:b/>
                <w:bCs/>
                <w:szCs w:val="18"/>
              </w:rPr>
              <w:t>Respiratory</w:t>
            </w:r>
          </w:p>
          <w:p w14:paraId="0F96A59C" w14:textId="77777777" w:rsidR="00801DDE" w:rsidRDefault="00801DDE" w:rsidP="00801DDE">
            <w:pPr>
              <w:pStyle w:val="TableText"/>
              <w:rPr>
                <w:rFonts w:cstheme="minorHAnsi"/>
                <w:iCs/>
                <w:szCs w:val="18"/>
              </w:rPr>
            </w:pPr>
            <w:r w:rsidRPr="00E05249">
              <w:rPr>
                <w:rFonts w:cstheme="minorHAnsi"/>
                <w:iCs/>
                <w:szCs w:val="18"/>
              </w:rPr>
              <w:t>Respiratory rehabilitation</w:t>
            </w:r>
            <w:r>
              <w:rPr>
                <w:rFonts w:cstheme="minorHAnsi"/>
                <w:iCs/>
                <w:szCs w:val="18"/>
              </w:rPr>
              <w:t xml:space="preserve"> follows</w:t>
            </w:r>
            <w:r w:rsidRPr="00E05249">
              <w:rPr>
                <w:rFonts w:cstheme="minorHAnsi"/>
                <w:iCs/>
                <w:szCs w:val="18"/>
              </w:rPr>
              <w:t xml:space="preserve"> individually</w:t>
            </w:r>
            <w:r>
              <w:rPr>
                <w:rFonts w:cstheme="minorHAnsi"/>
                <w:iCs/>
                <w:szCs w:val="18"/>
              </w:rPr>
              <w:t xml:space="preserve"> based</w:t>
            </w:r>
            <w:r w:rsidRPr="00E05249">
              <w:rPr>
                <w:rFonts w:cstheme="minorHAnsi"/>
                <w:iCs/>
                <w:szCs w:val="18"/>
              </w:rPr>
              <w:t xml:space="preserve"> assessments</w:t>
            </w:r>
            <w:r>
              <w:rPr>
                <w:rFonts w:cstheme="minorHAnsi"/>
                <w:iCs/>
                <w:szCs w:val="18"/>
              </w:rPr>
              <w:t>, and may</w:t>
            </w:r>
            <w:r w:rsidRPr="00E05249">
              <w:rPr>
                <w:rFonts w:cstheme="minorHAnsi"/>
                <w:iCs/>
                <w:szCs w:val="18"/>
              </w:rPr>
              <w:t xml:space="preserve"> include e</w:t>
            </w:r>
            <w:r w:rsidRPr="00E05249">
              <w:rPr>
                <w:iCs/>
                <w:szCs w:val="18"/>
              </w:rPr>
              <w:t>xercise testing</w:t>
            </w:r>
            <w:r>
              <w:rPr>
                <w:iCs/>
                <w:szCs w:val="18"/>
              </w:rPr>
              <w:t xml:space="preserve">, </w:t>
            </w:r>
            <w:r w:rsidRPr="00E05249">
              <w:rPr>
                <w:iCs/>
                <w:szCs w:val="18"/>
              </w:rPr>
              <w:t xml:space="preserve">which informs appropriate </w:t>
            </w:r>
            <w:r w:rsidRPr="00E05249">
              <w:rPr>
                <w:rFonts w:cstheme="minorHAnsi"/>
                <w:iCs/>
                <w:szCs w:val="18"/>
              </w:rPr>
              <w:t>rehabilitation prescription</w:t>
            </w:r>
            <w:r>
              <w:rPr>
                <w:rFonts w:cstheme="minorHAnsi"/>
                <w:iCs/>
                <w:szCs w:val="18"/>
              </w:rPr>
              <w:t>,</w:t>
            </w:r>
            <w:r w:rsidRPr="00E05249">
              <w:rPr>
                <w:rFonts w:cstheme="minorHAnsi"/>
                <w:iCs/>
                <w:szCs w:val="18"/>
              </w:rPr>
              <w:t xml:space="preserve"> </w:t>
            </w:r>
            <w:r>
              <w:rPr>
                <w:rFonts w:cstheme="minorHAnsi"/>
                <w:iCs/>
                <w:szCs w:val="18"/>
              </w:rPr>
              <w:t>focusing</w:t>
            </w:r>
            <w:r w:rsidRPr="00E05249">
              <w:rPr>
                <w:rFonts w:cstheme="minorHAnsi"/>
                <w:iCs/>
                <w:szCs w:val="18"/>
              </w:rPr>
              <w:t xml:space="preserve"> on f</w:t>
            </w:r>
            <w:r w:rsidRPr="00E05249">
              <w:rPr>
                <w:iCs/>
                <w:szCs w:val="18"/>
              </w:rPr>
              <w:t>unctional staged rehabilitation goals.</w:t>
            </w:r>
            <w:r w:rsidRPr="00E05249">
              <w:rPr>
                <w:rFonts w:cstheme="minorHAnsi"/>
                <w:iCs/>
                <w:szCs w:val="18"/>
              </w:rPr>
              <w:t xml:space="preserve"> </w:t>
            </w:r>
            <w:r>
              <w:rPr>
                <w:rFonts w:cstheme="minorHAnsi"/>
                <w:iCs/>
                <w:szCs w:val="18"/>
              </w:rPr>
              <w:t>The interface to meet that need may be class-based, one on one or virtual, to meet needs specific to COVID 19.</w:t>
            </w:r>
          </w:p>
          <w:p w14:paraId="227B969F" w14:textId="61443FBA" w:rsidR="00801DDE" w:rsidRPr="00801DDE" w:rsidRDefault="00801DDE" w:rsidP="006E4065">
            <w:pPr>
              <w:pStyle w:val="TableText"/>
              <w:rPr>
                <w:rFonts w:cstheme="minorHAnsi"/>
                <w:iCs/>
                <w:szCs w:val="18"/>
              </w:rPr>
            </w:pPr>
            <w:r w:rsidRPr="00FD3846">
              <w:rPr>
                <w:rFonts w:cstheme="minorHAnsi"/>
                <w:iCs/>
                <w:szCs w:val="18"/>
              </w:rPr>
              <w:t xml:space="preserve">Poor sleep hygiene practices and subsequent poor sleep quality can </w:t>
            </w:r>
            <w:r>
              <w:rPr>
                <w:rFonts w:cstheme="minorHAnsi"/>
                <w:iCs/>
                <w:szCs w:val="18"/>
              </w:rPr>
              <w:t xml:space="preserve">affect </w:t>
            </w:r>
            <w:r w:rsidRPr="00FD3846">
              <w:rPr>
                <w:rFonts w:cstheme="minorHAnsi"/>
                <w:iCs/>
                <w:szCs w:val="18"/>
              </w:rPr>
              <w:t xml:space="preserve">regulation of immune function and compound the effects of </w:t>
            </w:r>
            <w:r>
              <w:rPr>
                <w:rFonts w:cstheme="minorHAnsi"/>
                <w:iCs/>
                <w:szCs w:val="18"/>
              </w:rPr>
              <w:t>COVID</w:t>
            </w:r>
            <w:r>
              <w:rPr>
                <w:rFonts w:cstheme="minorHAnsi"/>
                <w:iCs/>
                <w:szCs w:val="18"/>
              </w:rPr>
              <w:noBreakHyphen/>
              <w:t>19</w:t>
            </w:r>
            <w:r w:rsidRPr="00FD3846">
              <w:rPr>
                <w:rFonts w:cstheme="minorHAnsi"/>
                <w:iCs/>
                <w:szCs w:val="18"/>
              </w:rPr>
              <w:t xml:space="preserve">, thereby </w:t>
            </w:r>
            <w:r>
              <w:rPr>
                <w:rFonts w:cstheme="minorHAnsi"/>
                <w:iCs/>
                <w:szCs w:val="18"/>
              </w:rPr>
              <w:t xml:space="preserve">affecting </w:t>
            </w:r>
            <w:r w:rsidRPr="00FD3846">
              <w:rPr>
                <w:rFonts w:cstheme="minorHAnsi"/>
                <w:iCs/>
                <w:szCs w:val="18"/>
              </w:rPr>
              <w:t>physical recovery</w:t>
            </w:r>
            <w:r>
              <w:rPr>
                <w:rFonts w:cstheme="minorHAnsi"/>
                <w:iCs/>
                <w:szCs w:val="18"/>
              </w:rPr>
              <w:t>.</w:t>
            </w:r>
          </w:p>
        </w:tc>
        <w:tc>
          <w:tcPr>
            <w:tcW w:w="1701" w:type="dxa"/>
            <w:tcBorders>
              <w:bottom w:val="nil"/>
            </w:tcBorders>
          </w:tcPr>
          <w:p w14:paraId="7A4E07B5" w14:textId="77777777" w:rsidR="00801DDE" w:rsidRDefault="00801DDE" w:rsidP="00801DDE">
            <w:pPr>
              <w:pStyle w:val="TableText"/>
            </w:pPr>
          </w:p>
        </w:tc>
      </w:tr>
      <w:tr w:rsidR="00801DDE" w:rsidRPr="00DC20BD" w14:paraId="269A50B2" w14:textId="77777777" w:rsidTr="00D16502">
        <w:trPr>
          <w:cantSplit/>
        </w:trPr>
        <w:tc>
          <w:tcPr>
            <w:tcW w:w="1701" w:type="dxa"/>
            <w:tcBorders>
              <w:top w:val="nil"/>
              <w:bottom w:val="nil"/>
            </w:tcBorders>
          </w:tcPr>
          <w:p w14:paraId="768AEADE" w14:textId="40232775" w:rsidR="00801DDE" w:rsidRPr="00801DDE" w:rsidRDefault="00801DDE" w:rsidP="00801DDE">
            <w:pPr>
              <w:pStyle w:val="TableText"/>
              <w:rPr>
                <w:b/>
              </w:rPr>
            </w:pPr>
          </w:p>
        </w:tc>
        <w:tc>
          <w:tcPr>
            <w:tcW w:w="4678" w:type="dxa"/>
            <w:tcBorders>
              <w:top w:val="nil"/>
              <w:bottom w:val="nil"/>
            </w:tcBorders>
          </w:tcPr>
          <w:p w14:paraId="0FA0FCEF" w14:textId="77777777" w:rsidR="00801DDE" w:rsidRPr="00801DDE" w:rsidRDefault="00801DDE" w:rsidP="00801DDE">
            <w:pPr>
              <w:pStyle w:val="TableText"/>
              <w:rPr>
                <w:b/>
                <w:szCs w:val="18"/>
              </w:rPr>
            </w:pPr>
            <w:r w:rsidRPr="00801DDE">
              <w:rPr>
                <w:b/>
                <w:szCs w:val="18"/>
              </w:rPr>
              <w:t>Physical</w:t>
            </w:r>
          </w:p>
          <w:p w14:paraId="2E140909" w14:textId="77777777" w:rsidR="00801DDE" w:rsidRDefault="00801DDE" w:rsidP="00801DDE">
            <w:pPr>
              <w:pStyle w:val="TableText"/>
              <w:rPr>
                <w:szCs w:val="18"/>
              </w:rPr>
            </w:pPr>
            <w:r w:rsidRPr="00E05249">
              <w:rPr>
                <w:szCs w:val="18"/>
              </w:rPr>
              <w:t>Cardiopulmonary functional capacity testing may be required</w:t>
            </w:r>
            <w:r>
              <w:rPr>
                <w:szCs w:val="18"/>
              </w:rPr>
              <w:t>,</w:t>
            </w:r>
            <w:r w:rsidRPr="00E05249">
              <w:rPr>
                <w:szCs w:val="18"/>
              </w:rPr>
              <w:t xml:space="preserve"> which may include a cardiopulmonary exercise test</w:t>
            </w:r>
            <w:r>
              <w:rPr>
                <w:szCs w:val="18"/>
              </w:rPr>
              <w:t>,</w:t>
            </w:r>
            <w:r w:rsidRPr="00E05249">
              <w:rPr>
                <w:szCs w:val="18"/>
              </w:rPr>
              <w:t xml:space="preserve"> including </w:t>
            </w:r>
            <w:r>
              <w:rPr>
                <w:szCs w:val="18"/>
              </w:rPr>
              <w:t xml:space="preserve">a </w:t>
            </w:r>
            <w:r w:rsidRPr="00E05249">
              <w:rPr>
                <w:szCs w:val="18"/>
              </w:rPr>
              <w:t>12-lead ECG and expired gas analysis, strength test and functional movement screen. Exercise is likely to be needed to overcome deconditioning</w:t>
            </w:r>
            <w:r>
              <w:rPr>
                <w:szCs w:val="18"/>
              </w:rPr>
              <w:t>;</w:t>
            </w:r>
            <w:r w:rsidRPr="00E05249">
              <w:rPr>
                <w:szCs w:val="18"/>
              </w:rPr>
              <w:t xml:space="preserve"> therefore</w:t>
            </w:r>
            <w:r>
              <w:rPr>
                <w:szCs w:val="18"/>
              </w:rPr>
              <w:t>,</w:t>
            </w:r>
            <w:r w:rsidRPr="00E05249">
              <w:rPr>
                <w:szCs w:val="18"/>
              </w:rPr>
              <w:t xml:space="preserve"> </w:t>
            </w:r>
            <w:r>
              <w:rPr>
                <w:szCs w:val="18"/>
              </w:rPr>
              <w:t xml:space="preserve">a </w:t>
            </w:r>
            <w:r w:rsidRPr="00E05249">
              <w:rPr>
                <w:szCs w:val="18"/>
              </w:rPr>
              <w:t xml:space="preserve">person may </w:t>
            </w:r>
            <w:r>
              <w:rPr>
                <w:szCs w:val="18"/>
              </w:rPr>
              <w:t xml:space="preserve">require </w:t>
            </w:r>
            <w:r w:rsidRPr="00E05249">
              <w:rPr>
                <w:szCs w:val="18"/>
              </w:rPr>
              <w:t>an individualised exercise plan.</w:t>
            </w:r>
          </w:p>
          <w:p w14:paraId="4A6139E3" w14:textId="35094828" w:rsidR="00801DDE" w:rsidRPr="00801DDE" w:rsidRDefault="00801DDE" w:rsidP="006E4065">
            <w:pPr>
              <w:pStyle w:val="TableText"/>
              <w:rPr>
                <w:szCs w:val="18"/>
              </w:rPr>
            </w:pPr>
            <w:r w:rsidRPr="00E05249">
              <w:rPr>
                <w:szCs w:val="18"/>
              </w:rPr>
              <w:t xml:space="preserve">A consistent approach to individual-based assessment of need is important. </w:t>
            </w:r>
            <w:r w:rsidR="00397E60">
              <w:rPr>
                <w:szCs w:val="18"/>
              </w:rPr>
              <w:t xml:space="preserve">There should be caution with </w:t>
            </w:r>
            <w:r>
              <w:rPr>
                <w:szCs w:val="18"/>
              </w:rPr>
              <w:t>graded exercise approach: some</w:t>
            </w:r>
            <w:r w:rsidRPr="00E05249">
              <w:rPr>
                <w:szCs w:val="18"/>
              </w:rPr>
              <w:t xml:space="preserve"> </w:t>
            </w:r>
            <w:r>
              <w:rPr>
                <w:szCs w:val="18"/>
              </w:rPr>
              <w:t xml:space="preserve">people </w:t>
            </w:r>
            <w:r w:rsidRPr="00E05249">
              <w:rPr>
                <w:szCs w:val="18"/>
              </w:rPr>
              <w:t xml:space="preserve">may require a fatigue and energy </w:t>
            </w:r>
            <w:r>
              <w:rPr>
                <w:szCs w:val="18"/>
              </w:rPr>
              <w:t>conservation</w:t>
            </w:r>
            <w:r w:rsidRPr="00E05249">
              <w:rPr>
                <w:szCs w:val="18"/>
              </w:rPr>
              <w:t xml:space="preserve"> plan,</w:t>
            </w:r>
            <w:r>
              <w:rPr>
                <w:szCs w:val="18"/>
              </w:rPr>
              <w:t xml:space="preserve"> to </w:t>
            </w:r>
            <w:r w:rsidRPr="00E05249">
              <w:rPr>
                <w:szCs w:val="18"/>
              </w:rPr>
              <w:t>return to</w:t>
            </w:r>
            <w:r>
              <w:rPr>
                <w:szCs w:val="18"/>
              </w:rPr>
              <w:t xml:space="preserve"> school, work or a sport </w:t>
            </w:r>
            <w:r w:rsidRPr="00E05249">
              <w:rPr>
                <w:szCs w:val="18"/>
              </w:rPr>
              <w:t>exercise programme.</w:t>
            </w:r>
          </w:p>
        </w:tc>
        <w:tc>
          <w:tcPr>
            <w:tcW w:w="1701" w:type="dxa"/>
            <w:tcBorders>
              <w:top w:val="nil"/>
              <w:bottom w:val="nil"/>
            </w:tcBorders>
          </w:tcPr>
          <w:p w14:paraId="0EF6A165" w14:textId="77777777" w:rsidR="00801DDE" w:rsidRDefault="00801DDE" w:rsidP="00801DDE">
            <w:pPr>
              <w:pStyle w:val="TableText"/>
            </w:pPr>
          </w:p>
        </w:tc>
      </w:tr>
      <w:tr w:rsidR="00801DDE" w:rsidRPr="00DC20BD" w14:paraId="135E8829" w14:textId="77777777" w:rsidTr="00D16502">
        <w:trPr>
          <w:cantSplit/>
        </w:trPr>
        <w:tc>
          <w:tcPr>
            <w:tcW w:w="1701" w:type="dxa"/>
            <w:tcBorders>
              <w:top w:val="nil"/>
              <w:bottom w:val="nil"/>
            </w:tcBorders>
          </w:tcPr>
          <w:p w14:paraId="2A2B60C9" w14:textId="1FAD9CEE" w:rsidR="00801DDE" w:rsidRPr="00801DDE" w:rsidRDefault="00801DDE" w:rsidP="00801DDE">
            <w:pPr>
              <w:pStyle w:val="TableText"/>
              <w:rPr>
                <w:b/>
              </w:rPr>
            </w:pPr>
          </w:p>
        </w:tc>
        <w:tc>
          <w:tcPr>
            <w:tcW w:w="4678" w:type="dxa"/>
            <w:tcBorders>
              <w:top w:val="nil"/>
              <w:bottom w:val="nil"/>
            </w:tcBorders>
          </w:tcPr>
          <w:p w14:paraId="4C6B8355" w14:textId="77777777" w:rsidR="00801DDE" w:rsidRPr="00801DDE" w:rsidRDefault="00801DDE" w:rsidP="00801DDE">
            <w:pPr>
              <w:pStyle w:val="TableText"/>
              <w:rPr>
                <w:b/>
                <w:szCs w:val="18"/>
              </w:rPr>
            </w:pPr>
            <w:r w:rsidRPr="00801DDE">
              <w:rPr>
                <w:b/>
                <w:szCs w:val="18"/>
              </w:rPr>
              <w:t>Nutritional</w:t>
            </w:r>
          </w:p>
          <w:p w14:paraId="5D2CC12E" w14:textId="5E262E83" w:rsidR="00801DDE" w:rsidRPr="00801DDE" w:rsidRDefault="00801DDE" w:rsidP="006E4065">
            <w:pPr>
              <w:pStyle w:val="TableText"/>
              <w:rPr>
                <w:bCs/>
                <w:szCs w:val="18"/>
              </w:rPr>
            </w:pPr>
            <w:r>
              <w:rPr>
                <w:bCs/>
                <w:szCs w:val="18"/>
              </w:rPr>
              <w:t>Some people may require i</w:t>
            </w:r>
            <w:r w:rsidRPr="00E05249">
              <w:rPr>
                <w:bCs/>
                <w:szCs w:val="18"/>
              </w:rPr>
              <w:t xml:space="preserve">ncreased calorie </w:t>
            </w:r>
            <w:r>
              <w:rPr>
                <w:bCs/>
                <w:szCs w:val="18"/>
              </w:rPr>
              <w:t>and</w:t>
            </w:r>
            <w:r w:rsidRPr="00E05249">
              <w:rPr>
                <w:bCs/>
                <w:szCs w:val="18"/>
              </w:rPr>
              <w:t xml:space="preserve"> protein intake</w:t>
            </w:r>
            <w:r>
              <w:rPr>
                <w:bCs/>
                <w:szCs w:val="18"/>
              </w:rPr>
              <w:t>,</w:t>
            </w:r>
            <w:r w:rsidRPr="00E05249">
              <w:rPr>
                <w:bCs/>
                <w:szCs w:val="18"/>
              </w:rPr>
              <w:t xml:space="preserve"> </w:t>
            </w:r>
            <w:r>
              <w:rPr>
                <w:bCs/>
                <w:szCs w:val="18"/>
              </w:rPr>
              <w:t xml:space="preserve">with or without </w:t>
            </w:r>
            <w:r w:rsidRPr="00E05249">
              <w:rPr>
                <w:bCs/>
                <w:szCs w:val="18"/>
              </w:rPr>
              <w:t>texture modifications</w:t>
            </w:r>
            <w:r>
              <w:rPr>
                <w:bCs/>
                <w:szCs w:val="18"/>
              </w:rPr>
              <w:t>,</w:t>
            </w:r>
            <w:r w:rsidRPr="00E05249">
              <w:rPr>
                <w:bCs/>
                <w:szCs w:val="18"/>
              </w:rPr>
              <w:t xml:space="preserve"> for months to support preservation of muscle mass, function, swallowing </w:t>
            </w:r>
            <w:r>
              <w:rPr>
                <w:bCs/>
                <w:szCs w:val="18"/>
              </w:rPr>
              <w:t xml:space="preserve">and </w:t>
            </w:r>
            <w:r w:rsidRPr="00E05249">
              <w:rPr>
                <w:bCs/>
                <w:szCs w:val="18"/>
              </w:rPr>
              <w:t xml:space="preserve">positive quality of life outcomes. Ongoing swallowing difficulties may need monitoring and rehabilitation. </w:t>
            </w:r>
            <w:r>
              <w:rPr>
                <w:bCs/>
                <w:szCs w:val="18"/>
              </w:rPr>
              <w:t>Mealtime anxiety and fear around choking may require further speech language therapy intervention.</w:t>
            </w:r>
          </w:p>
        </w:tc>
        <w:tc>
          <w:tcPr>
            <w:tcW w:w="1701" w:type="dxa"/>
            <w:tcBorders>
              <w:top w:val="nil"/>
              <w:bottom w:val="nil"/>
            </w:tcBorders>
          </w:tcPr>
          <w:p w14:paraId="18FBEA77" w14:textId="77777777" w:rsidR="00801DDE" w:rsidRDefault="00801DDE" w:rsidP="00801DDE">
            <w:pPr>
              <w:pStyle w:val="TableText"/>
            </w:pPr>
          </w:p>
        </w:tc>
      </w:tr>
      <w:tr w:rsidR="00801DDE" w:rsidRPr="00DC20BD" w14:paraId="4FA4E5B1" w14:textId="77777777" w:rsidTr="00D16502">
        <w:trPr>
          <w:cantSplit/>
        </w:trPr>
        <w:tc>
          <w:tcPr>
            <w:tcW w:w="1701" w:type="dxa"/>
            <w:tcBorders>
              <w:top w:val="nil"/>
              <w:bottom w:val="nil"/>
            </w:tcBorders>
          </w:tcPr>
          <w:p w14:paraId="1611B980" w14:textId="626A1FBD" w:rsidR="00801DDE" w:rsidRPr="00801DDE" w:rsidRDefault="00801DDE" w:rsidP="00801DDE">
            <w:pPr>
              <w:pStyle w:val="TableText"/>
              <w:rPr>
                <w:b/>
              </w:rPr>
            </w:pPr>
          </w:p>
        </w:tc>
        <w:tc>
          <w:tcPr>
            <w:tcW w:w="4678" w:type="dxa"/>
            <w:tcBorders>
              <w:top w:val="nil"/>
              <w:bottom w:val="nil"/>
            </w:tcBorders>
          </w:tcPr>
          <w:p w14:paraId="1AA54308" w14:textId="77777777" w:rsidR="00801DDE" w:rsidRPr="00801DDE" w:rsidRDefault="00801DDE" w:rsidP="00801DDE">
            <w:pPr>
              <w:pStyle w:val="TableText"/>
              <w:rPr>
                <w:b/>
                <w:szCs w:val="18"/>
              </w:rPr>
            </w:pPr>
            <w:r w:rsidRPr="00801DDE">
              <w:rPr>
                <w:b/>
                <w:szCs w:val="18"/>
              </w:rPr>
              <w:t>Communication</w:t>
            </w:r>
          </w:p>
          <w:p w14:paraId="41061122" w14:textId="4CC8C74C" w:rsidR="00801DDE" w:rsidRPr="00801DDE" w:rsidRDefault="00801DDE" w:rsidP="006E4065">
            <w:pPr>
              <w:pStyle w:val="TableText"/>
              <w:rPr>
                <w:szCs w:val="18"/>
              </w:rPr>
            </w:pPr>
            <w:r w:rsidRPr="00E05249">
              <w:rPr>
                <w:szCs w:val="18"/>
              </w:rPr>
              <w:t>Some people may require longer</w:t>
            </w:r>
            <w:r>
              <w:rPr>
                <w:szCs w:val="18"/>
              </w:rPr>
              <w:t>-</w:t>
            </w:r>
            <w:r w:rsidRPr="00E05249">
              <w:rPr>
                <w:szCs w:val="18"/>
              </w:rPr>
              <w:t>term follow</w:t>
            </w:r>
            <w:r>
              <w:rPr>
                <w:szCs w:val="18"/>
              </w:rPr>
              <w:t>-</w:t>
            </w:r>
            <w:r w:rsidRPr="00E05249">
              <w:rPr>
                <w:szCs w:val="18"/>
              </w:rPr>
              <w:t>up due to ongoing voice, speech, language and/or cognitive communication difficulties</w:t>
            </w:r>
            <w:r>
              <w:rPr>
                <w:szCs w:val="18"/>
              </w:rPr>
              <w:t>,</w:t>
            </w:r>
            <w:r w:rsidRPr="00E05249">
              <w:rPr>
                <w:szCs w:val="18"/>
              </w:rPr>
              <w:t xml:space="preserve"> </w:t>
            </w:r>
            <w:r>
              <w:rPr>
                <w:szCs w:val="18"/>
              </w:rPr>
              <w:t>and associated psychosocial impacts.</w:t>
            </w:r>
          </w:p>
        </w:tc>
        <w:tc>
          <w:tcPr>
            <w:tcW w:w="1701" w:type="dxa"/>
            <w:tcBorders>
              <w:top w:val="nil"/>
              <w:bottom w:val="nil"/>
            </w:tcBorders>
          </w:tcPr>
          <w:p w14:paraId="20CC1095" w14:textId="77777777" w:rsidR="00801DDE" w:rsidRDefault="00801DDE" w:rsidP="00801DDE">
            <w:pPr>
              <w:pStyle w:val="TableText"/>
            </w:pPr>
          </w:p>
        </w:tc>
      </w:tr>
      <w:tr w:rsidR="00801DDE" w:rsidRPr="00DC20BD" w14:paraId="07AFE632" w14:textId="77777777" w:rsidTr="00D16502">
        <w:trPr>
          <w:cantSplit/>
        </w:trPr>
        <w:tc>
          <w:tcPr>
            <w:tcW w:w="1701" w:type="dxa"/>
            <w:tcBorders>
              <w:top w:val="nil"/>
            </w:tcBorders>
          </w:tcPr>
          <w:p w14:paraId="66B2A0B8" w14:textId="1C50883A" w:rsidR="00801DDE" w:rsidRPr="00801DDE" w:rsidRDefault="00801DDE" w:rsidP="00801DDE">
            <w:pPr>
              <w:pStyle w:val="TableText"/>
              <w:rPr>
                <w:b/>
              </w:rPr>
            </w:pPr>
          </w:p>
        </w:tc>
        <w:tc>
          <w:tcPr>
            <w:tcW w:w="4678" w:type="dxa"/>
            <w:tcBorders>
              <w:top w:val="nil"/>
            </w:tcBorders>
          </w:tcPr>
          <w:p w14:paraId="042A87CC" w14:textId="77777777" w:rsidR="00801DDE" w:rsidRPr="00801DDE" w:rsidRDefault="00801DDE" w:rsidP="00801DDE">
            <w:pPr>
              <w:pStyle w:val="TableText"/>
              <w:rPr>
                <w:b/>
                <w:szCs w:val="18"/>
              </w:rPr>
            </w:pPr>
            <w:r w:rsidRPr="00801DDE">
              <w:rPr>
                <w:b/>
                <w:szCs w:val="18"/>
              </w:rPr>
              <w:t>Mental health/psychosocial</w:t>
            </w:r>
          </w:p>
          <w:p w14:paraId="6DCCAD0D" w14:textId="47625C1B" w:rsidR="00801DDE" w:rsidRPr="00801DDE" w:rsidRDefault="00801DDE" w:rsidP="006E4065">
            <w:pPr>
              <w:pStyle w:val="TableText"/>
              <w:rPr>
                <w:szCs w:val="18"/>
              </w:rPr>
            </w:pPr>
            <w:r>
              <w:rPr>
                <w:szCs w:val="18"/>
              </w:rPr>
              <w:t>Health professionals should consider c</w:t>
            </w:r>
            <w:r w:rsidRPr="00E05249">
              <w:rPr>
                <w:szCs w:val="18"/>
              </w:rPr>
              <w:t xml:space="preserve">ontinued support for </w:t>
            </w:r>
            <w:r>
              <w:rPr>
                <w:szCs w:val="18"/>
              </w:rPr>
              <w:t xml:space="preserve">people’s </w:t>
            </w:r>
            <w:r w:rsidRPr="00E05249">
              <w:rPr>
                <w:szCs w:val="18"/>
              </w:rPr>
              <w:t xml:space="preserve">reintegration into </w:t>
            </w:r>
            <w:r>
              <w:rPr>
                <w:szCs w:val="18"/>
              </w:rPr>
              <w:t xml:space="preserve">their </w:t>
            </w:r>
            <w:r w:rsidRPr="00E05249">
              <w:rPr>
                <w:szCs w:val="18"/>
              </w:rPr>
              <w:t>roles with</w:t>
            </w:r>
            <w:r>
              <w:rPr>
                <w:szCs w:val="18"/>
              </w:rPr>
              <w:t>in</w:t>
            </w:r>
            <w:r w:rsidRPr="00E05249">
              <w:rPr>
                <w:szCs w:val="18"/>
              </w:rPr>
              <w:t xml:space="preserve"> </w:t>
            </w:r>
            <w:r>
              <w:rPr>
                <w:szCs w:val="18"/>
              </w:rPr>
              <w:t xml:space="preserve">their </w:t>
            </w:r>
            <w:proofErr w:type="spellStart"/>
            <w:r w:rsidRPr="00E05249">
              <w:rPr>
                <w:szCs w:val="18"/>
              </w:rPr>
              <w:t>wh</w:t>
            </w:r>
            <w:r w:rsidRPr="00E05249">
              <w:rPr>
                <w:rFonts w:cstheme="minorHAnsi"/>
                <w:szCs w:val="18"/>
              </w:rPr>
              <w:t>ā</w:t>
            </w:r>
            <w:r w:rsidRPr="00E05249">
              <w:rPr>
                <w:szCs w:val="18"/>
              </w:rPr>
              <w:t>nau</w:t>
            </w:r>
            <w:proofErr w:type="spellEnd"/>
            <w:r>
              <w:rPr>
                <w:szCs w:val="18"/>
              </w:rPr>
              <w:t>,</w:t>
            </w:r>
            <w:r w:rsidRPr="00E05249">
              <w:rPr>
                <w:szCs w:val="18"/>
              </w:rPr>
              <w:t xml:space="preserve"> homes and communities</w:t>
            </w:r>
            <w:r>
              <w:rPr>
                <w:szCs w:val="18"/>
              </w:rPr>
              <w:t>.</w:t>
            </w:r>
          </w:p>
        </w:tc>
        <w:tc>
          <w:tcPr>
            <w:tcW w:w="1701" w:type="dxa"/>
            <w:tcBorders>
              <w:top w:val="nil"/>
            </w:tcBorders>
          </w:tcPr>
          <w:p w14:paraId="6017AF60" w14:textId="77777777" w:rsidR="00801DDE" w:rsidRDefault="00801DDE" w:rsidP="00801DDE">
            <w:pPr>
              <w:pStyle w:val="TableText"/>
            </w:pPr>
          </w:p>
        </w:tc>
      </w:tr>
      <w:tr w:rsidR="008B7D3C" w:rsidRPr="00DC20BD" w14:paraId="72104C2A" w14:textId="77777777" w:rsidTr="006E4065">
        <w:trPr>
          <w:cantSplit/>
        </w:trPr>
        <w:tc>
          <w:tcPr>
            <w:tcW w:w="1701" w:type="dxa"/>
          </w:tcPr>
          <w:p w14:paraId="42648A9A" w14:textId="46BE8FC3" w:rsidR="008B7D3C" w:rsidRPr="00603882" w:rsidRDefault="008B7D3C" w:rsidP="00D16502">
            <w:pPr>
              <w:pStyle w:val="TableText"/>
              <w:rPr>
                <w:rFonts w:eastAsia="Lucida Sans Unicode"/>
              </w:rPr>
            </w:pPr>
            <w:r w:rsidRPr="00801DDE">
              <w:rPr>
                <w:b/>
              </w:rPr>
              <w:lastRenderedPageBreak/>
              <w:t>Long term</w:t>
            </w:r>
            <w:r w:rsidR="00D16502">
              <w:rPr>
                <w:b/>
              </w:rPr>
              <w:br/>
            </w:r>
            <w:r w:rsidR="00801DDE">
              <w:t>(continued)</w:t>
            </w:r>
          </w:p>
        </w:tc>
        <w:tc>
          <w:tcPr>
            <w:tcW w:w="4678" w:type="dxa"/>
          </w:tcPr>
          <w:p w14:paraId="71045116" w14:textId="77777777" w:rsidR="002F6FBA" w:rsidRPr="00801DDE" w:rsidRDefault="008B7D3C" w:rsidP="006E4065">
            <w:pPr>
              <w:pStyle w:val="TableText"/>
              <w:rPr>
                <w:rFonts w:cstheme="minorHAnsi"/>
                <w:b/>
                <w:color w:val="000000"/>
                <w:szCs w:val="18"/>
              </w:rPr>
            </w:pPr>
            <w:r w:rsidRPr="00801DDE">
              <w:rPr>
                <w:rFonts w:cstheme="minorHAnsi"/>
                <w:b/>
                <w:color w:val="000000"/>
                <w:szCs w:val="18"/>
              </w:rPr>
              <w:t>Occupational participation</w:t>
            </w:r>
          </w:p>
          <w:p w14:paraId="5F89565A" w14:textId="0127DADF" w:rsidR="008B7D3C" w:rsidRPr="00E05249" w:rsidRDefault="008B7D3C" w:rsidP="006E4065">
            <w:pPr>
              <w:pStyle w:val="TableText"/>
              <w:rPr>
                <w:szCs w:val="18"/>
              </w:rPr>
            </w:pPr>
            <w:r w:rsidRPr="002F6FBA">
              <w:rPr>
                <w:rFonts w:cstheme="minorHAnsi"/>
                <w:color w:val="000000"/>
                <w:szCs w:val="18"/>
              </w:rPr>
              <w:t>People and their family/</w:t>
            </w:r>
            <w:proofErr w:type="spellStart"/>
            <w:r w:rsidRPr="002F6FBA">
              <w:rPr>
                <w:rFonts w:cstheme="minorHAnsi"/>
                <w:color w:val="000000"/>
                <w:szCs w:val="18"/>
              </w:rPr>
              <w:t>wh</w:t>
            </w:r>
            <w:r w:rsidRPr="002F6FBA">
              <w:rPr>
                <w:rFonts w:cs="Segoe UI"/>
                <w:color w:val="000000"/>
                <w:szCs w:val="18"/>
              </w:rPr>
              <w:t>ā</w:t>
            </w:r>
            <w:r w:rsidRPr="002F6FBA">
              <w:rPr>
                <w:rFonts w:cstheme="minorHAnsi"/>
                <w:color w:val="000000"/>
                <w:szCs w:val="18"/>
              </w:rPr>
              <w:t>nau</w:t>
            </w:r>
            <w:proofErr w:type="spellEnd"/>
            <w:r w:rsidRPr="002F6FBA">
              <w:rPr>
                <w:rFonts w:cstheme="minorHAnsi"/>
                <w:color w:val="000000"/>
                <w:szCs w:val="18"/>
              </w:rPr>
              <w:t xml:space="preserve"> may require support at home, such as </w:t>
            </w:r>
            <w:r w:rsidRPr="00E05249">
              <w:rPr>
                <w:rFonts w:cstheme="minorHAnsi"/>
                <w:szCs w:val="18"/>
              </w:rPr>
              <w:t xml:space="preserve">such as specialist equipment, housing modifications, assistive devices and </w:t>
            </w:r>
            <w:r>
              <w:rPr>
                <w:rFonts w:cstheme="minorHAnsi"/>
                <w:szCs w:val="18"/>
              </w:rPr>
              <w:t xml:space="preserve">fatigue and </w:t>
            </w:r>
            <w:r w:rsidRPr="00E05249">
              <w:rPr>
                <w:rFonts w:cstheme="minorHAnsi"/>
                <w:szCs w:val="18"/>
              </w:rPr>
              <w:t>energy conservation</w:t>
            </w:r>
            <w:r>
              <w:rPr>
                <w:rFonts w:cstheme="minorHAnsi"/>
                <w:szCs w:val="18"/>
              </w:rPr>
              <w:t xml:space="preserve"> management</w:t>
            </w:r>
            <w:r w:rsidRPr="00E05249">
              <w:rPr>
                <w:rFonts w:cstheme="minorHAnsi"/>
                <w:szCs w:val="18"/>
              </w:rPr>
              <w:t xml:space="preserve">, </w:t>
            </w:r>
            <w:r>
              <w:rPr>
                <w:rFonts w:cstheme="minorHAnsi"/>
                <w:szCs w:val="18"/>
              </w:rPr>
              <w:t xml:space="preserve">to </w:t>
            </w:r>
            <w:r w:rsidRPr="00E05249">
              <w:rPr>
                <w:rFonts w:cstheme="minorHAnsi"/>
                <w:szCs w:val="18"/>
              </w:rPr>
              <w:t xml:space="preserve">encourage functional independence or interdependence with family. People may require extra support to return to their workplace. </w:t>
            </w:r>
            <w:r w:rsidRPr="00525C1C">
              <w:rPr>
                <w:rFonts w:cstheme="minorHAnsi"/>
                <w:szCs w:val="18"/>
              </w:rPr>
              <w:t xml:space="preserve">Rehabilitation may include management of </w:t>
            </w:r>
            <w:r>
              <w:rPr>
                <w:rFonts w:cstheme="minorHAnsi"/>
                <w:szCs w:val="18"/>
              </w:rPr>
              <w:t xml:space="preserve">the </w:t>
            </w:r>
            <w:r w:rsidRPr="00525C1C">
              <w:rPr>
                <w:rFonts w:cstheme="minorHAnsi"/>
                <w:szCs w:val="18"/>
              </w:rPr>
              <w:t xml:space="preserve">activities of daily living, </w:t>
            </w:r>
            <w:r>
              <w:rPr>
                <w:rFonts w:cstheme="minorHAnsi"/>
                <w:szCs w:val="18"/>
              </w:rPr>
              <w:t xml:space="preserve">to </w:t>
            </w:r>
            <w:r w:rsidRPr="00525C1C">
              <w:rPr>
                <w:rFonts w:cstheme="minorHAnsi"/>
                <w:szCs w:val="18"/>
              </w:rPr>
              <w:t>encourage functional independence and/or enabling family to support the person</w:t>
            </w:r>
            <w:r>
              <w:rPr>
                <w:rFonts w:cstheme="minorHAnsi"/>
                <w:szCs w:val="18"/>
              </w:rPr>
              <w:t>,</w:t>
            </w:r>
            <w:r w:rsidRPr="00525C1C">
              <w:rPr>
                <w:rFonts w:cstheme="minorHAnsi"/>
                <w:szCs w:val="18"/>
              </w:rPr>
              <w:t xml:space="preserve"> as well as health literacy and self-advocacy. Potential loss of function o</w:t>
            </w:r>
            <w:r>
              <w:rPr>
                <w:rFonts w:cstheme="minorHAnsi"/>
                <w:szCs w:val="18"/>
              </w:rPr>
              <w:t>r</w:t>
            </w:r>
            <w:r w:rsidRPr="00525C1C">
              <w:rPr>
                <w:rFonts w:cstheme="minorHAnsi"/>
                <w:szCs w:val="18"/>
              </w:rPr>
              <w:t xml:space="preserve"> </w:t>
            </w:r>
            <w:r>
              <w:rPr>
                <w:rFonts w:cstheme="minorHAnsi"/>
                <w:szCs w:val="18"/>
              </w:rPr>
              <w:t>dis</w:t>
            </w:r>
            <w:r w:rsidRPr="00525C1C">
              <w:rPr>
                <w:rFonts w:cstheme="minorHAnsi"/>
                <w:szCs w:val="18"/>
              </w:rPr>
              <w:t xml:space="preserve">engagement in daily life, </w:t>
            </w:r>
            <w:r>
              <w:rPr>
                <w:rFonts w:cstheme="minorHAnsi"/>
                <w:szCs w:val="18"/>
              </w:rPr>
              <w:t xml:space="preserve">may, </w:t>
            </w:r>
            <w:r w:rsidRPr="00525C1C">
              <w:rPr>
                <w:rFonts w:cstheme="minorHAnsi"/>
                <w:szCs w:val="18"/>
              </w:rPr>
              <w:t xml:space="preserve">in turn, </w:t>
            </w:r>
            <w:r>
              <w:rPr>
                <w:rFonts w:cstheme="minorHAnsi"/>
                <w:szCs w:val="18"/>
              </w:rPr>
              <w:t xml:space="preserve">affect </w:t>
            </w:r>
            <w:r w:rsidRPr="00525C1C">
              <w:rPr>
                <w:rFonts w:cstheme="minorHAnsi"/>
                <w:szCs w:val="18"/>
              </w:rPr>
              <w:t xml:space="preserve">psychological wellbeing, which </w:t>
            </w:r>
            <w:r>
              <w:rPr>
                <w:rFonts w:cstheme="minorHAnsi"/>
                <w:szCs w:val="18"/>
              </w:rPr>
              <w:t>affects self-</w:t>
            </w:r>
            <w:r w:rsidRPr="00525C1C">
              <w:rPr>
                <w:rFonts w:cstheme="minorHAnsi"/>
                <w:szCs w:val="18"/>
              </w:rPr>
              <w:t>identity.</w:t>
            </w:r>
          </w:p>
        </w:tc>
        <w:tc>
          <w:tcPr>
            <w:tcW w:w="1701" w:type="dxa"/>
          </w:tcPr>
          <w:p w14:paraId="32C2B115" w14:textId="77777777" w:rsidR="008B7D3C" w:rsidRDefault="008B7D3C" w:rsidP="00801DDE">
            <w:pPr>
              <w:pStyle w:val="TableText"/>
            </w:pPr>
          </w:p>
        </w:tc>
      </w:tr>
    </w:tbl>
    <w:p w14:paraId="198387AF" w14:textId="77777777" w:rsidR="008B7D3C" w:rsidRDefault="008B7D3C" w:rsidP="008B7D3C"/>
    <w:p w14:paraId="321A62AF" w14:textId="237465BB" w:rsidR="002F6FBA" w:rsidRDefault="008B7D3C" w:rsidP="00801DDE">
      <w:pPr>
        <w:pStyle w:val="Heading3"/>
      </w:pPr>
      <w:r>
        <w:t xml:space="preserve">Long-term community rehabilitation for people recovering from </w:t>
      </w:r>
      <w:r w:rsidR="002F6FBA">
        <w:t>COVID</w:t>
      </w:r>
      <w:r w:rsidR="002F6FBA">
        <w:noBreakHyphen/>
        <w:t>19</w:t>
      </w:r>
    </w:p>
    <w:p w14:paraId="32BEBDDD" w14:textId="77777777" w:rsidR="002F6FBA" w:rsidRDefault="008B7D3C" w:rsidP="00801DDE">
      <w:r>
        <w:t xml:space="preserve">The long-term physiological and psychosocial effects of </w:t>
      </w:r>
      <w:r w:rsidR="002F6FBA">
        <w:t>COVID</w:t>
      </w:r>
      <w:r w:rsidR="002F6FBA">
        <w:noBreakHyphen/>
        <w:t>19</w:t>
      </w:r>
      <w:r>
        <w:t xml:space="preserve"> are still emerging. Recovery from infection may require rehabilitation for extended periods of time. The long-term effects of intensive care unit and hospital stays are known, and those working in the allied health, scientific and technical sector are experienced and well placed to provide appropriate evidence-based interventions. People who have had mild symptoms during the acute phase of </w:t>
      </w:r>
      <w:r w:rsidR="002F6FBA">
        <w:t>COVID</w:t>
      </w:r>
      <w:r w:rsidR="002F6FBA">
        <w:noBreakHyphen/>
        <w:t>19</w:t>
      </w:r>
      <w:r>
        <w:t xml:space="preserve"> may still develop long-term effects, and health professionals should advise people to access support resources via Health Navigator online, Healthline or face to face at a health care provider to access appropriate supports for their identified needs. Individuals can self-refer to certain health professionals and should look for local providers.</w:t>
      </w:r>
    </w:p>
    <w:p w14:paraId="3370DEC5" w14:textId="3948A3C0" w:rsidR="008B7D3C" w:rsidRDefault="008B7D3C" w:rsidP="00801DDE"/>
    <w:p w14:paraId="0C1EFE4A" w14:textId="7229CC28" w:rsidR="008B7D3C" w:rsidRDefault="002F6FBA" w:rsidP="00801DDE">
      <w:r>
        <w:t>COVID</w:t>
      </w:r>
      <w:r>
        <w:noBreakHyphen/>
        <w:t>19</w:t>
      </w:r>
      <w:r w:rsidR="008B7D3C">
        <w:t xml:space="preserve"> may affect people and communities who are already more likely to have poorer health outcomes due to social determinants of health and socioeconomic status. Poor access to rehabilitation following </w:t>
      </w:r>
      <w:r>
        <w:t>COVID</w:t>
      </w:r>
      <w:r>
        <w:noBreakHyphen/>
        <w:t>19</w:t>
      </w:r>
      <w:r w:rsidR="008B7D3C">
        <w:t xml:space="preserve"> may increase this inequity.</w:t>
      </w:r>
      <w:r w:rsidR="008B7D3C" w:rsidRPr="005E25E9">
        <w:t xml:space="preserve"> </w:t>
      </w:r>
      <w:r w:rsidR="008B7D3C">
        <w:t xml:space="preserve">The health system should strive to work in partnership with priority communities to address the longer-term physiological, </w:t>
      </w:r>
      <w:proofErr w:type="gramStart"/>
      <w:r w:rsidR="008B7D3C">
        <w:t>psychosocial</w:t>
      </w:r>
      <w:proofErr w:type="gramEnd"/>
      <w:r w:rsidR="008B7D3C">
        <w:t xml:space="preserve"> and social effects of </w:t>
      </w:r>
      <w:r>
        <w:t>COVID</w:t>
      </w:r>
      <w:r>
        <w:noBreakHyphen/>
        <w:t>19</w:t>
      </w:r>
      <w:r w:rsidR="008B7D3C">
        <w:t xml:space="preserve"> and reduce inequity.</w:t>
      </w:r>
    </w:p>
    <w:p w14:paraId="1C0E24BE" w14:textId="77777777" w:rsidR="008B7D3C" w:rsidRDefault="008B7D3C" w:rsidP="00801DDE"/>
    <w:p w14:paraId="78FD0483" w14:textId="77777777" w:rsidR="002F6FBA" w:rsidRDefault="008B7D3C" w:rsidP="00801DDE">
      <w:r>
        <w:t>Sustained community-based access to rehabilitation professionals is required to support people to remain at home and optimise their independence and functioning. Prioritisation of early intervention based on relationship-building and frequent contact is essential. Telehealth can assist people who live a distance from their provider to access rehabilitation support.</w:t>
      </w:r>
    </w:p>
    <w:p w14:paraId="436F7C51" w14:textId="77777777" w:rsidR="00801DDE" w:rsidRDefault="00801DDE" w:rsidP="00801DDE"/>
    <w:p w14:paraId="6A67D35E" w14:textId="5A869B34" w:rsidR="008B7D3C" w:rsidRDefault="008B7D3C" w:rsidP="00801DDE">
      <w:pPr>
        <w:pStyle w:val="Heading3"/>
      </w:pPr>
      <w:r>
        <w:lastRenderedPageBreak/>
        <w:t xml:space="preserve">Wider implications of </w:t>
      </w:r>
      <w:r w:rsidR="002F6FBA">
        <w:t>COVID</w:t>
      </w:r>
      <w:r w:rsidR="002F6FBA">
        <w:noBreakHyphen/>
        <w:t>19</w:t>
      </w:r>
      <w:r>
        <w:t xml:space="preserve"> on communities</w:t>
      </w:r>
    </w:p>
    <w:p w14:paraId="2C24A48D" w14:textId="40DC856C" w:rsidR="008B7D3C" w:rsidRDefault="008B7D3C" w:rsidP="00801DDE">
      <w:pPr>
        <w:keepNext/>
        <w:keepLines/>
      </w:pPr>
      <w:r>
        <w:t xml:space="preserve">The wider implications of </w:t>
      </w:r>
      <w:r w:rsidR="002F6FBA">
        <w:t>COVID</w:t>
      </w:r>
      <w:r w:rsidR="002F6FBA">
        <w:noBreakHyphen/>
        <w:t>19</w:t>
      </w:r>
      <w:r>
        <w:t xml:space="preserve"> in Aotearoa New Zealand are unknown. The impact of lockdown on New Zealanders</w:t>
      </w:r>
      <w:r w:rsidR="002F6FBA">
        <w:t>’</w:t>
      </w:r>
      <w:r>
        <w:t xml:space="preserve"> health and wellbeing due to limited access to health services, social isolation, occupational </w:t>
      </w:r>
      <w:proofErr w:type="gramStart"/>
      <w:r>
        <w:t>disruption</w:t>
      </w:r>
      <w:proofErr w:type="gramEnd"/>
      <w:r>
        <w:t xml:space="preserve"> and negative economic situations is also unknown, but is likely to have been significant. These impacts have potential to increase pressure on the health system into the future. A consistent approach of personalised service provision should aim to empower New Zealanders to collaborate in their recovery and facilitate improved community resilience. An increase in demand for health services will require the health system to change to meet the demand. This may include better use of the health workforce.</w:t>
      </w:r>
    </w:p>
    <w:p w14:paraId="14C9822D" w14:textId="77777777" w:rsidR="008B7D3C" w:rsidRDefault="008B7D3C" w:rsidP="00801DDE"/>
    <w:p w14:paraId="1193C0BB" w14:textId="253FF4C2" w:rsidR="008B7D3C" w:rsidRPr="008E1C80" w:rsidRDefault="008B7D3C" w:rsidP="00801DDE">
      <w:r>
        <w:t>The breadth of the professions in the allied health sector must focus on the population</w:t>
      </w:r>
      <w:r w:rsidR="002F6FBA">
        <w:t>’</w:t>
      </w:r>
      <w:r>
        <w:t>s health and wellbeing, to ensure that rehabilitation is appropriate to all New Zealanders</w:t>
      </w:r>
      <w:r w:rsidR="002F6FBA">
        <w:t>’</w:t>
      </w:r>
      <w:r>
        <w:t xml:space="preserve"> needs. Interdisciplinary working using all the health workforce in a range of settings, including primary, community, marae, church, </w:t>
      </w:r>
      <w:proofErr w:type="gramStart"/>
      <w:r>
        <w:t>workplace</w:t>
      </w:r>
      <w:proofErr w:type="gramEnd"/>
      <w:r>
        <w:t xml:space="preserve"> and leisure settings, will benefit the health system and all New Zealanders. The provision of a sufficiently agile and robust workforce is paramount in securing care to New Zealand communities at all levels of need.</w:t>
      </w:r>
    </w:p>
    <w:p w14:paraId="493032E9" w14:textId="77777777" w:rsidR="008B7D3C" w:rsidRDefault="008B7D3C" w:rsidP="00801DDE"/>
    <w:p w14:paraId="591DE63E" w14:textId="5990291A" w:rsidR="008B7D3C" w:rsidRPr="00CF60ED" w:rsidRDefault="008B7D3C" w:rsidP="004E2F43">
      <w:pPr>
        <w:pStyle w:val="Heading1"/>
        <w:keepNext w:val="0"/>
        <w:pageBreakBefore/>
      </w:pPr>
      <w:bookmarkStart w:id="27" w:name="_Toc102738303"/>
      <w:bookmarkStart w:id="28" w:name="_Toc107483169"/>
      <w:r w:rsidRPr="00CF60ED">
        <w:lastRenderedPageBreak/>
        <w:t>References</w:t>
      </w:r>
      <w:bookmarkEnd w:id="27"/>
      <w:bookmarkEnd w:id="28"/>
    </w:p>
    <w:p w14:paraId="5FA8D842" w14:textId="4A0378EC" w:rsidR="008B7D3C" w:rsidRPr="00FD3846" w:rsidRDefault="008B7D3C" w:rsidP="004E2F43">
      <w:pPr>
        <w:pStyle w:val="References"/>
      </w:pPr>
      <w:r w:rsidRPr="003D0B87">
        <w:t>Antoniou</w:t>
      </w:r>
      <w:r>
        <w:t xml:space="preserve"> KM</w:t>
      </w:r>
      <w:r w:rsidRPr="003D0B87">
        <w:t xml:space="preserve">, </w:t>
      </w:r>
      <w:proofErr w:type="spellStart"/>
      <w:r w:rsidRPr="003D0B87">
        <w:t>Vasarmidi</w:t>
      </w:r>
      <w:proofErr w:type="spellEnd"/>
      <w:r>
        <w:t xml:space="preserve"> E</w:t>
      </w:r>
      <w:r w:rsidRPr="003D0B87">
        <w:t>, Russell</w:t>
      </w:r>
      <w:r>
        <w:t xml:space="preserve"> A</w:t>
      </w:r>
      <w:r w:rsidRPr="003D0B87">
        <w:t xml:space="preserve">, </w:t>
      </w:r>
      <w:r>
        <w:t>et al.</w:t>
      </w:r>
      <w:r w:rsidRPr="00DA5AAB">
        <w:t xml:space="preserve"> </w:t>
      </w:r>
      <w:r>
        <w:t xml:space="preserve">2022. </w:t>
      </w:r>
      <w:r w:rsidRPr="00DA5AAB">
        <w:t>European Respiratory Society</w:t>
      </w:r>
      <w:r w:rsidRPr="00FD3846">
        <w:t xml:space="preserve"> Statement on Long </w:t>
      </w:r>
      <w:r w:rsidR="002F6FBA">
        <w:t>COVID</w:t>
      </w:r>
      <w:r w:rsidR="002F6FBA">
        <w:noBreakHyphen/>
        <w:t>19</w:t>
      </w:r>
      <w:r w:rsidRPr="00FD3846">
        <w:t xml:space="preserve"> Follow-Up.</w:t>
      </w:r>
      <w:r w:rsidRPr="001C3B35">
        <w:t xml:space="preserve"> </w:t>
      </w:r>
      <w:r w:rsidRPr="00DA5AAB">
        <w:rPr>
          <w:i/>
          <w:iCs/>
        </w:rPr>
        <w:t>European Respiratory Journal</w:t>
      </w:r>
      <w:r>
        <w:t xml:space="preserve"> 59(6) URL: </w:t>
      </w:r>
      <w:hyperlink r:id="rId25" w:history="1">
        <w:r w:rsidRPr="003D0B87">
          <w:rPr>
            <w:rStyle w:val="Hyperlink"/>
          </w:rPr>
          <w:t>https://erj.ersjournals.com/content/early/2022/02/03/13993003.02174-2021.abstract</w:t>
        </w:r>
      </w:hyperlink>
      <w:r>
        <w:t xml:space="preserve"> (accessed 24 June 2022).</w:t>
      </w:r>
    </w:p>
    <w:p w14:paraId="411E3B37" w14:textId="5852E9E0" w:rsidR="008B7D3C" w:rsidRDefault="008B7D3C" w:rsidP="004E2F43">
      <w:pPr>
        <w:pStyle w:val="References"/>
      </w:pPr>
      <w:r>
        <w:t xml:space="preserve">Australian Psychological Society. 2020. Psychological services via telehealth: Information for consumers. URL: </w:t>
      </w:r>
      <w:hyperlink r:id="rId26" w:history="1">
        <w:r w:rsidRPr="00D47463">
          <w:rPr>
            <w:rStyle w:val="Hyperlink"/>
          </w:rPr>
          <w:t>https://psychology.org.au/getmedia/0c1ece8a-7fce-4d0f-ad44-833ed9dba71a/20aps-is-</w:t>
        </w:r>
        <w:r w:rsidR="002F6FBA">
          <w:rPr>
            <w:rStyle w:val="Hyperlink"/>
          </w:rPr>
          <w:t>COVID</w:t>
        </w:r>
        <w:r w:rsidR="002F6FBA">
          <w:rPr>
            <w:rStyle w:val="Hyperlink"/>
          </w:rPr>
          <w:noBreakHyphen/>
          <w:t>19</w:t>
        </w:r>
        <w:r w:rsidRPr="00D47463">
          <w:rPr>
            <w:rStyle w:val="Hyperlink"/>
          </w:rPr>
          <w:t>-public-telehealth-p2_1.pdf</w:t>
        </w:r>
      </w:hyperlink>
      <w:r>
        <w:t xml:space="preserve"> (accessed 27 June 2022).</w:t>
      </w:r>
    </w:p>
    <w:p w14:paraId="08579150" w14:textId="45E08BEC" w:rsidR="008B7D3C" w:rsidRDefault="008B7D3C" w:rsidP="004E2F43">
      <w:pPr>
        <w:pStyle w:val="References"/>
      </w:pPr>
      <w:proofErr w:type="spellStart"/>
      <w:r>
        <w:t>Bettger</w:t>
      </w:r>
      <w:proofErr w:type="spellEnd"/>
      <w:r>
        <w:t xml:space="preserve"> JP, </w:t>
      </w:r>
      <w:proofErr w:type="spellStart"/>
      <w:r>
        <w:t>Thoumi</w:t>
      </w:r>
      <w:proofErr w:type="spellEnd"/>
      <w:r>
        <w:t xml:space="preserve"> A, </w:t>
      </w:r>
      <w:proofErr w:type="spellStart"/>
      <w:r>
        <w:t>Marquevich</w:t>
      </w:r>
      <w:proofErr w:type="spellEnd"/>
      <w:r>
        <w:t xml:space="preserve"> V, et al. 2020. </w:t>
      </w:r>
      <w:r w:rsidR="002F6FBA">
        <w:t>COVID</w:t>
      </w:r>
      <w:r w:rsidR="002F6FBA">
        <w:noBreakHyphen/>
        <w:t>19</w:t>
      </w:r>
      <w:r w:rsidRPr="00BE5B50">
        <w:t>: maintaining essential</w:t>
      </w:r>
      <w:r>
        <w:t xml:space="preserve"> </w:t>
      </w:r>
      <w:r w:rsidRPr="00BE5B50">
        <w:t>rehabilitation services across the</w:t>
      </w:r>
      <w:r>
        <w:t xml:space="preserve"> </w:t>
      </w:r>
      <w:r w:rsidRPr="00BE5B50">
        <w:t>care continuum</w:t>
      </w:r>
      <w:r>
        <w:t xml:space="preserve">. </w:t>
      </w:r>
      <w:r w:rsidRPr="00CD117F">
        <w:rPr>
          <w:i/>
          <w:iCs/>
        </w:rPr>
        <w:t>BMJ Global Health</w:t>
      </w:r>
      <w:r>
        <w:t xml:space="preserve"> 5(5): </w:t>
      </w:r>
      <w:r w:rsidRPr="0010751D">
        <w:t>e002670.</w:t>
      </w:r>
    </w:p>
    <w:p w14:paraId="7F4685F5" w14:textId="77777777" w:rsidR="008B7D3C" w:rsidRDefault="008B7D3C" w:rsidP="004E2F43">
      <w:pPr>
        <w:pStyle w:val="References"/>
        <w:rPr>
          <w:color w:val="292526"/>
        </w:rPr>
      </w:pPr>
      <w:r>
        <w:rPr>
          <w:color w:val="292526"/>
        </w:rPr>
        <w:t xml:space="preserve">Bott J, Blumenthal S, Buxton M, et al. 2020. </w:t>
      </w:r>
      <w:r w:rsidRPr="00C90F4A">
        <w:rPr>
          <w:color w:val="292526"/>
        </w:rPr>
        <w:t>Guidelines for the</w:t>
      </w:r>
      <w:r w:rsidRPr="007F67EF">
        <w:rPr>
          <w:color w:val="292526"/>
        </w:rPr>
        <w:t xml:space="preserve"> physiotherapy</w:t>
      </w:r>
      <w:r>
        <w:rPr>
          <w:color w:val="292526"/>
        </w:rPr>
        <w:t xml:space="preserve"> </w:t>
      </w:r>
      <w:r w:rsidRPr="007F67EF">
        <w:rPr>
          <w:color w:val="292526"/>
        </w:rPr>
        <w:t>management of the adult, medical,</w:t>
      </w:r>
      <w:r>
        <w:rPr>
          <w:color w:val="292526"/>
        </w:rPr>
        <w:t xml:space="preserve"> </w:t>
      </w:r>
      <w:r w:rsidRPr="007F67EF">
        <w:rPr>
          <w:color w:val="292526"/>
        </w:rPr>
        <w:t>spontaneously breathing patient</w:t>
      </w:r>
      <w:r>
        <w:rPr>
          <w:color w:val="292526"/>
        </w:rPr>
        <w:t xml:space="preserve">. </w:t>
      </w:r>
      <w:r w:rsidRPr="00C90F4A">
        <w:rPr>
          <w:i/>
          <w:iCs/>
          <w:color w:val="292526"/>
        </w:rPr>
        <w:t>Thorax</w:t>
      </w:r>
      <w:r>
        <w:rPr>
          <w:color w:val="292526"/>
        </w:rPr>
        <w:t xml:space="preserve"> 64: </w:t>
      </w:r>
      <w:r w:rsidRPr="00C90F4A">
        <w:rPr>
          <w:color w:val="292526"/>
        </w:rPr>
        <w:t>i1</w:t>
      </w:r>
      <w:r>
        <w:t>–</w:t>
      </w:r>
      <w:r w:rsidRPr="00C90F4A">
        <w:rPr>
          <w:color w:val="292526"/>
        </w:rPr>
        <w:t>i52</w:t>
      </w:r>
      <w:r>
        <w:rPr>
          <w:color w:val="292526"/>
        </w:rPr>
        <w:t>.</w:t>
      </w:r>
    </w:p>
    <w:p w14:paraId="14B5C3D6" w14:textId="77777777" w:rsidR="008B7D3C" w:rsidRDefault="008B7D3C" w:rsidP="004E2F43">
      <w:pPr>
        <w:pStyle w:val="References"/>
      </w:pPr>
      <w:r>
        <w:t>British Psychological Society. (</w:t>
      </w:r>
      <w:proofErr w:type="spellStart"/>
      <w:r>
        <w:t>nd</w:t>
      </w:r>
      <w:proofErr w:type="spellEnd"/>
      <w:r>
        <w:t xml:space="preserve">). Coronavirus resources. URL: </w:t>
      </w:r>
      <w:hyperlink r:id="rId27" w:history="1">
        <w:r w:rsidRPr="002107CD">
          <w:rPr>
            <w:rStyle w:val="Hyperlink"/>
          </w:rPr>
          <w:t>https://www.bps.org.uk/coronavirus-resources</w:t>
        </w:r>
      </w:hyperlink>
      <w:r>
        <w:rPr>
          <w:rStyle w:val="Hyperlink"/>
        </w:rPr>
        <w:t xml:space="preserve"> </w:t>
      </w:r>
      <w:r>
        <w:t>(accessed 24 June 2022).</w:t>
      </w:r>
    </w:p>
    <w:p w14:paraId="0F160F99" w14:textId="6AE65383" w:rsidR="008B7D3C" w:rsidRDefault="008B7D3C" w:rsidP="004E2F43">
      <w:pPr>
        <w:pStyle w:val="References"/>
      </w:pPr>
      <w:r>
        <w:t xml:space="preserve">British Society of Rehabilitation Medicine. 2020. Rehabilitation in the wake of </w:t>
      </w:r>
      <w:r w:rsidR="002F6FBA">
        <w:t>COVID</w:t>
      </w:r>
      <w:r w:rsidR="002F6FBA">
        <w:noBreakHyphen/>
        <w:t>19</w:t>
      </w:r>
      <w:r>
        <w:t xml:space="preserve"> – A phoenix from the ashes. URL: </w:t>
      </w:r>
      <w:hyperlink r:id="rId28" w:history="1">
        <w:r w:rsidRPr="00D47463">
          <w:rPr>
            <w:rStyle w:val="Hyperlink"/>
          </w:rPr>
          <w:t>https://www.bsrm.org.uk/downloads/</w:t>
        </w:r>
        <w:r w:rsidR="002F6FBA">
          <w:rPr>
            <w:rStyle w:val="Hyperlink"/>
          </w:rPr>
          <w:t>COVID</w:t>
        </w:r>
        <w:r w:rsidR="002F6FBA">
          <w:rPr>
            <w:rStyle w:val="Hyperlink"/>
          </w:rPr>
          <w:noBreakHyphen/>
          <w:t>19</w:t>
        </w:r>
        <w:r w:rsidRPr="00D47463">
          <w:rPr>
            <w:rStyle w:val="Hyperlink"/>
          </w:rPr>
          <w:t>bsrmissue1-published-27-4-2020.pdf</w:t>
        </w:r>
      </w:hyperlink>
      <w:r>
        <w:t xml:space="preserve"> (accessed 27 June 2022).</w:t>
      </w:r>
    </w:p>
    <w:p w14:paraId="14D52368" w14:textId="04C133DE" w:rsidR="008B7D3C" w:rsidRDefault="008B7D3C" w:rsidP="004E2F43">
      <w:pPr>
        <w:pStyle w:val="References"/>
      </w:pPr>
      <w:r w:rsidRPr="003F5093">
        <w:t>British Thoracic Society</w:t>
      </w:r>
      <w:r>
        <w:t>.</w:t>
      </w:r>
      <w:r w:rsidRPr="003F5093">
        <w:t xml:space="preserve"> 2021</w:t>
      </w:r>
      <w:r>
        <w:t>.</w:t>
      </w:r>
      <w:r w:rsidRPr="003F5093">
        <w:t xml:space="preserve"> Advice for Community Respiratory Services in relation to caring for patients with chronic respiratory disease during the COVID19 pandemic. </w:t>
      </w:r>
      <w:r>
        <w:t xml:space="preserve">URL: </w:t>
      </w:r>
      <w:hyperlink r:id="rId29" w:history="1">
        <w:r w:rsidRPr="009835A7">
          <w:rPr>
            <w:rStyle w:val="Hyperlink"/>
            <w:rFonts w:cstheme="minorHAnsi"/>
            <w:bCs/>
          </w:rPr>
          <w:t>www.brit-thoracic.org.uk/document-library/quality-improvement/</w:t>
        </w:r>
        <w:r w:rsidR="002F6FBA">
          <w:rPr>
            <w:rStyle w:val="Hyperlink"/>
            <w:rFonts w:cstheme="minorHAnsi"/>
            <w:bCs/>
          </w:rPr>
          <w:t>COVID</w:t>
        </w:r>
        <w:r w:rsidR="002F6FBA">
          <w:rPr>
            <w:rStyle w:val="Hyperlink"/>
            <w:rFonts w:cstheme="minorHAnsi"/>
            <w:bCs/>
          </w:rPr>
          <w:noBreakHyphen/>
          <w:t>19</w:t>
        </w:r>
        <w:r w:rsidRPr="009835A7">
          <w:rPr>
            <w:rStyle w:val="Hyperlink"/>
            <w:rFonts w:cstheme="minorHAnsi"/>
            <w:bCs/>
          </w:rPr>
          <w:t>/bts-advice-for-community-respiratory-services-in-relation-to-covid19/</w:t>
        </w:r>
      </w:hyperlink>
      <w:r w:rsidR="002F6FBA">
        <w:t xml:space="preserve"> </w:t>
      </w:r>
      <w:r>
        <w:t>(accessed 24 June 2022).</w:t>
      </w:r>
    </w:p>
    <w:p w14:paraId="7BF243AB" w14:textId="6A869E4A" w:rsidR="008B7D3C" w:rsidRDefault="008B7D3C" w:rsidP="004E2F43">
      <w:pPr>
        <w:pStyle w:val="References"/>
      </w:pPr>
      <w:r>
        <w:t xml:space="preserve">Chapple LS, </w:t>
      </w:r>
      <w:proofErr w:type="spellStart"/>
      <w:r>
        <w:t>Fetterplace</w:t>
      </w:r>
      <w:proofErr w:type="spellEnd"/>
      <w:r>
        <w:t xml:space="preserve"> K, Asrani V, et al. 2020. </w:t>
      </w:r>
      <w:r w:rsidRPr="00A0722A">
        <w:t>Nutrition management for critically and acutely unwell hospitalised patients with coronavirus disease 2019 (</w:t>
      </w:r>
      <w:r w:rsidR="002F6FBA">
        <w:t>COVID</w:t>
      </w:r>
      <w:r w:rsidR="002F6FBA">
        <w:noBreakHyphen/>
        <w:t>19</w:t>
      </w:r>
      <w:r w:rsidRPr="00A0722A">
        <w:t>) in Australia and New Zealand</w:t>
      </w:r>
      <w:r>
        <w:t xml:space="preserve">. </w:t>
      </w:r>
      <w:r w:rsidRPr="00A0722A">
        <w:rPr>
          <w:i/>
          <w:iCs/>
        </w:rPr>
        <w:t>Australian Critical Care</w:t>
      </w:r>
      <w:r>
        <w:t xml:space="preserve"> </w:t>
      </w:r>
      <w:r w:rsidRPr="00A0722A">
        <w:t>33(5): 399–406.</w:t>
      </w:r>
    </w:p>
    <w:p w14:paraId="5DE25912" w14:textId="3A0C26E5" w:rsidR="008B7D3C" w:rsidRDefault="008B7D3C" w:rsidP="004E2F43">
      <w:pPr>
        <w:pStyle w:val="References"/>
        <w:rPr>
          <w:color w:val="000000"/>
        </w:rPr>
      </w:pPr>
      <w:r>
        <w:rPr>
          <w:color w:val="000000"/>
        </w:rPr>
        <w:t xml:space="preserve">Chartered Society of Physiotherapy. 2020. Rehabilitation and </w:t>
      </w:r>
      <w:r w:rsidR="002F6FBA">
        <w:rPr>
          <w:color w:val="000000"/>
        </w:rPr>
        <w:t>COVID</w:t>
      </w:r>
      <w:r w:rsidR="002F6FBA">
        <w:rPr>
          <w:color w:val="000000"/>
        </w:rPr>
        <w:noBreakHyphen/>
        <w:t>19</w:t>
      </w:r>
      <w:r>
        <w:rPr>
          <w:color w:val="000000"/>
        </w:rPr>
        <w:t xml:space="preserve">: CSP policy statement. URL: </w:t>
      </w:r>
      <w:hyperlink r:id="rId30" w:history="1">
        <w:r w:rsidRPr="00D47463">
          <w:rPr>
            <w:rStyle w:val="Hyperlink"/>
            <w:rFonts w:cstheme="minorHAnsi"/>
          </w:rPr>
          <w:t>https://www.csp.org.uk/professional-clinical/improvement-innovation/community-rehabilitation/rehab-</w:t>
        </w:r>
        <w:r w:rsidR="002F6FBA">
          <w:rPr>
            <w:rStyle w:val="Hyperlink"/>
            <w:rFonts w:cstheme="minorHAnsi"/>
          </w:rPr>
          <w:t>COVID</w:t>
        </w:r>
        <w:r w:rsidR="002F6FBA">
          <w:rPr>
            <w:rStyle w:val="Hyperlink"/>
            <w:rFonts w:cstheme="minorHAnsi"/>
          </w:rPr>
          <w:noBreakHyphen/>
          <w:t>19</w:t>
        </w:r>
        <w:r w:rsidRPr="00D47463">
          <w:rPr>
            <w:rStyle w:val="Hyperlink"/>
            <w:rFonts w:cstheme="minorHAnsi"/>
          </w:rPr>
          <w:t>-policy-statement</w:t>
        </w:r>
      </w:hyperlink>
      <w:r>
        <w:rPr>
          <w:color w:val="000000"/>
        </w:rPr>
        <w:t xml:space="preserve"> (accessed 27 June 2022).</w:t>
      </w:r>
    </w:p>
    <w:p w14:paraId="7CFAFE19" w14:textId="77777777" w:rsidR="008B7D3C" w:rsidRDefault="008B7D3C" w:rsidP="004E2F43">
      <w:pPr>
        <w:pStyle w:val="References"/>
      </w:pPr>
      <w:r>
        <w:t>Clinical Exercise Physiology New Zealand. (</w:t>
      </w:r>
      <w:proofErr w:type="spellStart"/>
      <w:r>
        <w:t>nd</w:t>
      </w:r>
      <w:proofErr w:type="spellEnd"/>
      <w:r>
        <w:t xml:space="preserve">). Scope of Practice. URL: </w:t>
      </w:r>
      <w:hyperlink r:id="rId31" w:history="1">
        <w:r w:rsidRPr="009835A7">
          <w:rPr>
            <w:rStyle w:val="Hyperlink"/>
          </w:rPr>
          <w:t>www.cepnz.org.nz/scope-of-practice</w:t>
        </w:r>
      </w:hyperlink>
      <w:r>
        <w:rPr>
          <w:b/>
        </w:rPr>
        <w:t xml:space="preserve"> </w:t>
      </w:r>
      <w:r>
        <w:t>(accessed 24 June 2022).</w:t>
      </w:r>
    </w:p>
    <w:p w14:paraId="1182A15C" w14:textId="77777777" w:rsidR="002F6FBA" w:rsidRDefault="008B7D3C" w:rsidP="004E2F43">
      <w:pPr>
        <w:pStyle w:val="References"/>
      </w:pPr>
      <w:r>
        <w:t xml:space="preserve">Haines K, </w:t>
      </w:r>
      <w:proofErr w:type="spellStart"/>
      <w:r>
        <w:t>Berney</w:t>
      </w:r>
      <w:proofErr w:type="spellEnd"/>
      <w:r>
        <w:t xml:space="preserve"> S. 2020. Physiotherapists during </w:t>
      </w:r>
      <w:r w:rsidR="002F6FBA">
        <w:t>COVID</w:t>
      </w:r>
      <w:r w:rsidR="002F6FBA">
        <w:noBreakHyphen/>
        <w:t>19</w:t>
      </w:r>
      <w:r>
        <w:t xml:space="preserve">: usual business in unusual times. </w:t>
      </w:r>
      <w:r w:rsidRPr="00CD117F">
        <w:rPr>
          <w:i/>
          <w:iCs/>
        </w:rPr>
        <w:t>Journal of Physiotherapy</w:t>
      </w:r>
      <w:r>
        <w:rPr>
          <w:i/>
          <w:iCs/>
        </w:rPr>
        <w:t xml:space="preserve"> </w:t>
      </w:r>
      <w:r>
        <w:t>66(2): 67–9.</w:t>
      </w:r>
    </w:p>
    <w:p w14:paraId="1BBFAAFD" w14:textId="6AC2B0D6" w:rsidR="008B7D3C" w:rsidRDefault="008B7D3C" w:rsidP="004E2F43">
      <w:pPr>
        <w:pStyle w:val="References"/>
      </w:pPr>
      <w:r>
        <w:t xml:space="preserve">Italian Thoracic Society. 2020. Managing the respiratory care of persons with </w:t>
      </w:r>
      <w:r w:rsidR="002F6FBA">
        <w:t>COVID</w:t>
      </w:r>
      <w:r w:rsidR="002F6FBA">
        <w:noBreakHyphen/>
        <w:t>19</w:t>
      </w:r>
      <w:r>
        <w:t xml:space="preserve">. URL: </w:t>
      </w:r>
      <w:hyperlink r:id="rId32" w:history="1">
        <w:r w:rsidR="004E2F43" w:rsidRPr="004E2F43">
          <w:rPr>
            <w:rStyle w:val="Hyperlink"/>
          </w:rPr>
          <w:t>https://ers.app.box.com/s/j09ysr2kdhmkcu1ulm8y8dxnosm6yi0h</w:t>
        </w:r>
      </w:hyperlink>
      <w:r w:rsidRPr="00AF41A8">
        <w:t xml:space="preserve"> </w:t>
      </w:r>
      <w:r>
        <w:t>(accessed 24 June 2022).</w:t>
      </w:r>
    </w:p>
    <w:p w14:paraId="3310CDCE" w14:textId="77777777" w:rsidR="002F6FBA" w:rsidRDefault="008B7D3C" w:rsidP="004E2F43">
      <w:pPr>
        <w:pStyle w:val="References"/>
      </w:pPr>
      <w:proofErr w:type="spellStart"/>
      <w:r>
        <w:lastRenderedPageBreak/>
        <w:t>Lazzeri</w:t>
      </w:r>
      <w:proofErr w:type="spellEnd"/>
      <w:r>
        <w:t xml:space="preserve"> M, Lanza A, Bellini R, et al. 2020. </w:t>
      </w:r>
      <w:r w:rsidRPr="005B25DE">
        <w:t xml:space="preserve">Respiratory physiotherapy in </w:t>
      </w:r>
      <w:r>
        <w:t xml:space="preserve">persons </w:t>
      </w:r>
      <w:r w:rsidRPr="005B25DE">
        <w:t xml:space="preserve">with </w:t>
      </w:r>
      <w:r w:rsidR="002F6FBA">
        <w:t>COVID</w:t>
      </w:r>
      <w:r w:rsidR="002F6FBA">
        <w:noBreakHyphen/>
        <w:t>19</w:t>
      </w:r>
      <w:r w:rsidRPr="005B25DE">
        <w:t xml:space="preserve"> infection in acute</w:t>
      </w:r>
      <w:r>
        <w:t xml:space="preserve"> </w:t>
      </w:r>
      <w:r w:rsidRPr="005B25DE">
        <w:t>setting: A Position Paper of the Italian Association of Respiratory</w:t>
      </w:r>
      <w:r>
        <w:t xml:space="preserve"> </w:t>
      </w:r>
      <w:r w:rsidRPr="005B25DE">
        <w:t>Physiotherapists (ARIR)</w:t>
      </w:r>
      <w:r>
        <w:t xml:space="preserve">. </w:t>
      </w:r>
      <w:proofErr w:type="spellStart"/>
      <w:r w:rsidRPr="00702237">
        <w:rPr>
          <w:i/>
          <w:iCs/>
        </w:rPr>
        <w:t>Monaldi</w:t>
      </w:r>
      <w:proofErr w:type="spellEnd"/>
      <w:r w:rsidRPr="00702237">
        <w:rPr>
          <w:i/>
          <w:iCs/>
        </w:rPr>
        <w:t xml:space="preserve"> Archives for Chest Disease</w:t>
      </w:r>
      <w:r>
        <w:t xml:space="preserve"> 90(1).</w:t>
      </w:r>
    </w:p>
    <w:p w14:paraId="1986FDFC" w14:textId="6F3A9F32" w:rsidR="008B7D3C" w:rsidRDefault="008B7D3C" w:rsidP="004E2F43">
      <w:pPr>
        <w:pStyle w:val="References"/>
        <w:rPr>
          <w:color w:val="000000"/>
        </w:rPr>
      </w:pPr>
      <w:r>
        <w:rPr>
          <w:color w:val="000000"/>
        </w:rPr>
        <w:t xml:space="preserve">Lui K, Zhang W, Yang Y, et al. 2020. </w:t>
      </w:r>
      <w:r w:rsidRPr="00287C7E">
        <w:rPr>
          <w:color w:val="000000"/>
        </w:rPr>
        <w:t xml:space="preserve">Respiratory rehabilitation in elderly </w:t>
      </w:r>
      <w:r>
        <w:rPr>
          <w:color w:val="000000"/>
        </w:rPr>
        <w:t xml:space="preserve">persons </w:t>
      </w:r>
      <w:r w:rsidRPr="00287C7E">
        <w:rPr>
          <w:color w:val="000000"/>
        </w:rPr>
        <w:t xml:space="preserve">with </w:t>
      </w:r>
      <w:r w:rsidR="002F6FBA">
        <w:rPr>
          <w:color w:val="000000"/>
        </w:rPr>
        <w:t>COVID</w:t>
      </w:r>
      <w:r w:rsidR="002F6FBA">
        <w:rPr>
          <w:color w:val="000000"/>
        </w:rPr>
        <w:noBreakHyphen/>
        <w:t>19</w:t>
      </w:r>
      <w:r w:rsidRPr="00287C7E">
        <w:rPr>
          <w:color w:val="000000"/>
        </w:rPr>
        <w:t xml:space="preserve">: A randomized controlled study. </w:t>
      </w:r>
      <w:r w:rsidRPr="00702237">
        <w:rPr>
          <w:i/>
          <w:iCs/>
          <w:color w:val="000000"/>
        </w:rPr>
        <w:t>Complementary Therapies in Clinical Practice</w:t>
      </w:r>
      <w:r>
        <w:rPr>
          <w:color w:val="000000"/>
        </w:rPr>
        <w:t xml:space="preserve"> </w:t>
      </w:r>
      <w:r w:rsidRPr="00702237">
        <w:rPr>
          <w:color w:val="000000"/>
        </w:rPr>
        <w:t>39:101166.</w:t>
      </w:r>
    </w:p>
    <w:p w14:paraId="661F96D7" w14:textId="77777777" w:rsidR="002F6FBA" w:rsidRDefault="008B7D3C" w:rsidP="004E2F43">
      <w:pPr>
        <w:pStyle w:val="References"/>
      </w:pPr>
      <w:r>
        <w:t xml:space="preserve">McGrath BA, Brenner MJ, </w:t>
      </w:r>
      <w:proofErr w:type="spellStart"/>
      <w:r>
        <w:t>Warrillow</w:t>
      </w:r>
      <w:proofErr w:type="spellEnd"/>
      <w:r>
        <w:t xml:space="preserve"> SJ, et al. 2020. </w:t>
      </w:r>
      <w:r w:rsidRPr="00A35651">
        <w:t xml:space="preserve">Tracheostomy in the </w:t>
      </w:r>
      <w:r w:rsidR="002F6FBA">
        <w:t>COVID</w:t>
      </w:r>
      <w:r w:rsidR="002F6FBA">
        <w:noBreakHyphen/>
        <w:t>19</w:t>
      </w:r>
      <w:r w:rsidRPr="00A35651">
        <w:t xml:space="preserve"> era: global and</w:t>
      </w:r>
      <w:r>
        <w:t xml:space="preserve"> </w:t>
      </w:r>
      <w:r w:rsidRPr="00A35651">
        <w:t>multidisciplinary guidance</w:t>
      </w:r>
      <w:r>
        <w:t xml:space="preserve">. </w:t>
      </w:r>
      <w:r w:rsidRPr="00062BF0">
        <w:rPr>
          <w:i/>
          <w:iCs/>
        </w:rPr>
        <w:t>Lancet Respiratory Medicine</w:t>
      </w:r>
      <w:r>
        <w:t xml:space="preserve"> </w:t>
      </w:r>
      <w:r w:rsidRPr="00062BF0">
        <w:t>8(7): 717–25</w:t>
      </w:r>
      <w:r>
        <w:t>.</w:t>
      </w:r>
    </w:p>
    <w:p w14:paraId="16591D61" w14:textId="70E941D8" w:rsidR="008B7D3C" w:rsidRDefault="008B7D3C" w:rsidP="004E2F43">
      <w:pPr>
        <w:pStyle w:val="References"/>
        <w:rPr>
          <w:color w:val="000000"/>
        </w:rPr>
      </w:pPr>
      <w:r>
        <w:rPr>
          <w:color w:val="000000"/>
        </w:rPr>
        <w:t xml:space="preserve">McMaster University, School of Rehabilitation Science. 2020. </w:t>
      </w:r>
      <w:r w:rsidRPr="007459CA">
        <w:rPr>
          <w:color w:val="000000"/>
        </w:rPr>
        <w:t xml:space="preserve">Rehabilitation for </w:t>
      </w:r>
      <w:r>
        <w:rPr>
          <w:color w:val="000000"/>
        </w:rPr>
        <w:t xml:space="preserve">Persons </w:t>
      </w:r>
      <w:r w:rsidRPr="007459CA">
        <w:rPr>
          <w:color w:val="000000"/>
        </w:rPr>
        <w:t xml:space="preserve">with </w:t>
      </w:r>
      <w:r w:rsidR="002F6FBA">
        <w:rPr>
          <w:color w:val="000000"/>
        </w:rPr>
        <w:t>COVID</w:t>
      </w:r>
      <w:r w:rsidR="002F6FBA">
        <w:rPr>
          <w:color w:val="000000"/>
        </w:rPr>
        <w:noBreakHyphen/>
        <w:t>19</w:t>
      </w:r>
      <w:r w:rsidRPr="007459CA">
        <w:rPr>
          <w:color w:val="000000"/>
        </w:rPr>
        <w:t xml:space="preserve"> Guidance for Occupational Therapists, Physical Therapists, Speech-Language Pathologists, and Assistants</w:t>
      </w:r>
      <w:r>
        <w:rPr>
          <w:color w:val="000000"/>
        </w:rPr>
        <w:t xml:space="preserve">. URL: </w:t>
      </w:r>
      <w:hyperlink r:id="rId33" w:history="1">
        <w:r w:rsidRPr="00D47463">
          <w:rPr>
            <w:rStyle w:val="Hyperlink"/>
            <w:rFonts w:cstheme="minorHAnsi"/>
            <w:bCs/>
          </w:rPr>
          <w:t>https://wfot.org/assets/resources/McMaster-Rehabilitation-for-Patients-with-</w:t>
        </w:r>
        <w:r w:rsidR="002F6FBA">
          <w:rPr>
            <w:rStyle w:val="Hyperlink"/>
            <w:rFonts w:cstheme="minorHAnsi"/>
            <w:bCs/>
          </w:rPr>
          <w:t>COVID</w:t>
        </w:r>
        <w:r w:rsidR="002F6FBA">
          <w:rPr>
            <w:rStyle w:val="Hyperlink"/>
            <w:rFonts w:cstheme="minorHAnsi"/>
            <w:bCs/>
          </w:rPr>
          <w:noBreakHyphen/>
          <w:t>19</w:t>
        </w:r>
        <w:r w:rsidRPr="00D47463">
          <w:rPr>
            <w:rStyle w:val="Hyperlink"/>
            <w:rFonts w:cstheme="minorHAnsi"/>
            <w:bCs/>
          </w:rPr>
          <w:t>-Apr-08-2020.pdf</w:t>
        </w:r>
      </w:hyperlink>
      <w:r>
        <w:rPr>
          <w:color w:val="000000"/>
        </w:rPr>
        <w:t xml:space="preserve"> (accessed 27 June 2022).</w:t>
      </w:r>
    </w:p>
    <w:p w14:paraId="7B554C9E" w14:textId="29EF00E6" w:rsidR="008B7D3C" w:rsidRDefault="008B7D3C" w:rsidP="004E2F43">
      <w:pPr>
        <w:pStyle w:val="References"/>
      </w:pPr>
      <w:r>
        <w:rPr>
          <w:color w:val="292526"/>
        </w:rPr>
        <w:t xml:space="preserve">Ministry of Health. 2020a. </w:t>
      </w:r>
      <w:r w:rsidRPr="00C90F4A">
        <w:rPr>
          <w:i/>
          <w:iCs/>
          <w:color w:val="292526"/>
        </w:rPr>
        <w:t xml:space="preserve">Initial </w:t>
      </w:r>
      <w:r w:rsidR="002F6FBA">
        <w:rPr>
          <w:i/>
          <w:iCs/>
          <w:color w:val="292526"/>
        </w:rPr>
        <w:t>COVID</w:t>
      </w:r>
      <w:r w:rsidR="002F6FBA">
        <w:rPr>
          <w:i/>
          <w:iCs/>
          <w:color w:val="292526"/>
        </w:rPr>
        <w:noBreakHyphen/>
        <w:t>19</w:t>
      </w:r>
      <w:r w:rsidRPr="00C90F4A">
        <w:rPr>
          <w:i/>
          <w:iCs/>
          <w:color w:val="292526"/>
        </w:rPr>
        <w:t xml:space="preserve"> Māori Response Action Plan</w:t>
      </w:r>
      <w:r>
        <w:rPr>
          <w:color w:val="292526"/>
        </w:rPr>
        <w:t xml:space="preserve">. Wellington: Ministry of Health. URL: </w:t>
      </w:r>
      <w:hyperlink r:id="rId34" w:history="1">
        <w:r w:rsidR="004E2F43" w:rsidRPr="004E2F43">
          <w:rPr>
            <w:rStyle w:val="Hyperlink"/>
          </w:rPr>
          <w:t>www.health.govt.nz/publication/initial-COVID 19-maori-response-action-plan</w:t>
        </w:r>
      </w:hyperlink>
      <w:r w:rsidRPr="00C90F4A">
        <w:rPr>
          <w:color w:val="292526"/>
        </w:rPr>
        <w:t xml:space="preserve"> </w:t>
      </w:r>
      <w:r>
        <w:t>(accessed 24 June 2022).</w:t>
      </w:r>
    </w:p>
    <w:p w14:paraId="6DFF9642" w14:textId="2BA6792F" w:rsidR="008B7D3C" w:rsidRDefault="008B7D3C" w:rsidP="004E2F43">
      <w:pPr>
        <w:pStyle w:val="References"/>
      </w:pPr>
      <w:r>
        <w:rPr>
          <w:color w:val="292526"/>
        </w:rPr>
        <w:t>Ministry of Health. 2020b.</w:t>
      </w:r>
      <w:r w:rsidRPr="00C66D15">
        <w:t xml:space="preserve"> </w:t>
      </w:r>
      <w:proofErr w:type="spellStart"/>
      <w:r w:rsidRPr="00C66D15">
        <w:rPr>
          <w:i/>
          <w:iCs/>
          <w:color w:val="292526"/>
        </w:rPr>
        <w:t>Whakamaua</w:t>
      </w:r>
      <w:proofErr w:type="spellEnd"/>
      <w:r w:rsidRPr="00C66D15">
        <w:rPr>
          <w:i/>
          <w:iCs/>
          <w:color w:val="292526"/>
        </w:rPr>
        <w:t>: Māori Health Action Plan 2020-2025</w:t>
      </w:r>
      <w:r>
        <w:rPr>
          <w:color w:val="292526"/>
        </w:rPr>
        <w:t xml:space="preserve">. URL: </w:t>
      </w:r>
      <w:hyperlink r:id="rId35" w:history="1">
        <w:r w:rsidR="004E2F43" w:rsidRPr="004E2F43">
          <w:rPr>
            <w:rStyle w:val="Hyperlink"/>
          </w:rPr>
          <w:t>https://www.health.govt.nz/publication/whakamaua-maori-health-action-plan-2020-2025</w:t>
        </w:r>
      </w:hyperlink>
      <w:r w:rsidRPr="00C66D15">
        <w:rPr>
          <w:color w:val="292526"/>
        </w:rPr>
        <w:t xml:space="preserve"> </w:t>
      </w:r>
      <w:r>
        <w:t>(accessed 24 June 2022).</w:t>
      </w:r>
    </w:p>
    <w:p w14:paraId="4D09E589" w14:textId="77777777" w:rsidR="008B7D3C" w:rsidRDefault="008B7D3C" w:rsidP="004E2F43">
      <w:pPr>
        <w:pStyle w:val="References"/>
      </w:pPr>
      <w:r>
        <w:t xml:space="preserve">Ministry of Health. 2022a. Health practitioners Competence Assurance Act 2003: Responsible authorities under the Act. URL: </w:t>
      </w:r>
      <w:hyperlink r:id="rId36" w:history="1">
        <w:r w:rsidRPr="00C90F4A">
          <w:rPr>
            <w:rStyle w:val="Hyperlink"/>
          </w:rPr>
          <w:t>www.health.govt.nz/our-work/regulation-health-and-disability-system/health-practitioners-competence-assurance-act/responsible-authorities-under-act</w:t>
        </w:r>
      </w:hyperlink>
      <w:r>
        <w:rPr>
          <w:rStyle w:val="Hyperlink"/>
        </w:rPr>
        <w:t xml:space="preserve"> </w:t>
      </w:r>
      <w:r>
        <w:t>(accessed 24 June 2022).</w:t>
      </w:r>
    </w:p>
    <w:p w14:paraId="114C5EA1" w14:textId="403F9CB1" w:rsidR="008B7D3C" w:rsidRDefault="008B7D3C" w:rsidP="004E2F43">
      <w:pPr>
        <w:pStyle w:val="References"/>
      </w:pPr>
      <w:r>
        <w:t xml:space="preserve">Ministry of Health. 2022b. Long COVID. URL: </w:t>
      </w:r>
      <w:hyperlink r:id="rId37" w:history="1">
        <w:r w:rsidRPr="00640458">
          <w:rPr>
            <w:rStyle w:val="Hyperlink"/>
            <w:rFonts w:cstheme="minorHAnsi"/>
          </w:rPr>
          <w:t>www.health.govt.nz/</w:t>
        </w:r>
        <w:r w:rsidR="002F6FBA">
          <w:rPr>
            <w:rStyle w:val="Hyperlink"/>
            <w:rFonts w:cstheme="minorHAnsi"/>
          </w:rPr>
          <w:t>COVID</w:t>
        </w:r>
        <w:r w:rsidR="002F6FBA">
          <w:rPr>
            <w:rStyle w:val="Hyperlink"/>
            <w:rFonts w:cstheme="minorHAnsi"/>
          </w:rPr>
          <w:noBreakHyphen/>
          <w:t>19</w:t>
        </w:r>
        <w:r w:rsidRPr="00640458">
          <w:rPr>
            <w:rStyle w:val="Hyperlink"/>
            <w:rFonts w:cstheme="minorHAnsi"/>
          </w:rPr>
          <w:t>-novel-coronavirus/</w:t>
        </w:r>
        <w:r w:rsidR="002F6FBA">
          <w:rPr>
            <w:rStyle w:val="Hyperlink"/>
            <w:rFonts w:cstheme="minorHAnsi"/>
          </w:rPr>
          <w:t>COVID</w:t>
        </w:r>
        <w:r w:rsidR="002F6FBA">
          <w:rPr>
            <w:rStyle w:val="Hyperlink"/>
            <w:rFonts w:cstheme="minorHAnsi"/>
          </w:rPr>
          <w:noBreakHyphen/>
          <w:t>19</w:t>
        </w:r>
        <w:r w:rsidRPr="00640458">
          <w:rPr>
            <w:rStyle w:val="Hyperlink"/>
            <w:rFonts w:cstheme="minorHAnsi"/>
          </w:rPr>
          <w:t>-health-advice-public/about-</w:t>
        </w:r>
        <w:r w:rsidR="002F6FBA">
          <w:rPr>
            <w:rStyle w:val="Hyperlink"/>
            <w:rFonts w:cstheme="minorHAnsi"/>
          </w:rPr>
          <w:t>COVID</w:t>
        </w:r>
        <w:r w:rsidR="002F6FBA">
          <w:rPr>
            <w:rStyle w:val="Hyperlink"/>
            <w:rFonts w:cstheme="minorHAnsi"/>
          </w:rPr>
          <w:noBreakHyphen/>
          <w:t>19</w:t>
        </w:r>
        <w:r w:rsidRPr="00640458">
          <w:rPr>
            <w:rStyle w:val="Hyperlink"/>
            <w:rFonts w:cstheme="minorHAnsi"/>
          </w:rPr>
          <w:t>/long-covid</w:t>
        </w:r>
      </w:hyperlink>
      <w:r>
        <w:rPr>
          <w:b/>
        </w:rPr>
        <w:t xml:space="preserve"> </w:t>
      </w:r>
      <w:r>
        <w:t>(accessed 24 June 2022).</w:t>
      </w:r>
    </w:p>
    <w:p w14:paraId="08208052" w14:textId="55CA3BF4" w:rsidR="008B7D3C" w:rsidRDefault="008B7D3C" w:rsidP="004E2F43">
      <w:pPr>
        <w:pStyle w:val="References"/>
      </w:pPr>
      <w:r>
        <w:t xml:space="preserve">National </w:t>
      </w:r>
      <w:r w:rsidRPr="00E9694C">
        <w:t>Institute for Health and</w:t>
      </w:r>
      <w:r>
        <w:t xml:space="preserve"> Care Excellence, Scottish Intercollegiate Guidelines Network and Royal College of General Practitioners. 2022. </w:t>
      </w:r>
      <w:r w:rsidR="002F6FBA">
        <w:t>COVID</w:t>
      </w:r>
      <w:r w:rsidR="002F6FBA">
        <w:noBreakHyphen/>
        <w:t>19</w:t>
      </w:r>
      <w:r w:rsidRPr="00A0722A">
        <w:t xml:space="preserve"> rapid guideline: Managing </w:t>
      </w:r>
      <w:r w:rsidR="002F6FBA">
        <w:t>COVID</w:t>
      </w:r>
      <w:r w:rsidR="002F6FBA">
        <w:noBreakHyphen/>
        <w:t>19</w:t>
      </w:r>
      <w:r>
        <w:t xml:space="preserve">. URL: </w:t>
      </w:r>
      <w:hyperlink r:id="rId38" w:history="1">
        <w:r w:rsidRPr="00A0722A">
          <w:rPr>
            <w:rStyle w:val="Hyperlink"/>
          </w:rPr>
          <w:t>https://www.nice.org.uk/guidance/ng191/resources/covid19-rapid-guideline-managing-covid19-pdf-51035553326</w:t>
        </w:r>
      </w:hyperlink>
      <w:r>
        <w:rPr>
          <w:rStyle w:val="Hyperlink"/>
        </w:rPr>
        <w:t xml:space="preserve"> </w:t>
      </w:r>
      <w:r>
        <w:t>(accessed 27 June 2022).</w:t>
      </w:r>
    </w:p>
    <w:p w14:paraId="1B3B680E" w14:textId="77777777" w:rsidR="002F6FBA" w:rsidRDefault="008B7D3C" w:rsidP="004E2F43">
      <w:pPr>
        <w:pStyle w:val="References"/>
      </w:pPr>
      <w:r>
        <w:t xml:space="preserve">National Tracheostomy Safety Project. 2020. NTSP considerations for tracheostomy in the </w:t>
      </w:r>
      <w:r w:rsidR="002F6FBA">
        <w:t>COVID</w:t>
      </w:r>
      <w:r w:rsidR="002F6FBA">
        <w:noBreakHyphen/>
        <w:t>19</w:t>
      </w:r>
      <w:r>
        <w:t xml:space="preserve"> outbreak. URL: </w:t>
      </w:r>
      <w:hyperlink r:id="rId39" w:history="1">
        <w:r w:rsidRPr="00640458">
          <w:rPr>
            <w:rStyle w:val="Hyperlink"/>
          </w:rPr>
          <w:t>www.tracheostomy.org.uk/storage/files/NTSP%20COVID_19%20tracheostomy%20guidance%2031_3_20.pdf</w:t>
        </w:r>
      </w:hyperlink>
      <w:r>
        <w:t xml:space="preserve"> (accessed 24 June 2022).</w:t>
      </w:r>
    </w:p>
    <w:p w14:paraId="74FD255F" w14:textId="0570B117" w:rsidR="008B7D3C" w:rsidRDefault="008B7D3C" w:rsidP="004E2F43">
      <w:pPr>
        <w:pStyle w:val="References"/>
      </w:pPr>
      <w:r>
        <w:t>New Zealand College of Clinical Psychologists. (</w:t>
      </w:r>
      <w:proofErr w:type="spellStart"/>
      <w:r>
        <w:t>nd</w:t>
      </w:r>
      <w:proofErr w:type="spellEnd"/>
      <w:r>
        <w:t xml:space="preserve">). </w:t>
      </w:r>
      <w:r w:rsidR="002F6FBA">
        <w:t>COVID</w:t>
      </w:r>
      <w:r w:rsidR="002F6FBA">
        <w:noBreakHyphen/>
        <w:t>19</w:t>
      </w:r>
      <w:r>
        <w:t xml:space="preserve">: information and resources. URL: </w:t>
      </w:r>
      <w:hyperlink r:id="rId40" w:history="1">
        <w:r w:rsidRPr="003D0B87">
          <w:rPr>
            <w:rStyle w:val="Hyperlink"/>
          </w:rPr>
          <w:t>www.nzccp.co.nz/about-the-college/news/</w:t>
        </w:r>
        <w:r w:rsidR="002F6FBA">
          <w:rPr>
            <w:rStyle w:val="Hyperlink"/>
          </w:rPr>
          <w:t>COVID</w:t>
        </w:r>
        <w:r w:rsidR="002F6FBA">
          <w:rPr>
            <w:rStyle w:val="Hyperlink"/>
          </w:rPr>
          <w:noBreakHyphen/>
          <w:t>19</w:t>
        </w:r>
        <w:r w:rsidRPr="003D0B87">
          <w:rPr>
            <w:rStyle w:val="Hyperlink"/>
          </w:rPr>
          <w:t>-information-and-resources/</w:t>
        </w:r>
      </w:hyperlink>
      <w:r w:rsidRPr="004E2F43">
        <w:t xml:space="preserve"> </w:t>
      </w:r>
      <w:r>
        <w:t>(accessed 24 June 2022).</w:t>
      </w:r>
    </w:p>
    <w:p w14:paraId="58FC97BE" w14:textId="26C9BAE8" w:rsidR="008B7D3C" w:rsidRDefault="008B7D3C" w:rsidP="004E2F43">
      <w:pPr>
        <w:pStyle w:val="References"/>
      </w:pPr>
      <w:r>
        <w:t>New Zealand Psychological Society. (</w:t>
      </w:r>
      <w:proofErr w:type="spellStart"/>
      <w:r>
        <w:t>nd</w:t>
      </w:r>
      <w:proofErr w:type="spellEnd"/>
      <w:r>
        <w:t xml:space="preserve">). </w:t>
      </w:r>
      <w:r w:rsidR="002F6FBA">
        <w:t>COVID</w:t>
      </w:r>
      <w:r w:rsidR="002F6FBA">
        <w:noBreakHyphen/>
        <w:t>19</w:t>
      </w:r>
      <w:r w:rsidRPr="003D0B87">
        <w:t xml:space="preserve"> outbreak- information for our members and the community</w:t>
      </w:r>
      <w:r>
        <w:t xml:space="preserve">. URL: </w:t>
      </w:r>
      <w:hyperlink r:id="rId41" w:history="1">
        <w:r w:rsidRPr="003D0B87">
          <w:rPr>
            <w:rStyle w:val="Hyperlink"/>
          </w:rPr>
          <w:t>www.psychology.org.nz/public/community-resources/</w:t>
        </w:r>
        <w:r w:rsidR="002F6FBA">
          <w:rPr>
            <w:rStyle w:val="Hyperlink"/>
          </w:rPr>
          <w:t>COVID</w:t>
        </w:r>
        <w:r w:rsidR="002F6FBA">
          <w:rPr>
            <w:rStyle w:val="Hyperlink"/>
          </w:rPr>
          <w:noBreakHyphen/>
          <w:t>19</w:t>
        </w:r>
        <w:r w:rsidRPr="003D0B87">
          <w:rPr>
            <w:rStyle w:val="Hyperlink"/>
          </w:rPr>
          <w:t>-resources</w:t>
        </w:r>
      </w:hyperlink>
      <w:r w:rsidRPr="004E2F43">
        <w:t xml:space="preserve"> </w:t>
      </w:r>
      <w:r>
        <w:t>(accessed 24 June 2022).</w:t>
      </w:r>
    </w:p>
    <w:p w14:paraId="219CC142" w14:textId="77777777" w:rsidR="008B7D3C" w:rsidRDefault="008B7D3C" w:rsidP="004E2F43">
      <w:pPr>
        <w:pStyle w:val="References"/>
        <w:rPr>
          <w:b/>
          <w:color w:val="595959" w:themeColor="text1" w:themeTint="A6"/>
        </w:rPr>
      </w:pPr>
      <w:r>
        <w:lastRenderedPageBreak/>
        <w:t xml:space="preserve">New Zealand Speech-language Therapists Association. 2012. Scope of Practice. URL: </w:t>
      </w:r>
      <w:hyperlink r:id="rId42" w:history="1">
        <w:r w:rsidRPr="002751B9">
          <w:rPr>
            <w:b/>
            <w:color w:val="595959" w:themeColor="text1" w:themeTint="A6"/>
          </w:rPr>
          <w:t>https://speechtherapy.org.nz/wp-content/uploads/2013/09/NZSTA-Scope-of-Practice-2012.pdf</w:t>
        </w:r>
      </w:hyperlink>
      <w:r w:rsidRPr="004E2F43">
        <w:t xml:space="preserve"> </w:t>
      </w:r>
      <w:r>
        <w:t>(accessed 27 June 2022).</w:t>
      </w:r>
    </w:p>
    <w:p w14:paraId="6A5ED709" w14:textId="5EB70AEF" w:rsidR="008B7D3C" w:rsidRDefault="008B7D3C" w:rsidP="004E2F43">
      <w:pPr>
        <w:pStyle w:val="References"/>
      </w:pPr>
      <w:r>
        <w:t>Social Workers Registration Board. (</w:t>
      </w:r>
      <w:proofErr w:type="spellStart"/>
      <w:r>
        <w:t>nd</w:t>
      </w:r>
      <w:proofErr w:type="spellEnd"/>
      <w:r>
        <w:t xml:space="preserve">). </w:t>
      </w:r>
      <w:proofErr w:type="spellStart"/>
      <w:r w:rsidRPr="0091721D">
        <w:t>Hōkaitanga</w:t>
      </w:r>
      <w:proofErr w:type="spellEnd"/>
      <w:r w:rsidRPr="0091721D">
        <w:t xml:space="preserve"> o </w:t>
      </w:r>
      <w:proofErr w:type="spellStart"/>
      <w:r w:rsidRPr="0091721D">
        <w:t>ngā</w:t>
      </w:r>
      <w:proofErr w:type="spellEnd"/>
      <w:r w:rsidRPr="0091721D">
        <w:t xml:space="preserve"> Mahi Scope of Practice</w:t>
      </w:r>
      <w:r>
        <w:t xml:space="preserve">. URL: </w:t>
      </w:r>
      <w:hyperlink r:id="rId43" w:history="1">
        <w:r w:rsidR="004E2F43" w:rsidRPr="004E2F43">
          <w:rPr>
            <w:rStyle w:val="Hyperlink"/>
          </w:rPr>
          <w:t>https://swrb.govt.nz/practice/scope-of-practice/</w:t>
        </w:r>
      </w:hyperlink>
      <w:r w:rsidRPr="00062BF0">
        <w:t xml:space="preserve"> </w:t>
      </w:r>
      <w:r>
        <w:t>(accessed 27 June 2022).</w:t>
      </w:r>
    </w:p>
    <w:p w14:paraId="7EF74314" w14:textId="7B3F1657" w:rsidR="008B7D3C" w:rsidRDefault="008B7D3C" w:rsidP="004E2F43">
      <w:pPr>
        <w:pStyle w:val="References"/>
      </w:pPr>
      <w:r>
        <w:t xml:space="preserve">Steyn N, Binny RN, Hannah K. 2020. Estimated inequities in </w:t>
      </w:r>
      <w:r w:rsidR="002F6FBA">
        <w:t>COVID</w:t>
      </w:r>
      <w:r w:rsidR="002F6FBA">
        <w:noBreakHyphen/>
        <w:t>19</w:t>
      </w:r>
      <w:r>
        <w:t xml:space="preserve"> infection fatality rates by ethnicity for New Zealand. </w:t>
      </w:r>
      <w:r w:rsidRPr="00B41841">
        <w:rPr>
          <w:i/>
          <w:iCs/>
        </w:rPr>
        <w:t>New Zealand Medical Journal</w:t>
      </w:r>
      <w:r>
        <w:t xml:space="preserve"> 133(1521): 28–39. URL: </w:t>
      </w:r>
      <w:hyperlink r:id="rId44" w:history="1">
        <w:r w:rsidRPr="00ED69F9">
          <w:rPr>
            <w:rStyle w:val="Hyperlink"/>
          </w:rPr>
          <w:t>www.tepunahamatatini.ac.nz/2020/04/17/estimated-inequities-in-</w:t>
        </w:r>
        <w:r w:rsidR="002F6FBA">
          <w:rPr>
            <w:rStyle w:val="Hyperlink"/>
          </w:rPr>
          <w:t>COVID</w:t>
        </w:r>
        <w:r w:rsidR="002F6FBA">
          <w:rPr>
            <w:rStyle w:val="Hyperlink"/>
          </w:rPr>
          <w:noBreakHyphen/>
          <w:t>19</w:t>
        </w:r>
        <w:r w:rsidRPr="00ED69F9">
          <w:rPr>
            <w:rStyle w:val="Hyperlink"/>
          </w:rPr>
          <w:t>-infection-fatality-rates-by-ethnicity-for-aotearoa-new-zealand/</w:t>
        </w:r>
      </w:hyperlink>
      <w:r w:rsidRPr="004E2F43">
        <w:t xml:space="preserve"> </w:t>
      </w:r>
      <w:r>
        <w:t>(accessed 24 June 2022).</w:t>
      </w:r>
    </w:p>
    <w:p w14:paraId="796D7081" w14:textId="77777777" w:rsidR="002F6FBA" w:rsidRDefault="008B7D3C" w:rsidP="004E2F43">
      <w:pPr>
        <w:pStyle w:val="References"/>
      </w:pPr>
      <w:r>
        <w:t xml:space="preserve">Thomas P, Baldwin C, Beach L, et al. 2022. </w:t>
      </w:r>
      <w:r w:rsidRPr="000A5C08">
        <w:t xml:space="preserve">Physiotherapy management for </w:t>
      </w:r>
      <w:r w:rsidR="002F6FBA">
        <w:t>COVID</w:t>
      </w:r>
      <w:r w:rsidR="002F6FBA">
        <w:noBreakHyphen/>
        <w:t>19</w:t>
      </w:r>
      <w:r w:rsidRPr="000A5C08">
        <w:t xml:space="preserve"> in the acute hospital setting and beyond: an update to clinical practice recommendations</w:t>
      </w:r>
      <w:r>
        <w:t xml:space="preserve">. </w:t>
      </w:r>
      <w:r w:rsidRPr="00B26568">
        <w:rPr>
          <w:i/>
          <w:iCs/>
        </w:rPr>
        <w:t>Journal of Physiotherapy</w:t>
      </w:r>
      <w:r>
        <w:t xml:space="preserve"> 68(1): 8–25.</w:t>
      </w:r>
    </w:p>
    <w:p w14:paraId="74095A81" w14:textId="77777777" w:rsidR="002F6FBA" w:rsidRDefault="008B7D3C" w:rsidP="004E2F43">
      <w:pPr>
        <w:pStyle w:val="References"/>
      </w:pPr>
      <w:r>
        <w:t xml:space="preserve">Wang B, Li R, Lu Z, et al. 2020. Does comorbidity increase the risk of persons with </w:t>
      </w:r>
      <w:r w:rsidR="002F6FBA">
        <w:t>COVID</w:t>
      </w:r>
      <w:r w:rsidR="002F6FBA">
        <w:noBreakHyphen/>
        <w:t>19</w:t>
      </w:r>
      <w:r>
        <w:t xml:space="preserve">: evidence from meta-analysis. </w:t>
      </w:r>
      <w:r w:rsidRPr="0010751D">
        <w:rPr>
          <w:i/>
          <w:iCs/>
        </w:rPr>
        <w:t>Aging</w:t>
      </w:r>
      <w:r>
        <w:t xml:space="preserve"> 12(7): </w:t>
      </w:r>
      <w:r w:rsidRPr="0010751D">
        <w:t>6049</w:t>
      </w:r>
      <w:bookmarkStart w:id="29" w:name="_Hlk106964039"/>
      <w:r>
        <w:t>–</w:t>
      </w:r>
      <w:bookmarkEnd w:id="29"/>
      <w:r w:rsidRPr="0010751D">
        <w:t>57</w:t>
      </w:r>
      <w:r>
        <w:t>.</w:t>
      </w:r>
    </w:p>
    <w:p w14:paraId="4CA143BD" w14:textId="713EEB27" w:rsidR="008B7D3C" w:rsidRDefault="008B7D3C" w:rsidP="004E2F43">
      <w:pPr>
        <w:pStyle w:val="References"/>
        <w:rPr>
          <w:rStyle w:val="Hyperlink"/>
        </w:rPr>
      </w:pPr>
      <w:r w:rsidRPr="005845C6">
        <w:t xml:space="preserve">World Health </w:t>
      </w:r>
      <w:r>
        <w:t>O</w:t>
      </w:r>
      <w:r w:rsidRPr="005845C6">
        <w:t>rgani</w:t>
      </w:r>
      <w:r>
        <w:t>z</w:t>
      </w:r>
      <w:r w:rsidRPr="005845C6">
        <w:t>ation</w:t>
      </w:r>
      <w:r>
        <w:t xml:space="preserve">. 2021. </w:t>
      </w:r>
      <w:r w:rsidRPr="00062BF0">
        <w:t xml:space="preserve">A clinical case definition of post </w:t>
      </w:r>
      <w:r w:rsidR="002F6FBA">
        <w:t>COVID</w:t>
      </w:r>
      <w:r w:rsidR="002F6FBA">
        <w:noBreakHyphen/>
        <w:t>19</w:t>
      </w:r>
      <w:r w:rsidRPr="00062BF0">
        <w:t xml:space="preserve"> condition by a Delphi consensus, 6 October 2021</w:t>
      </w:r>
      <w:r>
        <w:t>. URL:</w:t>
      </w:r>
      <w:r w:rsidRPr="004E2F43">
        <w:t xml:space="preserve"> </w:t>
      </w:r>
      <w:r w:rsidRPr="00DA5AAB">
        <w:rPr>
          <w:b/>
        </w:rPr>
        <w:t>https://www.who.int/publications/i/item/WHO-2019-nCoV-Post_</w:t>
      </w:r>
      <w:r w:rsidR="002F6FBA">
        <w:rPr>
          <w:b/>
        </w:rPr>
        <w:t>COVID</w:t>
      </w:r>
      <w:r w:rsidR="002F6FBA">
        <w:rPr>
          <w:b/>
        </w:rPr>
        <w:noBreakHyphen/>
        <w:t>19</w:t>
      </w:r>
      <w:r w:rsidRPr="00DA5AAB">
        <w:rPr>
          <w:b/>
        </w:rPr>
        <w:t>_condition-Clinical_case_definition-2021.1</w:t>
      </w:r>
      <w:r>
        <w:t xml:space="preserve"> (accessed 27 June 2022).</w:t>
      </w:r>
    </w:p>
    <w:p w14:paraId="4F2CAF15" w14:textId="04D3879A" w:rsidR="008B7D3C" w:rsidRDefault="008B7D3C" w:rsidP="004E2F43">
      <w:pPr>
        <w:pStyle w:val="References"/>
      </w:pPr>
      <w:r>
        <w:t xml:space="preserve">World Physiotherapy. 2020a. World Physiotherapy response to </w:t>
      </w:r>
      <w:r w:rsidR="002F6FBA">
        <w:t>COVID</w:t>
      </w:r>
      <w:r w:rsidR="002F6FBA">
        <w:noBreakHyphen/>
        <w:t>19</w:t>
      </w:r>
      <w:r>
        <w:t xml:space="preserve"> Briefing paper 5: The Impact of </w:t>
      </w:r>
      <w:r w:rsidR="002F6FBA">
        <w:t>COVID</w:t>
      </w:r>
      <w:r w:rsidR="002F6FBA">
        <w:noBreakHyphen/>
        <w:t>19</w:t>
      </w:r>
      <w:r>
        <w:t xml:space="preserve"> on Fragile Health Systems and Vulnerable Communities, and the Role of Physiotherapists in the Delivery of Rehabilitation. URL: </w:t>
      </w:r>
      <w:hyperlink r:id="rId45" w:history="1">
        <w:r w:rsidRPr="001364CF">
          <w:rPr>
            <w:rStyle w:val="Hyperlink"/>
          </w:rPr>
          <w:t>https://world.physio/sites/default/files/2021-06/</w:t>
        </w:r>
        <w:r w:rsidR="002F6FBA">
          <w:rPr>
            <w:rStyle w:val="Hyperlink"/>
          </w:rPr>
          <w:t>COVID</w:t>
        </w:r>
        <w:r w:rsidR="002F6FBA">
          <w:rPr>
            <w:rStyle w:val="Hyperlink"/>
          </w:rPr>
          <w:noBreakHyphen/>
          <w:t>19</w:t>
        </w:r>
        <w:r w:rsidRPr="001364CF">
          <w:rPr>
            <w:rStyle w:val="Hyperlink"/>
          </w:rPr>
          <w:t>-Briefing-Paper-5-fragile-vulnerable-FINAL-2021.pdf</w:t>
        </w:r>
      </w:hyperlink>
      <w:r w:rsidRPr="004E2F43">
        <w:t xml:space="preserve"> </w:t>
      </w:r>
      <w:r>
        <w:t>(accessed 27 June 2022).</w:t>
      </w:r>
    </w:p>
    <w:p w14:paraId="0644EBF6" w14:textId="7637F5F4" w:rsidR="008B7D3C" w:rsidRDefault="008B7D3C" w:rsidP="004E2F43">
      <w:pPr>
        <w:pStyle w:val="References"/>
      </w:pPr>
      <w:r>
        <w:t xml:space="preserve">World Physiotherapy. 2020b. World Physiotherapy response to </w:t>
      </w:r>
      <w:r w:rsidR="002F6FBA">
        <w:t>COVID</w:t>
      </w:r>
      <w:r w:rsidR="002F6FBA">
        <w:noBreakHyphen/>
        <w:t>19</w:t>
      </w:r>
      <w:r>
        <w:t xml:space="preserve"> Briefing paper 9: Safe Rehabilitation Approaches for People Living with Long Covid: Physical Activity and Exercise. URL: </w:t>
      </w:r>
      <w:hyperlink r:id="rId46" w:history="1">
        <w:r w:rsidRPr="001364CF">
          <w:rPr>
            <w:rStyle w:val="Hyperlink"/>
          </w:rPr>
          <w:t>https://world.physio/sites/default/files/2021-07/Briefing-Paper-9-Long-Covid-FINAL-English-202107.pdf</w:t>
        </w:r>
      </w:hyperlink>
      <w:r w:rsidRPr="004E2F43">
        <w:t xml:space="preserve"> </w:t>
      </w:r>
      <w:r>
        <w:t>(accessed 27 June 2022).</w:t>
      </w:r>
    </w:p>
    <w:sectPr w:rsidR="008B7D3C" w:rsidSect="003309CA">
      <w:headerReference w:type="default" r:id="rId47"/>
      <w:footerReference w:type="even" r:id="rId48"/>
      <w:footerReference w:type="default" r:id="rId49"/>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30DC" w14:textId="77777777" w:rsidR="009F02F2" w:rsidRDefault="009F02F2">
      <w:r>
        <w:separator/>
      </w:r>
    </w:p>
    <w:p w14:paraId="6EB3256F" w14:textId="77777777" w:rsidR="009F02F2" w:rsidRDefault="009F02F2"/>
  </w:endnote>
  <w:endnote w:type="continuationSeparator" w:id="0">
    <w:p w14:paraId="23A4CB50" w14:textId="77777777" w:rsidR="009F02F2" w:rsidRDefault="009F02F2">
      <w:r>
        <w:continuationSeparator/>
      </w:r>
    </w:p>
    <w:p w14:paraId="04186FC4" w14:textId="77777777" w:rsidR="009F02F2" w:rsidRDefault="009F0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8357" w14:textId="7774191C" w:rsidR="00DF5B12" w:rsidRPr="00581136" w:rsidRDefault="00DF5B12" w:rsidP="005A79E5">
    <w:pPr>
      <w:pStyle w:val="Footer"/>
      <w:pBdr>
        <w:bottom w:val="single" w:sz="4" w:space="1" w:color="auto"/>
      </w:pBdr>
      <w:tabs>
        <w:tab w:val="right" w:pos="9639"/>
      </w:tabs>
      <w:rPr>
        <w:b/>
      </w:rPr>
    </w:pPr>
    <w:r w:rsidRPr="00581136">
      <w:rPr>
        <w:b/>
      </w:rPr>
      <w:t>Released 20</w:t>
    </w:r>
    <w:r>
      <w:rPr>
        <w:b/>
      </w:rPr>
      <w:t>22</w:t>
    </w:r>
    <w:r w:rsidRPr="00581136">
      <w:rPr>
        <w:b/>
      </w:rPr>
      <w:tab/>
      <w:t>health.govt.nz</w:t>
    </w:r>
  </w:p>
  <w:p w14:paraId="524869F6" w14:textId="77777777" w:rsidR="00DF5B12" w:rsidRPr="005A79E5" w:rsidRDefault="00DF5B12">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DA70" w14:textId="77777777" w:rsidR="00DF5B12" w:rsidRDefault="00DF5B12"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0E96" w14:textId="77777777" w:rsidR="00DF5B12" w:rsidRDefault="00DF5B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DF5B12" w14:paraId="5E5C7984" w14:textId="77777777" w:rsidTr="00DF5B12">
      <w:trPr>
        <w:cantSplit/>
      </w:trPr>
      <w:tc>
        <w:tcPr>
          <w:tcW w:w="709" w:type="dxa"/>
          <w:vAlign w:val="center"/>
        </w:tcPr>
        <w:p w14:paraId="1F7F4ACE" w14:textId="77777777" w:rsidR="00DF5B12" w:rsidRPr="00931466" w:rsidRDefault="00DF5B12" w:rsidP="00DF5B12">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16502">
            <w:rPr>
              <w:rStyle w:val="PageNumber"/>
              <w:noProof/>
            </w:rPr>
            <w:t>iv</w:t>
          </w:r>
          <w:r w:rsidRPr="00931466">
            <w:rPr>
              <w:rStyle w:val="PageNumber"/>
            </w:rPr>
            <w:fldChar w:fldCharType="end"/>
          </w:r>
        </w:p>
      </w:tc>
      <w:tc>
        <w:tcPr>
          <w:tcW w:w="8080" w:type="dxa"/>
          <w:vAlign w:val="center"/>
        </w:tcPr>
        <w:p w14:paraId="716582EC" w14:textId="76A670E6" w:rsidR="00DF5B12" w:rsidRDefault="00DF5B12" w:rsidP="008B7D3C">
          <w:pPr>
            <w:pStyle w:val="RectoFooter"/>
            <w:jc w:val="left"/>
          </w:pPr>
          <w:r>
            <w:t>Guidance for the Acute Phase of Rehabilitation of People</w:t>
          </w:r>
          <w:r>
            <w:br/>
            <w:t>with or Recovering from COVID</w:t>
          </w:r>
          <w:r>
            <w:noBreakHyphen/>
            <w:t>19 in Aotearoa New Zealand</w:t>
          </w:r>
        </w:p>
      </w:tc>
    </w:tr>
  </w:tbl>
  <w:p w14:paraId="172F2DDB" w14:textId="77777777" w:rsidR="00DF5B12" w:rsidRPr="00571223" w:rsidRDefault="00DF5B12" w:rsidP="008B7D3C">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F5B12" w14:paraId="71F3685B" w14:textId="77777777" w:rsidTr="00D662F8">
      <w:trPr>
        <w:cantSplit/>
      </w:trPr>
      <w:tc>
        <w:tcPr>
          <w:tcW w:w="8080" w:type="dxa"/>
          <w:vAlign w:val="center"/>
        </w:tcPr>
        <w:p w14:paraId="5784B1D8" w14:textId="1D67F225" w:rsidR="00DF5B12" w:rsidRDefault="00DF5B12" w:rsidP="00061B67">
          <w:pPr>
            <w:pStyle w:val="RectoFooter"/>
          </w:pPr>
          <w:r>
            <w:t>Guidance for the Acute Phase of Rehabilitation of People</w:t>
          </w:r>
          <w:r>
            <w:br/>
            <w:t>with or Recovering from COVID</w:t>
          </w:r>
          <w:r>
            <w:noBreakHyphen/>
            <w:t>19 in Aotearoa New Zealand</w:t>
          </w:r>
        </w:p>
      </w:tc>
      <w:tc>
        <w:tcPr>
          <w:tcW w:w="709" w:type="dxa"/>
          <w:vAlign w:val="center"/>
        </w:tcPr>
        <w:p w14:paraId="18A7A1B5" w14:textId="77777777" w:rsidR="00DF5B12" w:rsidRPr="00931466" w:rsidRDefault="00DF5B1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16502">
            <w:rPr>
              <w:rStyle w:val="PageNumber"/>
              <w:noProof/>
            </w:rPr>
            <w:t>iii</w:t>
          </w:r>
          <w:r w:rsidRPr="00931466">
            <w:rPr>
              <w:rStyle w:val="PageNumber"/>
            </w:rPr>
            <w:fldChar w:fldCharType="end"/>
          </w:r>
        </w:p>
      </w:tc>
    </w:tr>
  </w:tbl>
  <w:p w14:paraId="21F74F77" w14:textId="77777777" w:rsidR="00DF5B12" w:rsidRPr="00581EB8" w:rsidRDefault="00DF5B12"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DF5B12" w14:paraId="4C3A3BF7" w14:textId="77777777" w:rsidTr="00D662F8">
      <w:trPr>
        <w:cantSplit/>
      </w:trPr>
      <w:tc>
        <w:tcPr>
          <w:tcW w:w="709" w:type="dxa"/>
          <w:vAlign w:val="center"/>
        </w:tcPr>
        <w:p w14:paraId="28F87ED7" w14:textId="77777777" w:rsidR="00DF5B12" w:rsidRPr="00931466" w:rsidRDefault="00DF5B12"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77777777" w:rsidR="00DF5B12" w:rsidRDefault="00DF5B12" w:rsidP="00926083">
          <w:pPr>
            <w:pStyle w:val="RectoFooter"/>
            <w:jc w:val="left"/>
          </w:pPr>
          <w:r>
            <w:t>[INSERT TITLE]</w:t>
          </w:r>
        </w:p>
      </w:tc>
    </w:tr>
  </w:tbl>
  <w:p w14:paraId="711B5D80" w14:textId="77777777" w:rsidR="00DF5B12" w:rsidRPr="00571223" w:rsidRDefault="00DF5B12"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F5B12" w14:paraId="58AAB149" w14:textId="77777777" w:rsidTr="00D662F8">
      <w:trPr>
        <w:cantSplit/>
      </w:trPr>
      <w:tc>
        <w:tcPr>
          <w:tcW w:w="8080" w:type="dxa"/>
          <w:vAlign w:val="center"/>
        </w:tcPr>
        <w:p w14:paraId="20E2F0CC" w14:textId="094B6589" w:rsidR="00DF5B12" w:rsidRDefault="00DF5B12" w:rsidP="00061B67">
          <w:pPr>
            <w:pStyle w:val="RectoFooter"/>
          </w:pPr>
          <w:r>
            <w:t>Guidance for the Acute Phase of Rehabilitation of People</w:t>
          </w:r>
          <w:r>
            <w:br/>
            <w:t>with or Recovering from COVID</w:t>
          </w:r>
          <w:r>
            <w:noBreakHyphen/>
            <w:t>19 in Aotearoa New Zealand</w:t>
          </w:r>
        </w:p>
      </w:tc>
      <w:tc>
        <w:tcPr>
          <w:tcW w:w="709" w:type="dxa"/>
          <w:vAlign w:val="center"/>
        </w:tcPr>
        <w:p w14:paraId="3D3C9847" w14:textId="77777777" w:rsidR="00DF5B12" w:rsidRPr="00931466" w:rsidRDefault="00DF5B1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16502">
            <w:rPr>
              <w:rStyle w:val="PageNumber"/>
              <w:noProof/>
            </w:rPr>
            <w:t>v</w:t>
          </w:r>
          <w:r w:rsidRPr="00931466">
            <w:rPr>
              <w:rStyle w:val="PageNumber"/>
            </w:rPr>
            <w:fldChar w:fldCharType="end"/>
          </w:r>
        </w:p>
      </w:tc>
    </w:tr>
  </w:tbl>
  <w:p w14:paraId="27602107" w14:textId="77777777" w:rsidR="00DF5B12" w:rsidRPr="00581EB8" w:rsidRDefault="00DF5B12"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DF5B12" w14:paraId="7E34FA6B" w14:textId="77777777" w:rsidTr="00D662F8">
      <w:trPr>
        <w:cantSplit/>
      </w:trPr>
      <w:tc>
        <w:tcPr>
          <w:tcW w:w="675" w:type="dxa"/>
          <w:vAlign w:val="center"/>
        </w:tcPr>
        <w:p w14:paraId="6281C317" w14:textId="77777777" w:rsidR="00DF5B12" w:rsidRPr="00931466" w:rsidRDefault="00DF5B12"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16502">
            <w:rPr>
              <w:rStyle w:val="PageNumber"/>
              <w:noProof/>
            </w:rPr>
            <w:t>12</w:t>
          </w:r>
          <w:r w:rsidRPr="00931466">
            <w:rPr>
              <w:rStyle w:val="PageNumber"/>
            </w:rPr>
            <w:fldChar w:fldCharType="end"/>
          </w:r>
        </w:p>
      </w:tc>
      <w:tc>
        <w:tcPr>
          <w:tcW w:w="9072" w:type="dxa"/>
          <w:vAlign w:val="center"/>
        </w:tcPr>
        <w:p w14:paraId="27262A64" w14:textId="3823823D" w:rsidR="00DF5B12" w:rsidRDefault="00DF5B12" w:rsidP="00061B67">
          <w:pPr>
            <w:pStyle w:val="RectoFooter"/>
            <w:jc w:val="left"/>
          </w:pPr>
          <w:r>
            <w:t>Guidance for the Acute Phase of Rehabilitation of People</w:t>
          </w:r>
          <w:r>
            <w:br/>
            <w:t>with or Recovering from COVID</w:t>
          </w:r>
          <w:r>
            <w:noBreakHyphen/>
            <w:t>19 in Aotearoa New Zealand</w:t>
          </w:r>
        </w:p>
      </w:tc>
    </w:tr>
  </w:tbl>
  <w:p w14:paraId="5177CEA2" w14:textId="77777777" w:rsidR="00DF5B12" w:rsidRPr="00571223" w:rsidRDefault="00DF5B12"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F5B12" w14:paraId="47337729" w14:textId="77777777" w:rsidTr="00D662F8">
      <w:trPr>
        <w:cantSplit/>
      </w:trPr>
      <w:tc>
        <w:tcPr>
          <w:tcW w:w="8080" w:type="dxa"/>
          <w:vAlign w:val="center"/>
        </w:tcPr>
        <w:p w14:paraId="1A33CBD1" w14:textId="7B82AD3C" w:rsidR="00DF5B12" w:rsidRDefault="00DF5B12" w:rsidP="00061B67">
          <w:pPr>
            <w:pStyle w:val="RectoFooter"/>
          </w:pPr>
          <w:r>
            <w:t>Guidance for the Acute Phase of Rehabilitation of People</w:t>
          </w:r>
          <w:r>
            <w:br/>
            <w:t>with or Recovering from COVID</w:t>
          </w:r>
          <w:r>
            <w:noBreakHyphen/>
            <w:t>19 in Aotearoa New Zealand</w:t>
          </w:r>
        </w:p>
      </w:tc>
      <w:tc>
        <w:tcPr>
          <w:tcW w:w="709" w:type="dxa"/>
          <w:vAlign w:val="center"/>
        </w:tcPr>
        <w:p w14:paraId="501EC334" w14:textId="77777777" w:rsidR="00DF5B12" w:rsidRPr="00931466" w:rsidRDefault="00DF5B1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16502">
            <w:rPr>
              <w:rStyle w:val="PageNumber"/>
              <w:noProof/>
            </w:rPr>
            <w:t>11</w:t>
          </w:r>
          <w:r w:rsidRPr="00931466">
            <w:rPr>
              <w:rStyle w:val="PageNumber"/>
            </w:rPr>
            <w:fldChar w:fldCharType="end"/>
          </w:r>
        </w:p>
      </w:tc>
    </w:tr>
  </w:tbl>
  <w:p w14:paraId="1C6F2E7F" w14:textId="77777777" w:rsidR="00DF5B12" w:rsidRPr="00581EB8" w:rsidRDefault="00DF5B12"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DFDB9" w14:textId="77777777" w:rsidR="009F02F2" w:rsidRPr="00A26E6B" w:rsidRDefault="009F02F2" w:rsidP="00A26E6B"/>
  </w:footnote>
  <w:footnote w:type="continuationSeparator" w:id="0">
    <w:p w14:paraId="727AA3F3" w14:textId="77777777" w:rsidR="009F02F2" w:rsidRDefault="009F02F2">
      <w:r>
        <w:continuationSeparator/>
      </w:r>
    </w:p>
    <w:p w14:paraId="65F0981D" w14:textId="77777777" w:rsidR="009F02F2" w:rsidRDefault="009F02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DF5B12" w14:paraId="11530A0D" w14:textId="77777777" w:rsidTr="008F2B72">
      <w:trPr>
        <w:cantSplit/>
      </w:trPr>
      <w:tc>
        <w:tcPr>
          <w:tcW w:w="5210" w:type="dxa"/>
          <w:vAlign w:val="center"/>
        </w:tcPr>
        <w:p w14:paraId="2BDE3162" w14:textId="4E67EED4" w:rsidR="00DF5B12" w:rsidRDefault="00DF5B12" w:rsidP="00B26F0F">
          <w:pPr>
            <w:pStyle w:val="Header"/>
          </w:pPr>
          <w:r>
            <w:rPr>
              <w:noProof/>
              <w:lang w:eastAsia="en-NZ"/>
            </w:rPr>
            <w:drawing>
              <wp:inline distT="0" distB="0" distL="0" distR="0" wp14:anchorId="04421456" wp14:editId="37258B55">
                <wp:extent cx="2294626" cy="54292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DF5B12" w:rsidRDefault="00DF5B12" w:rsidP="00DF5B12">
          <w:pPr>
            <w:pStyle w:val="Header"/>
            <w:jc w:val="right"/>
          </w:pPr>
          <w:r>
            <w:rPr>
              <w:noProof/>
              <w:lang w:eastAsia="en-NZ"/>
            </w:rPr>
            <w:drawing>
              <wp:anchor distT="0" distB="0" distL="114300" distR="114300" simplePos="0" relativeHeight="251658240" behindDoc="0" locked="0" layoutInCell="1" allowOverlap="1" wp14:anchorId="1D75C094" wp14:editId="6977645A">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AC8EC99" w14:textId="6BBE9A95" w:rsidR="00DF5B12" w:rsidRDefault="00DF5B12" w:rsidP="00061B67">
    <w:pPr>
      <w:pStyle w:val="Header"/>
      <w:spacing w:before="600"/>
    </w:pPr>
    <w:r>
      <w:rPr>
        <w:noProof/>
        <w:lang w:eastAsia="en-NZ"/>
      </w:rPr>
      <w:drawing>
        <wp:inline distT="0" distB="0" distL="0" distR="0" wp14:anchorId="19E61CA2" wp14:editId="2BE53191">
          <wp:extent cx="2582545" cy="371475"/>
          <wp:effectExtent l="0" t="0" r="8255" b="9525"/>
          <wp:docPr id="5" name="Picture 5" descr="Allied Health Aotearoa New Zea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82545" cy="371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B5B58" w14:textId="77777777" w:rsidR="00DF5B12" w:rsidRDefault="00DF5B12"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34B1" w14:textId="77777777" w:rsidR="00DF5B12" w:rsidRDefault="00DF5B12"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22E4F" w14:textId="77777777" w:rsidR="00DF5B12" w:rsidRDefault="00DF5B12"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117B0" w14:textId="77777777" w:rsidR="00DF5B12" w:rsidRDefault="00DF5B12" w:rsidP="009001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EC00" w14:textId="77777777" w:rsidR="00DF5B12" w:rsidRDefault="00DF5B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4AC1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3"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6"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8"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1"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3"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4"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5"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19"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0" w15:restartNumberingAfterBreak="0">
    <w:nsid w:val="53873423"/>
    <w:multiLevelType w:val="hybridMultilevel"/>
    <w:tmpl w:val="616606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3"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4" w15:restartNumberingAfterBreak="0">
    <w:nsid w:val="685E2F02"/>
    <w:multiLevelType w:val="hybridMultilevel"/>
    <w:tmpl w:val="3B522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6"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7"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8"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9" w15:restartNumberingAfterBreak="0">
    <w:nsid w:val="6D08134E"/>
    <w:multiLevelType w:val="hybridMultilevel"/>
    <w:tmpl w:val="67F0C2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0A65D09"/>
    <w:multiLevelType w:val="hybridMultilevel"/>
    <w:tmpl w:val="DDE4F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3"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5"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6"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4"/>
  </w:num>
  <w:num w:numId="2">
    <w:abstractNumId w:val="25"/>
  </w:num>
  <w:num w:numId="3">
    <w:abstractNumId w:val="16"/>
  </w:num>
  <w:num w:numId="4">
    <w:abstractNumId w:val="17"/>
  </w:num>
  <w:num w:numId="5">
    <w:abstractNumId w:val="1"/>
  </w:num>
  <w:num w:numId="6">
    <w:abstractNumId w:val="36"/>
  </w:num>
  <w:num w:numId="7">
    <w:abstractNumId w:val="13"/>
  </w:num>
  <w:num w:numId="8">
    <w:abstractNumId w:val="3"/>
  </w:num>
  <w:num w:numId="9">
    <w:abstractNumId w:val="33"/>
  </w:num>
  <w:num w:numId="10">
    <w:abstractNumId w:val="2"/>
  </w:num>
  <w:num w:numId="11">
    <w:abstractNumId w:val="31"/>
  </w:num>
  <w:num w:numId="12">
    <w:abstractNumId w:val="4"/>
  </w:num>
  <w:num w:numId="13">
    <w:abstractNumId w:val="8"/>
  </w:num>
  <w:num w:numId="14">
    <w:abstractNumId w:val="6"/>
  </w:num>
  <w:num w:numId="15">
    <w:abstractNumId w:val="9"/>
  </w:num>
  <w:num w:numId="16">
    <w:abstractNumId w:val="21"/>
  </w:num>
  <w:num w:numId="17">
    <w:abstractNumId w:val="11"/>
  </w:num>
  <w:num w:numId="18">
    <w:abstractNumId w:val="27"/>
  </w:num>
  <w:num w:numId="19">
    <w:abstractNumId w:val="12"/>
  </w:num>
  <w:num w:numId="20">
    <w:abstractNumId w:val="19"/>
  </w:num>
  <w:num w:numId="21">
    <w:abstractNumId w:val="7"/>
  </w:num>
  <w:num w:numId="22">
    <w:abstractNumId w:val="5"/>
  </w:num>
  <w:num w:numId="23">
    <w:abstractNumId w:val="23"/>
  </w:num>
  <w:num w:numId="24">
    <w:abstractNumId w:val="22"/>
  </w:num>
  <w:num w:numId="25">
    <w:abstractNumId w:val="35"/>
  </w:num>
  <w:num w:numId="26">
    <w:abstractNumId w:val="14"/>
  </w:num>
  <w:num w:numId="27">
    <w:abstractNumId w:val="28"/>
  </w:num>
  <w:num w:numId="28">
    <w:abstractNumId w:val="26"/>
  </w:num>
  <w:num w:numId="29">
    <w:abstractNumId w:val="18"/>
  </w:num>
  <w:num w:numId="30">
    <w:abstractNumId w:val="10"/>
  </w:num>
  <w:num w:numId="31">
    <w:abstractNumId w:val="32"/>
  </w:num>
  <w:num w:numId="32">
    <w:abstractNumId w:val="15"/>
  </w:num>
  <w:num w:numId="33">
    <w:abstractNumId w:val="0"/>
  </w:num>
  <w:num w:numId="34">
    <w:abstractNumId w:val="30"/>
  </w:num>
  <w:num w:numId="35">
    <w:abstractNumId w:val="20"/>
  </w:num>
  <w:num w:numId="36">
    <w:abstractNumId w:val="29"/>
  </w:num>
  <w:num w:numId="3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54B44"/>
    <w:rsid w:val="00061B67"/>
    <w:rsid w:val="0006228D"/>
    <w:rsid w:val="00072BD6"/>
    <w:rsid w:val="00075B78"/>
    <w:rsid w:val="00075E9B"/>
    <w:rsid w:val="000763E9"/>
    <w:rsid w:val="00082CD6"/>
    <w:rsid w:val="0008437D"/>
    <w:rsid w:val="00085AFE"/>
    <w:rsid w:val="00086BD6"/>
    <w:rsid w:val="00094800"/>
    <w:rsid w:val="0009595F"/>
    <w:rsid w:val="000A41ED"/>
    <w:rsid w:val="000B0730"/>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82F95"/>
    <w:rsid w:val="0018662D"/>
    <w:rsid w:val="00197427"/>
    <w:rsid w:val="001A21B4"/>
    <w:rsid w:val="001A5CF5"/>
    <w:rsid w:val="001B39D2"/>
    <w:rsid w:val="001B4BF8"/>
    <w:rsid w:val="001C2022"/>
    <w:rsid w:val="001C4326"/>
    <w:rsid w:val="001C665E"/>
    <w:rsid w:val="001D3541"/>
    <w:rsid w:val="001D3E4E"/>
    <w:rsid w:val="001E254A"/>
    <w:rsid w:val="001E7386"/>
    <w:rsid w:val="001F45A7"/>
    <w:rsid w:val="00201A01"/>
    <w:rsid w:val="0020754B"/>
    <w:rsid w:val="002104D3"/>
    <w:rsid w:val="00213A33"/>
    <w:rsid w:val="0021763B"/>
    <w:rsid w:val="00222648"/>
    <w:rsid w:val="00246DB1"/>
    <w:rsid w:val="002476B5"/>
    <w:rsid w:val="002520CC"/>
    <w:rsid w:val="00253ECF"/>
    <w:rsid w:val="002546A1"/>
    <w:rsid w:val="002628F4"/>
    <w:rsid w:val="00275D08"/>
    <w:rsid w:val="00284B38"/>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F4685"/>
    <w:rsid w:val="002F6FBA"/>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97E60"/>
    <w:rsid w:val="003A26A5"/>
    <w:rsid w:val="003A3761"/>
    <w:rsid w:val="003A512D"/>
    <w:rsid w:val="003A5FEA"/>
    <w:rsid w:val="003B1D10"/>
    <w:rsid w:val="003C76D4"/>
    <w:rsid w:val="003D137D"/>
    <w:rsid w:val="003D2CC5"/>
    <w:rsid w:val="003E04C1"/>
    <w:rsid w:val="003E0887"/>
    <w:rsid w:val="003E5AF1"/>
    <w:rsid w:val="003E74C8"/>
    <w:rsid w:val="003E7C46"/>
    <w:rsid w:val="003F2106"/>
    <w:rsid w:val="003F52A7"/>
    <w:rsid w:val="003F7013"/>
    <w:rsid w:val="0040240C"/>
    <w:rsid w:val="00413021"/>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210D"/>
    <w:rsid w:val="004E2F43"/>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65FD"/>
    <w:rsid w:val="00567B58"/>
    <w:rsid w:val="00571223"/>
    <w:rsid w:val="005763E0"/>
    <w:rsid w:val="00581136"/>
    <w:rsid w:val="00581EB8"/>
    <w:rsid w:val="005A27CA"/>
    <w:rsid w:val="005A43BD"/>
    <w:rsid w:val="005A79E5"/>
    <w:rsid w:val="005D034C"/>
    <w:rsid w:val="005D5E45"/>
    <w:rsid w:val="005E226E"/>
    <w:rsid w:val="005E2636"/>
    <w:rsid w:val="005F77FC"/>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67E20"/>
    <w:rsid w:val="00671078"/>
    <w:rsid w:val="006758CA"/>
    <w:rsid w:val="0067720E"/>
    <w:rsid w:val="00680A04"/>
    <w:rsid w:val="00686D80"/>
    <w:rsid w:val="00694895"/>
    <w:rsid w:val="00697E2E"/>
    <w:rsid w:val="006A25A2"/>
    <w:rsid w:val="006A3B87"/>
    <w:rsid w:val="006B0E73"/>
    <w:rsid w:val="006B1E3D"/>
    <w:rsid w:val="006B4A4D"/>
    <w:rsid w:val="006B5695"/>
    <w:rsid w:val="006B7B2E"/>
    <w:rsid w:val="006C2342"/>
    <w:rsid w:val="006C78EB"/>
    <w:rsid w:val="006D1660"/>
    <w:rsid w:val="006D63E5"/>
    <w:rsid w:val="006E1753"/>
    <w:rsid w:val="006E3911"/>
    <w:rsid w:val="006E4065"/>
    <w:rsid w:val="006F1B67"/>
    <w:rsid w:val="006F4D9C"/>
    <w:rsid w:val="0070091D"/>
    <w:rsid w:val="00702854"/>
    <w:rsid w:val="0071741C"/>
    <w:rsid w:val="00742B90"/>
    <w:rsid w:val="0074434D"/>
    <w:rsid w:val="007570C4"/>
    <w:rsid w:val="007605B8"/>
    <w:rsid w:val="00771B1E"/>
    <w:rsid w:val="00773C95"/>
    <w:rsid w:val="00777CBC"/>
    <w:rsid w:val="0078171E"/>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1DDE"/>
    <w:rsid w:val="008052E1"/>
    <w:rsid w:val="00822F2C"/>
    <w:rsid w:val="00823DEE"/>
    <w:rsid w:val="008305E8"/>
    <w:rsid w:val="00836165"/>
    <w:rsid w:val="0084640C"/>
    <w:rsid w:val="008548B7"/>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A74FB"/>
    <w:rsid w:val="008B19DC"/>
    <w:rsid w:val="008B264F"/>
    <w:rsid w:val="008B6F83"/>
    <w:rsid w:val="008B7D3C"/>
    <w:rsid w:val="008B7FD8"/>
    <w:rsid w:val="008C1108"/>
    <w:rsid w:val="008C2973"/>
    <w:rsid w:val="008C6324"/>
    <w:rsid w:val="008C64C4"/>
    <w:rsid w:val="008D2CDD"/>
    <w:rsid w:val="008D74D5"/>
    <w:rsid w:val="008E0ED1"/>
    <w:rsid w:val="008E3A07"/>
    <w:rsid w:val="008E537B"/>
    <w:rsid w:val="008F29BE"/>
    <w:rsid w:val="008F2B72"/>
    <w:rsid w:val="008F4AE5"/>
    <w:rsid w:val="008F51EB"/>
    <w:rsid w:val="00900197"/>
    <w:rsid w:val="00902F55"/>
    <w:rsid w:val="0090582B"/>
    <w:rsid w:val="009060C0"/>
    <w:rsid w:val="009114A2"/>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B7B42"/>
    <w:rsid w:val="009C151C"/>
    <w:rsid w:val="009C440A"/>
    <w:rsid w:val="009D5125"/>
    <w:rsid w:val="009D60B8"/>
    <w:rsid w:val="009D7D4B"/>
    <w:rsid w:val="009E36ED"/>
    <w:rsid w:val="009E3C8C"/>
    <w:rsid w:val="009E6B77"/>
    <w:rsid w:val="009F02F2"/>
    <w:rsid w:val="009F460A"/>
    <w:rsid w:val="009F6A29"/>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9364A"/>
    <w:rsid w:val="00AA240C"/>
    <w:rsid w:val="00AC101C"/>
    <w:rsid w:val="00AD4CF1"/>
    <w:rsid w:val="00AD5988"/>
    <w:rsid w:val="00AD6293"/>
    <w:rsid w:val="00AF1BA8"/>
    <w:rsid w:val="00AF7800"/>
    <w:rsid w:val="00B00CF5"/>
    <w:rsid w:val="00B072E0"/>
    <w:rsid w:val="00B1007E"/>
    <w:rsid w:val="00B253F6"/>
    <w:rsid w:val="00B26675"/>
    <w:rsid w:val="00B26F0F"/>
    <w:rsid w:val="00B305DB"/>
    <w:rsid w:val="00B332F8"/>
    <w:rsid w:val="00B3492B"/>
    <w:rsid w:val="00B4646F"/>
    <w:rsid w:val="00B51795"/>
    <w:rsid w:val="00B55C7D"/>
    <w:rsid w:val="00B63038"/>
    <w:rsid w:val="00B64BD8"/>
    <w:rsid w:val="00B701D1"/>
    <w:rsid w:val="00B73AF2"/>
    <w:rsid w:val="00B7551A"/>
    <w:rsid w:val="00B773F1"/>
    <w:rsid w:val="00B86AB1"/>
    <w:rsid w:val="00B97F07"/>
    <w:rsid w:val="00BA7EBA"/>
    <w:rsid w:val="00BB2A06"/>
    <w:rsid w:val="00BB2CBB"/>
    <w:rsid w:val="00BB4198"/>
    <w:rsid w:val="00BC03EE"/>
    <w:rsid w:val="00BC59F1"/>
    <w:rsid w:val="00BF3DE1"/>
    <w:rsid w:val="00BF4843"/>
    <w:rsid w:val="00BF5205"/>
    <w:rsid w:val="00C05132"/>
    <w:rsid w:val="00C12508"/>
    <w:rsid w:val="00C21B68"/>
    <w:rsid w:val="00C23728"/>
    <w:rsid w:val="00C3026C"/>
    <w:rsid w:val="00C313A9"/>
    <w:rsid w:val="00C43801"/>
    <w:rsid w:val="00C441CF"/>
    <w:rsid w:val="00C45AA2"/>
    <w:rsid w:val="00C4792C"/>
    <w:rsid w:val="00C51F99"/>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16502"/>
    <w:rsid w:val="00D20C59"/>
    <w:rsid w:val="00D23323"/>
    <w:rsid w:val="00D2392A"/>
    <w:rsid w:val="00D25FFE"/>
    <w:rsid w:val="00D27CDA"/>
    <w:rsid w:val="00D37D80"/>
    <w:rsid w:val="00D4476F"/>
    <w:rsid w:val="00D50573"/>
    <w:rsid w:val="00D54D50"/>
    <w:rsid w:val="00D560B4"/>
    <w:rsid w:val="00D662F8"/>
    <w:rsid w:val="00D66797"/>
    <w:rsid w:val="00D7074B"/>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DF5B12"/>
    <w:rsid w:val="00E23271"/>
    <w:rsid w:val="00E24F80"/>
    <w:rsid w:val="00E259F3"/>
    <w:rsid w:val="00E30985"/>
    <w:rsid w:val="00E33238"/>
    <w:rsid w:val="00E376B7"/>
    <w:rsid w:val="00E42F5D"/>
    <w:rsid w:val="00E4486C"/>
    <w:rsid w:val="00E460B6"/>
    <w:rsid w:val="00E511D5"/>
    <w:rsid w:val="00E53A9F"/>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32260"/>
    <w:rsid w:val="00F5180D"/>
    <w:rsid w:val="00F63781"/>
    <w:rsid w:val="00F67496"/>
    <w:rsid w:val="00F801BA"/>
    <w:rsid w:val="00F9366A"/>
    <w:rsid w:val="00F946C9"/>
    <w:rsid w:val="00FA0EA5"/>
    <w:rsid w:val="00FA74EE"/>
    <w:rsid w:val="00FC3711"/>
    <w:rsid w:val="00FC46E7"/>
    <w:rsid w:val="00FC5D25"/>
    <w:rsid w:val="00FD0D7E"/>
    <w:rsid w:val="00FD4FFB"/>
    <w:rsid w:val="00FE27A0"/>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EEEB9C"/>
  <w15:docId w15:val="{B19A3EA7-DA05-436D-9F65-22293F2D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2F6FBA"/>
    <w:pPr>
      <w:keepNext/>
      <w:spacing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4E2F43"/>
    <w:pPr>
      <w:tabs>
        <w:tab w:val="right" w:pos="8080"/>
      </w:tabs>
      <w:spacing w:before="120"/>
      <w:ind w:left="992" w:right="567" w:hanging="992"/>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061B67"/>
    <w:pPr>
      <w:spacing w:line="216" w:lineRule="auto"/>
      <w:ind w:right="2268"/>
    </w:pPr>
    <w:rPr>
      <w:rFonts w:ascii="Segoe UI Black" w:hAnsi="Segoe UI Black" w:cs="Lucida Sans Unicode"/>
      <w:b/>
      <w:sz w:val="64"/>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2F6FBA"/>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061B67"/>
    <w:rPr>
      <w:rFonts w:ascii="Segoe UI Black" w:hAnsi="Segoe UI Black" w:cs="Lucida Sans Unicode"/>
      <w:b/>
      <w:sz w:val="64"/>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Caption">
    <w:name w:val="caption"/>
    <w:basedOn w:val="Normal"/>
    <w:next w:val="Normal"/>
    <w:unhideWhenUsed/>
    <w:qFormat/>
    <w:rsid w:val="00DF5B1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hyperlink" Target="https://psychology.org.au/getmedia/0c1ece8a-7fce-4d0f-ad44-833ed9dba71a/20aps-is-covid-19-public-telehealth-p2_1.pdf" TargetMode="External"/><Relationship Id="rId39" Type="http://schemas.openxmlformats.org/officeDocument/2006/relationships/hyperlink" Target="http://www.tracheostomy.org.uk/storage/files/NTSP%20COVID_19%20tracheostomy%20guidance%2031_3_20.pdf"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www.health.govt.nz/publication/initial-COVID%2019-maori-response-action-plan" TargetMode="External"/><Relationship Id="rId42" Type="http://schemas.openxmlformats.org/officeDocument/2006/relationships/hyperlink" Target="https://scanmail.trustwave.com/?c=15517&amp;d=8qbg3vFJaEmGqrV6zqWbkOde2fB4BO1SEqIfPOILzg&amp;u=https%3a%2f%2fspeechtherapy%2eorg%2enz%2fwp-content%2fuploads%2f2013%2f09%2fNZSTA-Scope-of-Practice-2012%2epdf" TargetMode="External"/><Relationship Id="rId47" Type="http://schemas.openxmlformats.org/officeDocument/2006/relationships/header" Target="header6.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erj.ersjournals.com/content/early/2022/02/03/13993003.02174-2021.abstract" TargetMode="External"/><Relationship Id="rId33" Type="http://schemas.openxmlformats.org/officeDocument/2006/relationships/hyperlink" Target="https://wfot.org/assets/resources/McMaster-Rehabilitation-for-Patients-with-COVID-19-Apr-08-2020.pdf" TargetMode="External"/><Relationship Id="rId38" Type="http://schemas.openxmlformats.org/officeDocument/2006/relationships/hyperlink" Target="https://www.nice.org.uk/guidance/ng191/resources/covid19-rapid-guideline-managing-covid19-pdf-51035553326" TargetMode="External"/><Relationship Id="rId46" Type="http://schemas.openxmlformats.org/officeDocument/2006/relationships/hyperlink" Target="https://world.physio/sites/default/files/2021-07/Briefing-Paper-9-Long-Covid-FINAL-English-202107.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brit-thoracic.org.uk/document-library/quality-improvement/covid-19/bts-advice-for-community-respiratory-services-in-relation-to-covid19/" TargetMode="External"/><Relationship Id="rId41" Type="http://schemas.openxmlformats.org/officeDocument/2006/relationships/hyperlink" Target="http://www.psychology.org.nz/public/community-resources/covid-19-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s://ers.app.box.com/s/j09ysr2kdhmkcu1ulm8y8dxnosm6yi0h" TargetMode="External"/><Relationship Id="rId37" Type="http://schemas.openxmlformats.org/officeDocument/2006/relationships/hyperlink" Target="http://www.health.govt.nz/covid-19-novel-coronavirus/covid-19-health-advice-public/about-covid-19/long-covid" TargetMode="External"/><Relationship Id="rId40" Type="http://schemas.openxmlformats.org/officeDocument/2006/relationships/hyperlink" Target="http://www.nzccp.co.nz/about-the-college/news/covid-19-information-and-resources/" TargetMode="External"/><Relationship Id="rId45" Type="http://schemas.openxmlformats.org/officeDocument/2006/relationships/hyperlink" Target="https://world.physio/sites/default/files/2021-06/COVID-19-Briefing-Paper-5-fragile-vulnerable-FINAL-2021.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s://www.bsrm.org.uk/downloads/covid-19bsrmissue1-published-27-4-2020.pdf" TargetMode="External"/><Relationship Id="rId36" Type="http://schemas.openxmlformats.org/officeDocument/2006/relationships/hyperlink" Target="http://www.health.govt.nz/our-work/regulation-health-and-disability-system/health-practitioners-competence-assurance-act/responsible-authorities-under-act" TargetMode="External"/><Relationship Id="rId49"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cepnz.org.nz/scope-of-practice" TargetMode="External"/><Relationship Id="rId44" Type="http://schemas.openxmlformats.org/officeDocument/2006/relationships/hyperlink" Target="http://www.tepunahamatatini.ac.nz/2020/04/17/estimated-inequities-in-covid-19-infection-fatality-rates-by-ethnicity-for-aotearoa-new-zea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eader" Target="header5.xml"/><Relationship Id="rId27" Type="http://schemas.openxmlformats.org/officeDocument/2006/relationships/hyperlink" Target="https://www.bps.org.uk/coronavirus-resources" TargetMode="External"/><Relationship Id="rId30" Type="http://schemas.openxmlformats.org/officeDocument/2006/relationships/hyperlink" Target="https://www.csp.org.uk/professional-clinical/improvement-innovation/community-rehabilitation/rehab-covid-19-policy-statement" TargetMode="External"/><Relationship Id="rId35" Type="http://schemas.openxmlformats.org/officeDocument/2006/relationships/hyperlink" Target="https://www.health.govt.nz/publication/whakamaua-maori-health-action-plan-2020-2025" TargetMode="External"/><Relationship Id="rId43" Type="http://schemas.openxmlformats.org/officeDocument/2006/relationships/hyperlink" Target="https://swrb.govt.nz/practice/scope-of-practice/" TargetMode="External"/><Relationship Id="rId48"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2.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7FFB0-260E-4BEB-AB23-5A43F0263A5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ee7631-8705-4e4e-a159-243698bf6794"/>
    <ds:schemaRef ds:uri="http://purl.org/dc/elements/1.1/"/>
    <ds:schemaRef ds:uri="http://schemas.microsoft.com/office/2006/metadata/properties"/>
    <ds:schemaRef ds:uri="bceb9309-8f47-415f-aa59-4677cf6ce37d"/>
    <ds:schemaRef ds:uri="http://www.w3.org/XML/1998/namespace"/>
    <ds:schemaRef ds:uri="http://purl.org/dc/dcmitype/"/>
  </ds:schemaRefs>
</ds:datastoreItem>
</file>

<file path=customXml/itemProps4.xml><?xml version="1.0" encoding="utf-8"?>
<ds:datastoreItem xmlns:ds="http://schemas.openxmlformats.org/officeDocument/2006/customXml" ds:itemID="{9B45A406-716A-47A3-BF8E-9476DE78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22</Pages>
  <Words>5560</Words>
  <Characters>35864</Characters>
  <Application>Microsoft Office Word</Application>
  <DocSecurity>4</DocSecurity>
  <Lines>834</Lines>
  <Paragraphs>285</Paragraphs>
  <ScaleCrop>false</ScaleCrop>
  <HeadingPairs>
    <vt:vector size="2" baseType="variant">
      <vt:variant>
        <vt:lpstr>Title</vt:lpstr>
      </vt:variant>
      <vt:variant>
        <vt:i4>1</vt:i4>
      </vt:variant>
    </vt:vector>
  </HeadingPairs>
  <TitlesOfParts>
    <vt:vector size="1" baseType="lpstr">
      <vt:lpstr>Guidance for the Acute Phase of Rehabilitation of People with or Recovering from COVID 19 in Aotearoa New Zealand</vt:lpstr>
    </vt:vector>
  </TitlesOfParts>
  <Company>Microsoft</Company>
  <LinksUpToDate>false</LinksUpToDate>
  <CharactersWithSpaces>41139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the Acute Phase of Rehabilitation of People with or Recovering from COVID 19 in Aotearoa New Zealand</dc:title>
  <dc:creator>Ministry of Health</dc:creator>
  <cp:lastModifiedBy>Ministry of Health</cp:lastModifiedBy>
  <cp:revision>2</cp:revision>
  <cp:lastPrinted>2022-07-01T00:59:00Z</cp:lastPrinted>
  <dcterms:created xsi:type="dcterms:W3CDTF">2022-07-01T01:26:00Z</dcterms:created>
  <dcterms:modified xsi:type="dcterms:W3CDTF">2022-07-01T01:26:00Z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