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258AB" w14:textId="6B6891A9" w:rsidR="005C5517" w:rsidRPr="005C5517" w:rsidRDefault="005C5517" w:rsidP="005C5517">
      <w:pPr>
        <w:pStyle w:val="Heading1"/>
      </w:pPr>
      <w:bookmarkStart w:id="0" w:name="_Toc2753222"/>
      <w:r w:rsidRPr="005C5517">
        <w:t xml:space="preserve">COVID-19: </w:t>
      </w:r>
      <w:r w:rsidR="00F86C81">
        <w:t>R</w:t>
      </w:r>
      <w:r w:rsidRPr="005C5517">
        <w:t>oad ambulance transfer of patients, Aotearoa New Zealand</w:t>
      </w:r>
    </w:p>
    <w:p w14:paraId="4960624D" w14:textId="77777777" w:rsidR="005C5517" w:rsidRDefault="005C5517" w:rsidP="005C5517">
      <w:pPr>
        <w:pStyle w:val="paragraph"/>
        <w:rPr>
          <w:rStyle w:val="normaltextrun1"/>
          <w:rFonts w:ascii="Segoe UI" w:hAnsi="Segoe UI" w:cs="Segoe UI"/>
          <w:sz w:val="21"/>
          <w:szCs w:val="21"/>
        </w:rPr>
      </w:pPr>
    </w:p>
    <w:p w14:paraId="73BE31DF" w14:textId="5DB2D63F" w:rsidR="005C5517" w:rsidRPr="005C5517" w:rsidRDefault="00F7044D" w:rsidP="005C5517">
      <w:pPr>
        <w:pStyle w:val="paragraph"/>
        <w:rPr>
          <w:rFonts w:ascii="Segoe UI" w:hAnsi="Segoe UI" w:cs="Segoe UI"/>
          <w:sz w:val="21"/>
          <w:szCs w:val="21"/>
        </w:rPr>
      </w:pPr>
      <w:r>
        <w:rPr>
          <w:rStyle w:val="normaltextrun1"/>
          <w:rFonts w:ascii="Segoe UI" w:hAnsi="Segoe UI" w:cs="Segoe UI"/>
          <w:sz w:val="21"/>
          <w:szCs w:val="21"/>
        </w:rPr>
        <w:t>12 September</w:t>
      </w:r>
      <w:r w:rsidR="005C5517">
        <w:rPr>
          <w:rStyle w:val="normaltextrun1"/>
          <w:rFonts w:ascii="Segoe UI" w:hAnsi="Segoe UI" w:cs="Segoe UI"/>
          <w:sz w:val="21"/>
          <w:szCs w:val="21"/>
        </w:rPr>
        <w:t xml:space="preserve"> 2022</w:t>
      </w:r>
    </w:p>
    <w:p w14:paraId="628C2B06" w14:textId="77777777" w:rsidR="005C5517" w:rsidRPr="005C5517" w:rsidRDefault="005C5517" w:rsidP="005C5517">
      <w:pPr>
        <w:pStyle w:val="Heading2"/>
      </w:pPr>
      <w:r w:rsidRPr="005C5517">
        <w:t>Purpose  </w:t>
      </w:r>
    </w:p>
    <w:p w14:paraId="08F7E0A2" w14:textId="1BD271C4" w:rsidR="00AF1727" w:rsidRDefault="00AF1727" w:rsidP="00AF1727">
      <w:pPr>
        <w:pStyle w:val="Body"/>
        <w:rPr>
          <w:rFonts w:ascii="Segoe UI" w:eastAsia="Segoe UI" w:hAnsi="Segoe UI" w:cs="Segoe UI"/>
          <w:sz w:val="21"/>
          <w:szCs w:val="21"/>
        </w:rPr>
      </w:pPr>
      <w:r w:rsidRPr="00E62F22">
        <w:rPr>
          <w:rFonts w:ascii="Segoe UI" w:eastAsia="Segoe UI" w:hAnsi="Segoe UI" w:cs="Segoe UI"/>
          <w:sz w:val="21"/>
          <w:szCs w:val="21"/>
        </w:rPr>
        <w:t xml:space="preserve">This document is a national guideline for the </w:t>
      </w:r>
      <w:r>
        <w:rPr>
          <w:rFonts w:ascii="Segoe UI" w:eastAsia="Segoe UI" w:hAnsi="Segoe UI" w:cs="Segoe UI"/>
          <w:sz w:val="21"/>
          <w:szCs w:val="21"/>
        </w:rPr>
        <w:t xml:space="preserve">road </w:t>
      </w:r>
      <w:r w:rsidRPr="00E62F22">
        <w:rPr>
          <w:rFonts w:ascii="Segoe UI" w:eastAsia="Segoe UI" w:hAnsi="Segoe UI" w:cs="Segoe UI"/>
          <w:sz w:val="21"/>
          <w:szCs w:val="21"/>
        </w:rPr>
        <w:t xml:space="preserve">transport of patients, including suspected and confirmed COVID-19 positive patients. </w:t>
      </w:r>
      <w:r w:rsidR="00032283">
        <w:rPr>
          <w:rFonts w:ascii="Segoe UI" w:eastAsia="Segoe UI" w:hAnsi="Segoe UI" w:cs="Segoe UI"/>
          <w:sz w:val="21"/>
          <w:szCs w:val="21"/>
        </w:rPr>
        <w:t>It aligns with Government recommendations</w:t>
      </w:r>
      <w:r w:rsidR="00635B1B">
        <w:rPr>
          <w:rFonts w:ascii="Segoe UI" w:eastAsia="Segoe UI" w:hAnsi="Segoe UI" w:cs="Segoe UI"/>
          <w:sz w:val="21"/>
          <w:szCs w:val="21"/>
        </w:rPr>
        <w:t xml:space="preserve"> and is subject to continuous review.</w:t>
      </w:r>
    </w:p>
    <w:p w14:paraId="73632479" w14:textId="77777777" w:rsidR="001A0DE8" w:rsidRDefault="001A0DE8" w:rsidP="00AF1727">
      <w:pPr>
        <w:pStyle w:val="Body"/>
        <w:rPr>
          <w:rFonts w:ascii="Segoe UI" w:eastAsia="Segoe UI" w:hAnsi="Segoe UI" w:cs="Segoe UI"/>
          <w:sz w:val="21"/>
          <w:szCs w:val="21"/>
        </w:rPr>
      </w:pPr>
    </w:p>
    <w:p w14:paraId="6F105E2B" w14:textId="77777777" w:rsidR="005C5517" w:rsidRDefault="005C5517" w:rsidP="005C5517">
      <w:pPr>
        <w:pStyle w:val="paragraph"/>
        <w:spacing w:after="120"/>
        <w:textAlignment w:val="baseline"/>
        <w:rPr>
          <w:color w:val="000000"/>
          <w:lang w:val="en-US"/>
        </w:rPr>
      </w:pPr>
      <w:r w:rsidRPr="2626D826">
        <w:rPr>
          <w:rStyle w:val="normaltextrun1"/>
          <w:rFonts w:ascii="Segoe UI" w:hAnsi="Segoe UI" w:cs="Segoe UI"/>
          <w:sz w:val="21"/>
          <w:szCs w:val="21"/>
        </w:rPr>
        <w:t xml:space="preserve">The document is intended to inform decision-making by health professionals </w:t>
      </w:r>
      <w:r>
        <w:rPr>
          <w:rStyle w:val="normaltextrun1"/>
          <w:rFonts w:ascii="Segoe UI" w:hAnsi="Segoe UI" w:cs="Segoe UI"/>
          <w:sz w:val="21"/>
          <w:szCs w:val="21"/>
        </w:rPr>
        <w:t>about the</w:t>
      </w:r>
      <w:r w:rsidRPr="2626D826">
        <w:rPr>
          <w:rStyle w:val="normaltextrun1"/>
          <w:rFonts w:ascii="Segoe UI" w:hAnsi="Segoe UI" w:cs="Segoe UI"/>
          <w:sz w:val="21"/>
          <w:szCs w:val="21"/>
        </w:rPr>
        <w:t xml:space="preserve"> transfer of patients by road ambulance. It will help to ensure the health and safety of staff undertaking work in this environment. It deals with the potential for ambulance resources to be overwhelmed and aims to help with maintaining sufficient capacity and capability to respond to wider demands on the transfer service. </w:t>
      </w:r>
      <w:r w:rsidRPr="2626D826">
        <w:rPr>
          <w:rStyle w:val="eop"/>
          <w:rFonts w:ascii="Segoe UI" w:hAnsi="Segoe UI" w:cs="Segoe UI"/>
          <w:sz w:val="21"/>
          <w:szCs w:val="21"/>
          <w:lang w:val="en-US"/>
        </w:rPr>
        <w:t> </w:t>
      </w:r>
    </w:p>
    <w:p w14:paraId="61F992E0" w14:textId="77777777" w:rsidR="005C5517" w:rsidRDefault="005C5517" w:rsidP="005C5517">
      <w:pPr>
        <w:pStyle w:val="paragraph"/>
        <w:spacing w:after="120"/>
        <w:textAlignment w:val="baseline"/>
        <w:rPr>
          <w:rStyle w:val="normaltextrun1"/>
          <w:rFonts w:ascii="Segoe UI" w:hAnsi="Segoe UI" w:cs="Segoe UI"/>
          <w:sz w:val="21"/>
          <w:szCs w:val="21"/>
          <w:lang w:val="en-US"/>
        </w:rPr>
      </w:pPr>
      <w:r w:rsidRPr="2626D826">
        <w:rPr>
          <w:rStyle w:val="normaltextrun1"/>
          <w:rFonts w:ascii="Segoe UI" w:hAnsi="Segoe UI" w:cs="Segoe UI"/>
          <w:sz w:val="21"/>
          <w:szCs w:val="21"/>
          <w:lang w:val="en-US"/>
        </w:rPr>
        <w:t>Evidence about the risk</w:t>
      </w:r>
      <w:r>
        <w:rPr>
          <w:rStyle w:val="normaltextrun1"/>
          <w:rFonts w:ascii="Segoe UI" w:hAnsi="Segoe UI" w:cs="Segoe UI"/>
          <w:sz w:val="21"/>
          <w:szCs w:val="21"/>
          <w:lang w:val="en-US"/>
        </w:rPr>
        <w:t xml:space="preserve"> of transmission of SARS-CoV-2</w:t>
      </w:r>
      <w:r w:rsidRPr="2626D826">
        <w:rPr>
          <w:rStyle w:val="normaltextrun1"/>
          <w:rFonts w:ascii="Segoe UI" w:hAnsi="Segoe UI" w:cs="Segoe UI"/>
          <w:sz w:val="21"/>
          <w:szCs w:val="21"/>
          <w:lang w:val="en-US"/>
        </w:rPr>
        <w:t xml:space="preserve"> associated with airway and ventilation procedures continues to evolve. This guideline represents current safe practice at the time of publication. Reviews and discussions within the sector are ongoing, and they will trigger guideline updates.</w:t>
      </w:r>
    </w:p>
    <w:p w14:paraId="3E8493EF" w14:textId="77777777" w:rsidR="005C5517" w:rsidRPr="005C5517" w:rsidRDefault="005C5517" w:rsidP="005C5517">
      <w:pPr>
        <w:pStyle w:val="Heading2"/>
      </w:pPr>
      <w:r w:rsidRPr="005C5517">
        <w:t>Overall considerations </w:t>
      </w:r>
    </w:p>
    <w:p w14:paraId="7F2C1BA0" w14:textId="77777777" w:rsidR="005C5517" w:rsidRDefault="005C5517" w:rsidP="005C5517">
      <w:pPr>
        <w:pStyle w:val="paragraph"/>
        <w:spacing w:after="120"/>
        <w:textAlignment w:val="baseline"/>
        <w:rPr>
          <w:color w:val="000000"/>
          <w:lang w:val="en-US"/>
        </w:rPr>
      </w:pPr>
      <w:r w:rsidRPr="2490B7A8">
        <w:rPr>
          <w:rStyle w:val="normaltextrun1"/>
          <w:rFonts w:ascii="Segoe UI" w:hAnsi="Segoe UI" w:cs="Segoe UI"/>
          <w:sz w:val="21"/>
          <w:szCs w:val="21"/>
        </w:rPr>
        <w:t xml:space="preserve">Where high acuity patients clearly require inter-hospital transfer via rotary wing transportation for clinical reasons, this form of transport should be requested.  However, where clinically safe and feasible, medical staff are encouraged to </w:t>
      </w:r>
      <w:r w:rsidRPr="2490B7A8">
        <w:rPr>
          <w:rStyle w:val="normaltextrun1"/>
          <w:rFonts w:ascii="Segoe UI" w:hAnsi="Segoe UI" w:cs="Segoe UI"/>
          <w:sz w:val="21"/>
          <w:szCs w:val="21"/>
          <w:lang w:val="pt-PT"/>
        </w:rPr>
        <w:t>consider</w:t>
      </w:r>
      <w:r w:rsidRPr="2490B7A8">
        <w:rPr>
          <w:rStyle w:val="normaltextrun1"/>
          <w:rFonts w:ascii="Segoe UI" w:hAnsi="Segoe UI" w:cs="Segoe UI"/>
          <w:sz w:val="21"/>
          <w:szCs w:val="21"/>
        </w:rPr>
        <w:t xml:space="preserve"> road transport </w:t>
      </w:r>
      <w:r w:rsidRPr="2490B7A8">
        <w:rPr>
          <w:rStyle w:val="normaltextrun1"/>
          <w:rFonts w:ascii="Segoe UI" w:hAnsi="Segoe UI" w:cs="Segoe UI"/>
          <w:sz w:val="21"/>
          <w:szCs w:val="21"/>
          <w:lang w:val="en-US"/>
        </w:rPr>
        <w:t>prior to</w:t>
      </w:r>
      <w:r w:rsidRPr="2490B7A8">
        <w:rPr>
          <w:rStyle w:val="normaltextrun1"/>
          <w:rFonts w:ascii="Segoe UI" w:hAnsi="Segoe UI" w:cs="Segoe UI"/>
          <w:sz w:val="21"/>
          <w:szCs w:val="21"/>
        </w:rPr>
        <w:t xml:space="preserve"> fixed wing transport, and fixed wing transport before rotary wing transport for all patient transfers (irrespective of COVID-19 status). </w:t>
      </w:r>
      <w:r w:rsidRPr="2490B7A8">
        <w:rPr>
          <w:rStyle w:val="eop"/>
          <w:rFonts w:ascii="Segoe UI" w:hAnsi="Segoe UI" w:cs="Segoe UI"/>
          <w:sz w:val="21"/>
          <w:szCs w:val="21"/>
          <w:lang w:val="en-US"/>
        </w:rPr>
        <w:t> </w:t>
      </w:r>
    </w:p>
    <w:p w14:paraId="5A2CC73A" w14:textId="77777777" w:rsidR="005C5517" w:rsidRDefault="005C5517" w:rsidP="005C5517">
      <w:pPr>
        <w:pStyle w:val="paragraph"/>
        <w:spacing w:after="120"/>
        <w:textAlignment w:val="baseline"/>
        <w:rPr>
          <w:color w:val="000000"/>
          <w:lang w:val="en-US"/>
        </w:rPr>
      </w:pPr>
      <w:r>
        <w:rPr>
          <w:rStyle w:val="normaltextrun1"/>
          <w:rFonts w:ascii="Segoe UI" w:hAnsi="Segoe UI" w:cs="Segoe UI"/>
          <w:sz w:val="21"/>
          <w:szCs w:val="21"/>
        </w:rPr>
        <w:t>This decision-making process will help reduce the risk of transmission of infection and preserve limited aeromedical resources (particularly air ambulance helicopters) to meet clinical demands. </w:t>
      </w:r>
      <w:r>
        <w:rPr>
          <w:rStyle w:val="eop"/>
          <w:rFonts w:ascii="Segoe UI" w:hAnsi="Segoe UI" w:cs="Segoe UI"/>
          <w:sz w:val="21"/>
          <w:szCs w:val="21"/>
          <w:lang w:val="en-US"/>
        </w:rPr>
        <w:t> </w:t>
      </w:r>
    </w:p>
    <w:p w14:paraId="02E3F0E3" w14:textId="243D6916" w:rsidR="005C5517" w:rsidRDefault="005C5517" w:rsidP="005C5517">
      <w:pPr>
        <w:pStyle w:val="Body"/>
        <w:rPr>
          <w:rStyle w:val="normaltextrun1"/>
          <w:rFonts w:ascii="Segoe UI" w:eastAsia="Segoe UI" w:hAnsi="Segoe UI" w:cs="Segoe UI"/>
          <w:color w:val="auto"/>
          <w:sz w:val="21"/>
          <w:szCs w:val="21"/>
          <w14:textOutline w14:w="0" w14:cap="rnd" w14:cmpd="sng" w14:algn="ctr">
            <w14:noFill/>
            <w14:prstDash w14:val="solid"/>
            <w14:bevel/>
          </w14:textOutline>
        </w:rPr>
      </w:pPr>
      <w:r w:rsidRPr="2490B7A8">
        <w:rPr>
          <w:rStyle w:val="normaltextrun1"/>
          <w:rFonts w:ascii="Segoe UI" w:eastAsia="Segoe UI" w:hAnsi="Segoe UI" w:cs="Segoe UI"/>
          <w:color w:val="auto"/>
          <w:sz w:val="21"/>
          <w:szCs w:val="21"/>
          <w14:textOutline w14:w="0" w14:cap="rnd" w14:cmpd="sng" w14:algn="ctr">
            <w14:noFill/>
            <w14:prstDash w14:val="solid"/>
            <w14:bevel/>
          </w14:textOutline>
        </w:rPr>
        <w:t xml:space="preserve">Strict attention to mask fit and circuit integrity is necessary.  </w:t>
      </w:r>
    </w:p>
    <w:p w14:paraId="754AB5CF" w14:textId="77777777" w:rsidR="005C5517" w:rsidRPr="005C5517" w:rsidRDefault="005C5517" w:rsidP="005C5517">
      <w:pPr>
        <w:pStyle w:val="Heading2"/>
      </w:pPr>
      <w:r w:rsidRPr="005C5517">
        <w:t>Medical therapies </w:t>
      </w:r>
    </w:p>
    <w:p w14:paraId="4E2DC25B" w14:textId="77777777" w:rsidR="005C5517" w:rsidRDefault="005C5517" w:rsidP="005C5517">
      <w:pPr>
        <w:pStyle w:val="paragraph"/>
        <w:spacing w:after="120"/>
        <w:textAlignment w:val="baseline"/>
        <w:rPr>
          <w:rStyle w:val="eop"/>
          <w:rFonts w:ascii="Segoe UI" w:hAnsi="Segoe UI" w:cs="Segoe UI"/>
          <w:sz w:val="21"/>
          <w:szCs w:val="21"/>
          <w:lang w:val="en-US"/>
        </w:rPr>
      </w:pPr>
      <w:r w:rsidRPr="2626D826">
        <w:rPr>
          <w:rStyle w:val="normaltextrun1"/>
          <w:rFonts w:ascii="Segoe UI" w:hAnsi="Segoe UI" w:cs="Segoe UI"/>
          <w:sz w:val="21"/>
          <w:szCs w:val="21"/>
          <w:lang w:val="en-US"/>
        </w:rPr>
        <w:t xml:space="preserve">Pre-hospital and interhospital guidelines on the medical management of COVID-19 patients should be followed by the respective teams. All personnel operating in ambulances should follow the current version of the COVID-19 Infection </w:t>
      </w:r>
      <w:r>
        <w:rPr>
          <w:rStyle w:val="normaltextrun1"/>
          <w:rFonts w:ascii="Segoe UI" w:hAnsi="Segoe UI" w:cs="Segoe UI"/>
          <w:sz w:val="21"/>
          <w:szCs w:val="21"/>
          <w:lang w:val="en-US"/>
        </w:rPr>
        <w:t>C</w:t>
      </w:r>
      <w:r w:rsidRPr="2626D826">
        <w:rPr>
          <w:rStyle w:val="normaltextrun1"/>
          <w:rFonts w:ascii="Segoe UI" w:hAnsi="Segoe UI" w:cs="Segoe UI"/>
          <w:sz w:val="21"/>
          <w:szCs w:val="21"/>
          <w:lang w:val="en-US"/>
        </w:rPr>
        <w:t xml:space="preserve">linical </w:t>
      </w:r>
      <w:r>
        <w:rPr>
          <w:rStyle w:val="normaltextrun1"/>
          <w:rFonts w:ascii="Segoe UI" w:hAnsi="Segoe UI" w:cs="Segoe UI"/>
          <w:sz w:val="21"/>
          <w:szCs w:val="21"/>
          <w:lang w:val="en-US"/>
        </w:rPr>
        <w:t>P</w:t>
      </w:r>
      <w:r w:rsidRPr="2626D826">
        <w:rPr>
          <w:rStyle w:val="normaltextrun1"/>
          <w:rFonts w:ascii="Segoe UI" w:hAnsi="Segoe UI" w:cs="Segoe UI"/>
          <w:sz w:val="21"/>
          <w:szCs w:val="21"/>
          <w:lang w:val="en-US"/>
        </w:rPr>
        <w:t xml:space="preserve">ractice </w:t>
      </w:r>
      <w:r w:rsidRPr="507D4D92">
        <w:rPr>
          <w:rStyle w:val="normaltextrun1"/>
          <w:rFonts w:ascii="Segoe UI" w:hAnsi="Segoe UI" w:cs="Segoe UI"/>
          <w:sz w:val="21"/>
          <w:szCs w:val="21"/>
          <w:lang w:val="en-US"/>
        </w:rPr>
        <w:t>Guideline</w:t>
      </w:r>
      <w:r w:rsidRPr="2626D826">
        <w:rPr>
          <w:rStyle w:val="normaltextrun1"/>
          <w:rFonts w:ascii="Segoe UI" w:hAnsi="Segoe UI" w:cs="Segoe UI"/>
          <w:sz w:val="21"/>
          <w:szCs w:val="21"/>
          <w:lang w:val="en-US"/>
        </w:rPr>
        <w:t>. Focus should be on clinically safe, high quality and supportive care.</w:t>
      </w:r>
      <w:r w:rsidRPr="2626D826">
        <w:rPr>
          <w:rStyle w:val="eop"/>
          <w:rFonts w:ascii="Segoe UI" w:hAnsi="Segoe UI" w:cs="Segoe UI"/>
          <w:sz w:val="21"/>
          <w:szCs w:val="21"/>
          <w:lang w:val="en-US"/>
        </w:rPr>
        <w:t> </w:t>
      </w:r>
    </w:p>
    <w:p w14:paraId="62F53DA4" w14:textId="77777777" w:rsidR="005C5517" w:rsidRDefault="005C5517" w:rsidP="005C5517">
      <w:pPr>
        <w:pStyle w:val="Body"/>
        <w:rPr>
          <w:rStyle w:val="normaltextrun1"/>
          <w:rFonts w:ascii="Segoe UI" w:eastAsia="Segoe UI" w:hAnsi="Segoe UI" w:cs="Segoe UI"/>
          <w:color w:val="auto"/>
          <w:sz w:val="21"/>
          <w:szCs w:val="21"/>
          <w14:textOutline w14:w="0" w14:cap="rnd" w14:cmpd="sng" w14:algn="ctr">
            <w14:noFill/>
            <w14:prstDash w14:val="solid"/>
            <w14:bevel/>
          </w14:textOutline>
        </w:rPr>
      </w:pPr>
    </w:p>
    <w:bookmarkEnd w:id="0"/>
    <w:p w14:paraId="2AAEBC23" w14:textId="05DEA519" w:rsidR="00B35E59" w:rsidRDefault="00B35E59" w:rsidP="00343A92">
      <w:pPr>
        <w:sectPr w:rsidR="00B35E59" w:rsidSect="00101F10">
          <w:headerReference w:type="even" r:id="rId8"/>
          <w:headerReference w:type="default" r:id="rId9"/>
          <w:footerReference w:type="even" r:id="rId10"/>
          <w:footerReference w:type="default" r:id="rId11"/>
          <w:headerReference w:type="first" r:id="rId12"/>
          <w:footerReference w:type="first" r:id="rId13"/>
          <w:pgSz w:w="11907" w:h="16834" w:code="9"/>
          <w:pgMar w:top="3156" w:right="720" w:bottom="932" w:left="720" w:header="284" w:footer="425" w:gutter="284"/>
          <w:pgNumType w:start="1"/>
          <w:cols w:space="720"/>
          <w:docGrid w:linePitch="286"/>
        </w:sectPr>
      </w:pPr>
    </w:p>
    <w:p w14:paraId="07FBFB3D" w14:textId="77777777" w:rsidR="005C5517" w:rsidRPr="00971E31" w:rsidRDefault="005C5517" w:rsidP="005C5517">
      <w:pPr>
        <w:pStyle w:val="paragraph"/>
        <w:spacing w:after="120"/>
        <w:textAlignment w:val="baseline"/>
        <w:rPr>
          <w:color w:val="2F5496"/>
          <w:sz w:val="36"/>
          <w:szCs w:val="36"/>
          <w:lang w:val="en-US"/>
        </w:rPr>
      </w:pPr>
      <w:r w:rsidRPr="00971E31">
        <w:rPr>
          <w:rStyle w:val="normaltextrun1"/>
          <w:rFonts w:ascii="Segoe UI" w:hAnsi="Segoe UI" w:cs="Segoe UI"/>
          <w:sz w:val="36"/>
          <w:szCs w:val="36"/>
        </w:rPr>
        <w:lastRenderedPageBreak/>
        <w:t>Infection prevention</w:t>
      </w:r>
      <w:r>
        <w:rPr>
          <w:rStyle w:val="normaltextrun1"/>
          <w:rFonts w:ascii="Segoe UI" w:hAnsi="Segoe UI" w:cs="Segoe UI"/>
          <w:sz w:val="36"/>
          <w:szCs w:val="36"/>
        </w:rPr>
        <w:t xml:space="preserve"> and control</w:t>
      </w:r>
      <w:r w:rsidRPr="00971E31">
        <w:rPr>
          <w:rStyle w:val="normaltextrun1"/>
          <w:rFonts w:ascii="Segoe UI" w:hAnsi="Segoe UI" w:cs="Segoe UI"/>
          <w:sz w:val="36"/>
          <w:szCs w:val="36"/>
        </w:rPr>
        <w:t>/personal protective equipment (PPE)</w:t>
      </w:r>
      <w:r w:rsidRPr="00971E31">
        <w:rPr>
          <w:rStyle w:val="eop"/>
          <w:rFonts w:ascii="Segoe UI" w:hAnsi="Segoe UI" w:cs="Segoe UI"/>
          <w:sz w:val="36"/>
          <w:szCs w:val="36"/>
          <w:lang w:val="en-US"/>
        </w:rPr>
        <w:t> </w:t>
      </w:r>
    </w:p>
    <w:p w14:paraId="68E1FC72" w14:textId="5A34A83B" w:rsidR="005C5517" w:rsidRDefault="005C5517" w:rsidP="005C5517">
      <w:pPr>
        <w:pStyle w:val="paragraph"/>
        <w:textAlignment w:val="baseline"/>
      </w:pPr>
      <w:r w:rsidRPr="2626D826">
        <w:rPr>
          <w:rStyle w:val="normaltextrun1"/>
          <w:rFonts w:ascii="Segoe UI" w:hAnsi="Segoe UI" w:cs="Segoe UI"/>
          <w:sz w:val="21"/>
          <w:szCs w:val="21"/>
        </w:rPr>
        <w:t>Vaccination</w:t>
      </w:r>
      <w:r>
        <w:rPr>
          <w:rStyle w:val="normaltextrun1"/>
          <w:rFonts w:ascii="Segoe UI" w:hAnsi="Segoe UI" w:cs="Segoe UI"/>
          <w:sz w:val="21"/>
          <w:szCs w:val="21"/>
        </w:rPr>
        <w:t>, infection control measures</w:t>
      </w:r>
      <w:r w:rsidRPr="2626D826">
        <w:rPr>
          <w:rStyle w:val="normaltextrun1"/>
          <w:rFonts w:ascii="Segoe UI" w:hAnsi="Segoe UI" w:cs="Segoe UI"/>
          <w:sz w:val="21"/>
          <w:szCs w:val="21"/>
        </w:rPr>
        <w:t xml:space="preserve"> and appropriate PPE significantly reduce the risk </w:t>
      </w:r>
      <w:r>
        <w:rPr>
          <w:rStyle w:val="normaltextrun1"/>
          <w:rFonts w:ascii="Segoe UI" w:hAnsi="Segoe UI" w:cs="Segoe UI"/>
          <w:sz w:val="21"/>
          <w:szCs w:val="21"/>
        </w:rPr>
        <w:t xml:space="preserve">of transmission from patient </w:t>
      </w:r>
      <w:r w:rsidRPr="2626D826">
        <w:rPr>
          <w:rStyle w:val="normaltextrun1"/>
          <w:rFonts w:ascii="Segoe UI" w:hAnsi="Segoe UI" w:cs="Segoe UI"/>
          <w:sz w:val="21"/>
          <w:szCs w:val="21"/>
        </w:rPr>
        <w:t>to staff when transferring a COVID</w:t>
      </w:r>
      <w:r>
        <w:rPr>
          <w:rStyle w:val="normaltextrun1"/>
          <w:rFonts w:ascii="Segoe UI" w:hAnsi="Segoe UI" w:cs="Segoe UI"/>
          <w:sz w:val="21"/>
          <w:szCs w:val="21"/>
        </w:rPr>
        <w:t>-19</w:t>
      </w:r>
      <w:r w:rsidRPr="2626D826">
        <w:rPr>
          <w:rStyle w:val="normaltextrun1"/>
          <w:rFonts w:ascii="Segoe UI" w:hAnsi="Segoe UI" w:cs="Segoe UI"/>
          <w:sz w:val="21"/>
          <w:szCs w:val="21"/>
        </w:rPr>
        <w:t xml:space="preserve"> positive patient.  </w:t>
      </w:r>
      <w:r>
        <w:rPr>
          <w:rStyle w:val="normaltextrun1"/>
          <w:rFonts w:ascii="Segoe UI" w:hAnsi="Segoe UI" w:cs="Segoe UI"/>
          <w:sz w:val="21"/>
          <w:szCs w:val="21"/>
        </w:rPr>
        <w:t>H</w:t>
      </w:r>
      <w:r w:rsidRPr="2626D826">
        <w:rPr>
          <w:rStyle w:val="normaltextrun1"/>
          <w:rFonts w:ascii="Segoe UI" w:hAnsi="Segoe UI" w:cs="Segoe UI"/>
          <w:sz w:val="21"/>
          <w:szCs w:val="21"/>
        </w:rPr>
        <w:t xml:space="preserve">and hygiene </w:t>
      </w:r>
      <w:r>
        <w:rPr>
          <w:rStyle w:val="normaltextrun1"/>
          <w:rFonts w:ascii="Segoe UI" w:hAnsi="Segoe UI" w:cs="Segoe UI"/>
          <w:sz w:val="21"/>
          <w:szCs w:val="21"/>
        </w:rPr>
        <w:t>using an alcohol-based hand sanitiser frequently is an effective way to reduce risk. The use of g</w:t>
      </w:r>
      <w:r w:rsidRPr="2626D826">
        <w:rPr>
          <w:rStyle w:val="normaltextrun1"/>
          <w:rFonts w:ascii="Segoe UI" w:hAnsi="Segoe UI" w:cs="Segoe UI"/>
          <w:sz w:val="21"/>
          <w:szCs w:val="21"/>
        </w:rPr>
        <w:t>love</w:t>
      </w:r>
      <w:r>
        <w:rPr>
          <w:rStyle w:val="normaltextrun1"/>
          <w:rFonts w:ascii="Segoe UI" w:hAnsi="Segoe UI" w:cs="Segoe UI"/>
          <w:sz w:val="21"/>
          <w:szCs w:val="21"/>
        </w:rPr>
        <w:t>s</w:t>
      </w:r>
      <w:r w:rsidRPr="2626D826">
        <w:rPr>
          <w:rStyle w:val="normaltextrun1"/>
          <w:rFonts w:ascii="Segoe UI" w:hAnsi="Segoe UI" w:cs="Segoe UI"/>
          <w:sz w:val="21"/>
          <w:szCs w:val="21"/>
        </w:rPr>
        <w:t xml:space="preserve"> does not replace the need to perform hand hygiene</w:t>
      </w:r>
      <w:r>
        <w:rPr>
          <w:rStyle w:val="normaltextrun1"/>
          <w:rFonts w:ascii="Segoe UI" w:hAnsi="Segoe UI" w:cs="Segoe UI"/>
          <w:sz w:val="21"/>
          <w:szCs w:val="21"/>
        </w:rPr>
        <w:t>.</w:t>
      </w:r>
      <w:r w:rsidRPr="2626D826">
        <w:rPr>
          <w:rStyle w:val="eop"/>
          <w:rFonts w:ascii="Segoe UI" w:hAnsi="Segoe UI" w:cs="Segoe UI"/>
          <w:sz w:val="21"/>
          <w:szCs w:val="21"/>
          <w:lang w:val="en-US"/>
        </w:rPr>
        <w:t> </w:t>
      </w:r>
      <w:r>
        <w:rPr>
          <w:rStyle w:val="normaltextrun1"/>
          <w:rFonts w:ascii="Segoe UI" w:hAnsi="Segoe UI" w:cs="Segoe UI"/>
          <w:sz w:val="21"/>
          <w:szCs w:val="21"/>
        </w:rPr>
        <w:t xml:space="preserve"> Care and attention should be applied when doffing and disposing of used PPE to avoid risk of self-contamination.</w:t>
      </w:r>
      <w:r w:rsidRPr="00835CB7">
        <w:t xml:space="preserve"> </w:t>
      </w:r>
    </w:p>
    <w:p w14:paraId="409E7E7A" w14:textId="77777777" w:rsidR="005C5517" w:rsidRPr="005C5517" w:rsidRDefault="0099745A" w:rsidP="005C5517">
      <w:pPr>
        <w:pStyle w:val="Heading3"/>
      </w:pPr>
      <w:hyperlink r:id="rId14">
        <w:r w:rsidR="005C5517" w:rsidRPr="005C5517">
          <w:t>Standard and Transmission-based precautions should be applied</w:t>
        </w:r>
      </w:hyperlink>
      <w:r w:rsidR="005C5517" w:rsidRPr="005C5517">
        <w:t xml:space="preserve"> at all times.</w:t>
      </w:r>
    </w:p>
    <w:p w14:paraId="1B66D8BA" w14:textId="53424C76" w:rsidR="005C5517" w:rsidRDefault="005C5517" w:rsidP="005C5517">
      <w:pPr>
        <w:pStyle w:val="paragraph"/>
        <w:spacing w:before="120" w:after="120"/>
        <w:textAlignment w:val="baseline"/>
        <w:rPr>
          <w:color w:val="2F5496"/>
          <w:lang w:val="en-US"/>
        </w:rPr>
      </w:pPr>
      <w:r w:rsidRPr="2626D826">
        <w:rPr>
          <w:rStyle w:val="normaltextrun1"/>
          <w:rFonts w:ascii="Segoe UI" w:hAnsi="Segoe UI" w:cs="Segoe UI"/>
          <w:sz w:val="21"/>
          <w:szCs w:val="21"/>
        </w:rPr>
        <w:t xml:space="preserve">The incidence of occupational infections in ambulances should be zero. </w:t>
      </w:r>
    </w:p>
    <w:p w14:paraId="53951935" w14:textId="77777777" w:rsidR="005C5517" w:rsidRPr="002811CB" w:rsidRDefault="005C5517" w:rsidP="005C5517">
      <w:pPr>
        <w:pStyle w:val="Heading3"/>
        <w:rPr>
          <w:b/>
          <w:bCs/>
          <w:color w:val="2F5496"/>
          <w:lang w:val="en-US"/>
        </w:rPr>
      </w:pPr>
      <w:r w:rsidRPr="005C5517">
        <w:t xml:space="preserve">PPE for clinical crew treating known or suspected COVID-19 patients </w:t>
      </w:r>
    </w:p>
    <w:p w14:paraId="19F4E497" w14:textId="77777777" w:rsidR="005C5517" w:rsidRPr="002811CB" w:rsidRDefault="005C5517" w:rsidP="005C5517">
      <w:pPr>
        <w:pStyle w:val="paragraph"/>
        <w:numPr>
          <w:ilvl w:val="0"/>
          <w:numId w:val="34"/>
        </w:numPr>
        <w:spacing w:after="120"/>
        <w:ind w:left="426" w:hanging="426"/>
        <w:textAlignment w:val="baseline"/>
        <w:rPr>
          <w:rFonts w:ascii="Segoe UI" w:hAnsi="Segoe UI" w:cs="Segoe UI"/>
          <w:sz w:val="21"/>
          <w:szCs w:val="21"/>
          <w:lang w:val="en-US"/>
        </w:rPr>
      </w:pPr>
      <w:r w:rsidRPr="002811CB">
        <w:rPr>
          <w:rFonts w:ascii="Segoe UI" w:hAnsi="Segoe UI" w:cs="Segoe UI"/>
          <w:sz w:val="21"/>
          <w:szCs w:val="21"/>
        </w:rPr>
        <w:t xml:space="preserve">P2/N95 particulate respirator (Staff should have been ft tested and know how to fit check their respirator each and every time they don </w:t>
      </w:r>
      <w:r>
        <w:rPr>
          <w:rFonts w:ascii="Segoe UI" w:hAnsi="Segoe UI" w:cs="Segoe UI"/>
          <w:sz w:val="21"/>
          <w:szCs w:val="21"/>
        </w:rPr>
        <w:t xml:space="preserve">a </w:t>
      </w:r>
      <w:r w:rsidRPr="002811CB">
        <w:rPr>
          <w:rFonts w:ascii="Segoe UI" w:hAnsi="Segoe UI" w:cs="Segoe UI"/>
          <w:sz w:val="21"/>
          <w:szCs w:val="21"/>
        </w:rPr>
        <w:t>respirator)</w:t>
      </w:r>
      <w:r>
        <w:rPr>
          <w:rFonts w:ascii="Segoe UI" w:hAnsi="Segoe UI" w:cs="Segoe UI"/>
          <w:sz w:val="21"/>
          <w:szCs w:val="21"/>
        </w:rPr>
        <w:t>.</w:t>
      </w:r>
    </w:p>
    <w:p w14:paraId="62F242A1" w14:textId="77777777" w:rsidR="005C5517" w:rsidRPr="002811CB" w:rsidRDefault="005C5517" w:rsidP="005C5517">
      <w:pPr>
        <w:pStyle w:val="paragraph"/>
        <w:numPr>
          <w:ilvl w:val="0"/>
          <w:numId w:val="34"/>
        </w:numPr>
        <w:spacing w:after="120"/>
        <w:ind w:left="426" w:hanging="426"/>
        <w:textAlignment w:val="baseline"/>
        <w:rPr>
          <w:rFonts w:ascii="Segoe UI" w:hAnsi="Segoe UI" w:cs="Segoe UI"/>
          <w:sz w:val="21"/>
          <w:szCs w:val="21"/>
          <w:lang w:val="en-US"/>
        </w:rPr>
      </w:pPr>
      <w:r w:rsidRPr="002811CB">
        <w:rPr>
          <w:rFonts w:ascii="Segoe UI" w:hAnsi="Segoe UI" w:cs="Segoe UI"/>
          <w:sz w:val="21"/>
          <w:szCs w:val="21"/>
        </w:rPr>
        <w:t>Eye protection (Face shield or goggles</w:t>
      </w:r>
      <w:r>
        <w:rPr>
          <w:rStyle w:val="FootnoteReference"/>
          <w:rFonts w:ascii="Segoe UI" w:hAnsi="Segoe UI" w:cs="Segoe UI"/>
          <w:sz w:val="21"/>
          <w:szCs w:val="21"/>
        </w:rPr>
        <w:footnoteReference w:id="2"/>
      </w:r>
      <w:r>
        <w:rPr>
          <w:rFonts w:ascii="Segoe UI" w:hAnsi="Segoe UI" w:cs="Segoe UI"/>
          <w:sz w:val="21"/>
          <w:szCs w:val="21"/>
        </w:rPr>
        <w:t xml:space="preserve"> -</w:t>
      </w:r>
      <w:r w:rsidRPr="002811CB">
        <w:rPr>
          <w:rFonts w:ascii="Segoe UI" w:hAnsi="Segoe UI" w:cs="Segoe UI"/>
          <w:sz w:val="21"/>
          <w:szCs w:val="21"/>
        </w:rPr>
        <w:t xml:space="preserve"> prescription glasses are not considered eye protection)</w:t>
      </w:r>
      <w:r>
        <w:rPr>
          <w:rFonts w:ascii="Segoe UI" w:hAnsi="Segoe UI" w:cs="Segoe UI"/>
          <w:sz w:val="21"/>
          <w:szCs w:val="21"/>
        </w:rPr>
        <w:t>.</w:t>
      </w:r>
    </w:p>
    <w:p w14:paraId="02F30929" w14:textId="77777777" w:rsidR="005C5517" w:rsidRPr="002811CB" w:rsidRDefault="005C5517" w:rsidP="005C5517">
      <w:pPr>
        <w:pStyle w:val="paragraph"/>
        <w:numPr>
          <w:ilvl w:val="0"/>
          <w:numId w:val="34"/>
        </w:numPr>
        <w:spacing w:after="120"/>
        <w:ind w:left="426" w:hanging="426"/>
        <w:textAlignment w:val="baseline"/>
        <w:rPr>
          <w:rFonts w:ascii="Segoe UI" w:hAnsi="Segoe UI" w:cs="Segoe UI"/>
          <w:sz w:val="21"/>
          <w:szCs w:val="21"/>
          <w:lang w:val="en-US"/>
        </w:rPr>
      </w:pPr>
      <w:r w:rsidRPr="002811CB">
        <w:rPr>
          <w:rFonts w:ascii="Segoe UI" w:hAnsi="Segoe UI" w:cs="Segoe UI"/>
          <w:sz w:val="21"/>
          <w:szCs w:val="21"/>
        </w:rPr>
        <w:t>Gloves</w:t>
      </w:r>
      <w:r>
        <w:rPr>
          <w:rFonts w:ascii="Segoe UI" w:hAnsi="Segoe UI" w:cs="Segoe UI"/>
          <w:sz w:val="21"/>
          <w:szCs w:val="21"/>
        </w:rPr>
        <w:t>.</w:t>
      </w:r>
    </w:p>
    <w:p w14:paraId="40B3283C" w14:textId="77777777" w:rsidR="005C5517" w:rsidRPr="002811CB" w:rsidRDefault="005C5517" w:rsidP="005C5517">
      <w:pPr>
        <w:pStyle w:val="paragraph"/>
        <w:numPr>
          <w:ilvl w:val="0"/>
          <w:numId w:val="34"/>
        </w:numPr>
        <w:spacing w:after="120"/>
        <w:ind w:left="426" w:hanging="426"/>
        <w:textAlignment w:val="baseline"/>
        <w:rPr>
          <w:rFonts w:ascii="Segoe UI" w:hAnsi="Segoe UI" w:cs="Segoe UI"/>
          <w:sz w:val="21"/>
          <w:szCs w:val="21"/>
          <w:lang w:val="en-US"/>
        </w:rPr>
      </w:pPr>
      <w:r w:rsidRPr="002811CB">
        <w:rPr>
          <w:rFonts w:ascii="Segoe UI" w:hAnsi="Segoe UI" w:cs="Segoe UI"/>
          <w:sz w:val="21"/>
          <w:szCs w:val="21"/>
        </w:rPr>
        <w:t>Long sleeved gown or apron (if blood or body fluid exposure anticipated)</w:t>
      </w:r>
      <w:r>
        <w:rPr>
          <w:rFonts w:ascii="Segoe UI" w:hAnsi="Segoe UI" w:cs="Segoe UI"/>
          <w:sz w:val="21"/>
          <w:szCs w:val="21"/>
        </w:rPr>
        <w:t>.</w:t>
      </w:r>
    </w:p>
    <w:p w14:paraId="341B646F" w14:textId="77777777" w:rsidR="005C5517" w:rsidRPr="002811CB" w:rsidRDefault="005C5517" w:rsidP="005C5517">
      <w:pPr>
        <w:pStyle w:val="paragraph"/>
        <w:spacing w:after="120"/>
        <w:ind w:left="426"/>
        <w:textAlignment w:val="baseline"/>
        <w:rPr>
          <w:rStyle w:val="eop"/>
          <w:rFonts w:ascii="Calibri" w:hAnsi="Calibri" w:cs="Calibri"/>
          <w:b/>
          <w:bCs/>
          <w:lang w:val="en-US"/>
        </w:rPr>
      </w:pPr>
      <w:r w:rsidRPr="002811CB">
        <w:rPr>
          <w:rStyle w:val="normaltextrun1"/>
          <w:rFonts w:ascii="Segoe UI" w:hAnsi="Segoe UI" w:cs="Segoe UI"/>
          <w:b/>
          <w:bCs/>
          <w:sz w:val="21"/>
          <w:szCs w:val="21"/>
        </w:rPr>
        <w:t>NB</w:t>
      </w:r>
      <w:r>
        <w:rPr>
          <w:rStyle w:val="normaltextrun1"/>
          <w:rFonts w:ascii="Segoe UI" w:hAnsi="Segoe UI" w:cs="Segoe UI"/>
          <w:sz w:val="21"/>
          <w:szCs w:val="21"/>
        </w:rPr>
        <w:t xml:space="preserve"> </w:t>
      </w:r>
      <w:r w:rsidRPr="00177C72">
        <w:rPr>
          <w:rStyle w:val="normaltextrun1"/>
          <w:rFonts w:ascii="Segoe UI" w:hAnsi="Segoe UI" w:cs="Segoe UI"/>
          <w:sz w:val="21"/>
          <w:szCs w:val="21"/>
        </w:rPr>
        <w:t xml:space="preserve">Personnel must maintain awareness that communications may be impaired when wearing </w:t>
      </w:r>
      <w:r>
        <w:rPr>
          <w:rStyle w:val="normaltextrun1"/>
          <w:rFonts w:ascii="Segoe UI" w:hAnsi="Segoe UI" w:cs="Segoe UI"/>
          <w:sz w:val="21"/>
          <w:szCs w:val="21"/>
        </w:rPr>
        <w:t>respiratory protection</w:t>
      </w:r>
      <w:r w:rsidRPr="00177C72">
        <w:rPr>
          <w:rStyle w:val="normaltextrun1"/>
          <w:rFonts w:ascii="Segoe UI" w:hAnsi="Segoe UI" w:cs="Segoe UI"/>
          <w:sz w:val="21"/>
          <w:szCs w:val="21"/>
        </w:rPr>
        <w:t xml:space="preserve"> and take measures to manage this risk.</w:t>
      </w:r>
    </w:p>
    <w:p w14:paraId="19E8D09E" w14:textId="77777777" w:rsidR="005C5517" w:rsidRPr="005C5517" w:rsidRDefault="005C5517" w:rsidP="005C5517">
      <w:pPr>
        <w:pStyle w:val="Heading3"/>
      </w:pPr>
      <w:r w:rsidRPr="005C5517">
        <w:t>PPE recommendations for patient</w:t>
      </w:r>
    </w:p>
    <w:p w14:paraId="1397EC28" w14:textId="77777777" w:rsidR="005C5517" w:rsidRPr="002811CB" w:rsidRDefault="005C5517" w:rsidP="005C5517">
      <w:pPr>
        <w:pStyle w:val="paragraph"/>
        <w:numPr>
          <w:ilvl w:val="0"/>
          <w:numId w:val="34"/>
        </w:numPr>
        <w:spacing w:after="120"/>
        <w:ind w:left="426" w:hanging="426"/>
        <w:textAlignment w:val="baseline"/>
        <w:rPr>
          <w:rStyle w:val="eop"/>
          <w:rFonts w:ascii="Calibri" w:hAnsi="Calibri" w:cs="Calibri"/>
          <w:sz w:val="21"/>
          <w:szCs w:val="21"/>
          <w:lang w:val="en-US"/>
        </w:rPr>
      </w:pPr>
      <w:r w:rsidRPr="00B91555">
        <w:rPr>
          <w:rStyle w:val="normaltextrun1"/>
          <w:rFonts w:ascii="Segoe UI" w:hAnsi="Segoe UI" w:cs="Segoe UI"/>
          <w:sz w:val="21"/>
          <w:szCs w:val="21"/>
        </w:rPr>
        <w:t>A medical mask should be worn by patients</w:t>
      </w:r>
      <w:r>
        <w:rPr>
          <w:rStyle w:val="normaltextrun1"/>
          <w:rFonts w:ascii="Segoe UI" w:hAnsi="Segoe UI" w:cs="Segoe UI"/>
          <w:sz w:val="21"/>
          <w:szCs w:val="21"/>
        </w:rPr>
        <w:t xml:space="preserve"> if tolerated and does not compromise or worsen medical conditions. Consider placing a medical mask over an</w:t>
      </w:r>
      <w:r w:rsidRPr="00B91555">
        <w:rPr>
          <w:rStyle w:val="normaltextrun1"/>
          <w:rFonts w:ascii="Segoe UI" w:hAnsi="Segoe UI" w:cs="Segoe UI"/>
          <w:sz w:val="21"/>
          <w:szCs w:val="21"/>
        </w:rPr>
        <w:t xml:space="preserve"> oxygen mask</w:t>
      </w:r>
      <w:r>
        <w:rPr>
          <w:rStyle w:val="normaltextrun1"/>
          <w:rFonts w:ascii="Segoe UI" w:hAnsi="Segoe UI" w:cs="Segoe UI"/>
          <w:sz w:val="21"/>
          <w:szCs w:val="21"/>
        </w:rPr>
        <w:t xml:space="preserve"> or nasal prongs.</w:t>
      </w:r>
      <w:r w:rsidRPr="00B91555">
        <w:rPr>
          <w:rStyle w:val="normaltextrun1"/>
          <w:rFonts w:ascii="Segoe UI" w:hAnsi="Segoe UI" w:cs="Segoe UI"/>
          <w:sz w:val="21"/>
          <w:szCs w:val="21"/>
        </w:rPr>
        <w:t xml:space="preserve"> </w:t>
      </w:r>
    </w:p>
    <w:p w14:paraId="464B7B32" w14:textId="77777777" w:rsidR="005C5517" w:rsidRPr="005C5517" w:rsidRDefault="005C5517" w:rsidP="005C5517">
      <w:pPr>
        <w:pStyle w:val="Heading3"/>
      </w:pPr>
      <w:r w:rsidRPr="005C5517">
        <w:t>Environmental controls</w:t>
      </w:r>
    </w:p>
    <w:p w14:paraId="58C1FDA3" w14:textId="77777777" w:rsidR="005C5517" w:rsidRPr="002811CB" w:rsidRDefault="005C5517" w:rsidP="005C5517">
      <w:pPr>
        <w:pStyle w:val="paragraph"/>
        <w:numPr>
          <w:ilvl w:val="0"/>
          <w:numId w:val="34"/>
        </w:numPr>
        <w:spacing w:after="120"/>
        <w:ind w:left="426" w:hanging="426"/>
        <w:textAlignment w:val="baseline"/>
        <w:rPr>
          <w:rStyle w:val="normaltextrun1"/>
          <w:rFonts w:ascii="Calibri" w:hAnsi="Calibri" w:cs="Calibri"/>
          <w:sz w:val="21"/>
          <w:szCs w:val="21"/>
          <w:lang w:val="en-US"/>
        </w:rPr>
      </w:pPr>
      <w:r>
        <w:rPr>
          <w:rStyle w:val="normaltextrun1"/>
          <w:rFonts w:ascii="Segoe UI" w:hAnsi="Segoe UI" w:cs="Segoe UI"/>
          <w:sz w:val="21"/>
          <w:szCs w:val="21"/>
        </w:rPr>
        <w:t>Keep cab well ventilated, windows can be opened (weather dependent).</w:t>
      </w:r>
    </w:p>
    <w:p w14:paraId="252C3334" w14:textId="77777777" w:rsidR="005C5517" w:rsidRPr="002811CB" w:rsidRDefault="005C5517" w:rsidP="005C5517">
      <w:pPr>
        <w:pStyle w:val="paragraph"/>
        <w:numPr>
          <w:ilvl w:val="0"/>
          <w:numId w:val="34"/>
        </w:numPr>
        <w:spacing w:after="120"/>
        <w:ind w:left="426" w:hanging="426"/>
        <w:textAlignment w:val="baseline"/>
        <w:rPr>
          <w:rStyle w:val="normaltextrun1"/>
          <w:rFonts w:ascii="Calibri" w:hAnsi="Calibri" w:cs="Calibri"/>
          <w:sz w:val="21"/>
          <w:szCs w:val="21"/>
          <w:lang w:val="en-US"/>
        </w:rPr>
      </w:pPr>
      <w:r w:rsidRPr="002811CB">
        <w:rPr>
          <w:rStyle w:val="normaltextrun1"/>
          <w:rFonts w:ascii="Segoe UI" w:hAnsi="Segoe UI" w:cs="Segoe UI"/>
          <w:sz w:val="21"/>
          <w:szCs w:val="21"/>
        </w:rPr>
        <w:t>Ventilate the vehicle to the outside while operating- mechanical ventilation units should be set to enable air flow from the outside</w:t>
      </w:r>
      <w:r>
        <w:rPr>
          <w:rStyle w:val="normaltextrun1"/>
          <w:rFonts w:ascii="Segoe UI" w:hAnsi="Segoe UI" w:cs="Segoe UI"/>
          <w:sz w:val="21"/>
          <w:szCs w:val="21"/>
        </w:rPr>
        <w:t>,</w:t>
      </w:r>
      <w:r w:rsidRPr="002811CB">
        <w:rPr>
          <w:rStyle w:val="normaltextrun1"/>
          <w:rFonts w:ascii="Segoe UI" w:hAnsi="Segoe UI" w:cs="Segoe UI"/>
          <w:sz w:val="21"/>
          <w:szCs w:val="21"/>
        </w:rPr>
        <w:t xml:space="preserve"> from the cabin (front) to the rear of vehicle in non-recirculation mode setting. This will be dependent on the type of ventilation system installed.</w:t>
      </w:r>
    </w:p>
    <w:p w14:paraId="2BB51554" w14:textId="77777777" w:rsidR="005C5517" w:rsidRPr="00B91555" w:rsidRDefault="005C5517" w:rsidP="005C5517">
      <w:pPr>
        <w:pStyle w:val="paragraph"/>
        <w:numPr>
          <w:ilvl w:val="0"/>
          <w:numId w:val="34"/>
        </w:numPr>
        <w:spacing w:after="120"/>
        <w:ind w:left="426" w:hanging="426"/>
        <w:textAlignment w:val="baseline"/>
        <w:rPr>
          <w:rStyle w:val="eop"/>
          <w:rFonts w:ascii="Calibri" w:hAnsi="Calibri" w:cs="Calibri"/>
          <w:sz w:val="21"/>
          <w:szCs w:val="21"/>
          <w:lang w:val="en-US"/>
        </w:rPr>
      </w:pPr>
      <w:r w:rsidRPr="00B91555">
        <w:rPr>
          <w:rStyle w:val="normaltextrun1"/>
          <w:rFonts w:ascii="Segoe UI" w:hAnsi="Segoe UI" w:cs="Segoe UI"/>
          <w:sz w:val="21"/>
          <w:szCs w:val="21"/>
        </w:rPr>
        <w:t xml:space="preserve">Isopods and </w:t>
      </w:r>
      <w:proofErr w:type="spellStart"/>
      <w:r w:rsidRPr="00B91555">
        <w:rPr>
          <w:rStyle w:val="normaltextrun1"/>
          <w:rFonts w:ascii="Segoe UI" w:hAnsi="Segoe UI" w:cs="Segoe UI"/>
          <w:sz w:val="21"/>
          <w:szCs w:val="21"/>
        </w:rPr>
        <w:t>Epishuttles</w:t>
      </w:r>
      <w:proofErr w:type="spellEnd"/>
      <w:r w:rsidRPr="00B91555">
        <w:rPr>
          <w:rStyle w:val="normaltextrun1"/>
          <w:rFonts w:ascii="Segoe UI" w:hAnsi="Segoe UI" w:cs="Segoe UI"/>
          <w:sz w:val="21"/>
          <w:szCs w:val="21"/>
        </w:rPr>
        <w:t xml:space="preserve"> are not recommended for COVID-19 transfers.</w:t>
      </w:r>
      <w:r w:rsidRPr="00B91555">
        <w:rPr>
          <w:rStyle w:val="eop"/>
          <w:rFonts w:ascii="Segoe UI" w:hAnsi="Segoe UI" w:cs="Segoe UI"/>
          <w:sz w:val="21"/>
          <w:szCs w:val="21"/>
          <w:lang w:val="en-US"/>
        </w:rPr>
        <w:t> </w:t>
      </w:r>
    </w:p>
    <w:p w14:paraId="5CFFFD46" w14:textId="77777777" w:rsidR="005C5517" w:rsidRPr="005C5517" w:rsidRDefault="005C5517" w:rsidP="005C5517">
      <w:pPr>
        <w:pStyle w:val="Heading2"/>
      </w:pPr>
      <w:r w:rsidRPr="005C5517">
        <w:t>PPE breach </w:t>
      </w:r>
    </w:p>
    <w:p w14:paraId="63A44463" w14:textId="77777777" w:rsidR="005C5517" w:rsidRDefault="005C5517" w:rsidP="005C5517">
      <w:pPr>
        <w:pStyle w:val="paragraph"/>
        <w:spacing w:after="120"/>
        <w:textAlignment w:val="baseline"/>
        <w:rPr>
          <w:lang w:val="en-US"/>
        </w:rPr>
      </w:pPr>
      <w:r>
        <w:rPr>
          <w:rStyle w:val="normaltextrun1"/>
          <w:rFonts w:ascii="Segoe UI" w:hAnsi="Segoe UI" w:cs="Segoe UI"/>
          <w:sz w:val="21"/>
          <w:szCs w:val="21"/>
        </w:rPr>
        <w:t>Any significant PPE breach during transport must be followed by an assessment of the breach and a risk assessment and mitigation strategy. This should involve establishment of the contamination risk based on patient factors and the likely staff exposure caused by the breach.  </w:t>
      </w:r>
      <w:r>
        <w:rPr>
          <w:rStyle w:val="eop"/>
          <w:rFonts w:ascii="Segoe UI" w:hAnsi="Segoe UI" w:cs="Segoe UI"/>
          <w:sz w:val="21"/>
          <w:szCs w:val="21"/>
          <w:lang w:val="en-US"/>
        </w:rPr>
        <w:t> </w:t>
      </w:r>
    </w:p>
    <w:p w14:paraId="2FE081A0" w14:textId="7986107C" w:rsidR="005C5517" w:rsidRDefault="005C5517" w:rsidP="005C5517">
      <w:pPr>
        <w:pStyle w:val="paragraph"/>
        <w:spacing w:after="120"/>
        <w:textAlignment w:val="baseline"/>
        <w:rPr>
          <w:rStyle w:val="eop"/>
          <w:rFonts w:ascii="Segoe UI" w:hAnsi="Segoe UI" w:cs="Segoe UI"/>
          <w:sz w:val="21"/>
          <w:szCs w:val="21"/>
          <w:lang w:val="en-US"/>
        </w:rPr>
      </w:pPr>
      <w:r w:rsidRPr="2626D826">
        <w:rPr>
          <w:rStyle w:val="normaltextrun1"/>
          <w:rFonts w:ascii="Segoe UI" w:hAnsi="Segoe UI" w:cs="Segoe UI"/>
          <w:sz w:val="21"/>
          <w:szCs w:val="21"/>
        </w:rPr>
        <w:t>In healthcare settings (including ambulance services), responsibility</w:t>
      </w:r>
      <w:r w:rsidRPr="2626D826" w:rsidDel="00A05C79">
        <w:rPr>
          <w:rStyle w:val="normaltextrun1"/>
          <w:rFonts w:ascii="Segoe UI" w:hAnsi="Segoe UI" w:cs="Segoe UI"/>
          <w:sz w:val="21"/>
          <w:szCs w:val="21"/>
        </w:rPr>
        <w:t xml:space="preserve"> </w:t>
      </w:r>
      <w:r>
        <w:rPr>
          <w:rStyle w:val="normaltextrun1"/>
          <w:rFonts w:ascii="Segoe UI" w:hAnsi="Segoe UI" w:cs="Segoe UI"/>
          <w:sz w:val="21"/>
          <w:szCs w:val="21"/>
        </w:rPr>
        <w:t>for</w:t>
      </w:r>
      <w:r w:rsidRPr="2626D826">
        <w:rPr>
          <w:rStyle w:val="normaltextrun1"/>
          <w:rFonts w:ascii="Segoe UI" w:hAnsi="Segoe UI" w:cs="Segoe UI"/>
          <w:sz w:val="21"/>
          <w:szCs w:val="21"/>
        </w:rPr>
        <w:t xml:space="preserve"> advice for the management of staff in relation to their exposure to COVID-19, including advice around their return to work, sits with </w:t>
      </w:r>
      <w:r w:rsidR="002E39D5">
        <w:rPr>
          <w:rStyle w:val="normaltextrun1"/>
          <w:rFonts w:ascii="Segoe UI" w:hAnsi="Segoe UI" w:cs="Segoe UI"/>
          <w:sz w:val="21"/>
          <w:szCs w:val="21"/>
        </w:rPr>
        <w:t>hospital</w:t>
      </w:r>
      <w:r w:rsidRPr="2626D826">
        <w:rPr>
          <w:rStyle w:val="normaltextrun1"/>
          <w:rFonts w:ascii="Segoe UI" w:hAnsi="Segoe UI" w:cs="Segoe UI"/>
          <w:sz w:val="21"/>
          <w:szCs w:val="21"/>
        </w:rPr>
        <w:t xml:space="preserve"> occupational health teams and/or Public Health Units. Occupational health teams at </w:t>
      </w:r>
      <w:r w:rsidR="004A535D">
        <w:rPr>
          <w:rStyle w:val="normaltextrun1"/>
          <w:rFonts w:ascii="Segoe UI" w:hAnsi="Segoe UI" w:cs="Segoe UI"/>
          <w:sz w:val="21"/>
          <w:szCs w:val="21"/>
        </w:rPr>
        <w:t>hospital</w:t>
      </w:r>
      <w:r w:rsidR="004A535D" w:rsidRPr="2626D826">
        <w:rPr>
          <w:rStyle w:val="normaltextrun1"/>
          <w:rFonts w:ascii="Segoe UI" w:hAnsi="Segoe UI" w:cs="Segoe UI"/>
          <w:sz w:val="21"/>
          <w:szCs w:val="21"/>
        </w:rPr>
        <w:t xml:space="preserve">s </w:t>
      </w:r>
      <w:r w:rsidRPr="2626D826">
        <w:rPr>
          <w:rStyle w:val="normaltextrun1"/>
          <w:rFonts w:ascii="Segoe UI" w:hAnsi="Segoe UI" w:cs="Segoe UI"/>
          <w:sz w:val="21"/>
          <w:szCs w:val="21"/>
        </w:rPr>
        <w:t xml:space="preserve">and/or Public Health Units should </w:t>
      </w:r>
      <w:r>
        <w:rPr>
          <w:rStyle w:val="normaltextrun1"/>
          <w:rFonts w:ascii="Segoe UI" w:hAnsi="Segoe UI" w:cs="Segoe UI"/>
          <w:sz w:val="21"/>
          <w:szCs w:val="21"/>
        </w:rPr>
        <w:t xml:space="preserve">provide advice on how to </w:t>
      </w:r>
      <w:r w:rsidRPr="2626D826">
        <w:rPr>
          <w:rStyle w:val="normaltextrun1"/>
          <w:rFonts w:ascii="Segoe UI" w:hAnsi="Segoe UI" w:cs="Segoe UI"/>
          <w:sz w:val="21"/>
          <w:szCs w:val="21"/>
        </w:rPr>
        <w:t xml:space="preserve">manage workplace exposures according to guidance provided </w:t>
      </w:r>
      <w:r w:rsidRPr="2626D826">
        <w:rPr>
          <w:rStyle w:val="normaltextrun1"/>
          <w:rFonts w:ascii="Segoe UI" w:hAnsi="Segoe UI" w:cs="Segoe UI"/>
          <w:sz w:val="21"/>
          <w:szCs w:val="21"/>
        </w:rPr>
        <w:lastRenderedPageBreak/>
        <w:t xml:space="preserve">in the document ‘Risk Assessment and Categorisation of Healthcare Workers Exposed to COVID-19'. This guidance is available to occupational health teams at </w:t>
      </w:r>
      <w:r w:rsidR="006628CD">
        <w:rPr>
          <w:rStyle w:val="normaltextrun1"/>
          <w:rFonts w:ascii="Segoe UI" w:hAnsi="Segoe UI" w:cs="Segoe UI"/>
          <w:sz w:val="21"/>
          <w:szCs w:val="21"/>
        </w:rPr>
        <w:t>hospital</w:t>
      </w:r>
      <w:r w:rsidR="006628CD" w:rsidRPr="2626D826">
        <w:rPr>
          <w:rStyle w:val="normaltextrun1"/>
          <w:rFonts w:ascii="Segoe UI" w:hAnsi="Segoe UI" w:cs="Segoe UI"/>
          <w:sz w:val="21"/>
          <w:szCs w:val="21"/>
        </w:rPr>
        <w:t xml:space="preserve">s </w:t>
      </w:r>
      <w:r w:rsidRPr="2626D826">
        <w:rPr>
          <w:rStyle w:val="normaltextrun1"/>
          <w:rFonts w:ascii="Segoe UI" w:hAnsi="Segoe UI" w:cs="Segoe UI"/>
          <w:sz w:val="21"/>
          <w:szCs w:val="21"/>
        </w:rPr>
        <w:t>and Public Health Units and is updated regularly. </w:t>
      </w:r>
      <w:r w:rsidRPr="2626D826">
        <w:rPr>
          <w:rStyle w:val="eop"/>
          <w:rFonts w:ascii="Segoe UI" w:hAnsi="Segoe UI" w:cs="Segoe UI"/>
          <w:sz w:val="21"/>
          <w:szCs w:val="21"/>
          <w:lang w:val="en-US"/>
        </w:rPr>
        <w:t> </w:t>
      </w:r>
    </w:p>
    <w:p w14:paraId="52D9B409" w14:textId="77777777" w:rsidR="005C5517" w:rsidRPr="005C5517" w:rsidRDefault="005C5517" w:rsidP="005C5517">
      <w:pPr>
        <w:pStyle w:val="Heading2"/>
      </w:pPr>
      <w:r w:rsidRPr="005C5517">
        <w:t>Ambulance equipment and cleaning </w:t>
      </w:r>
    </w:p>
    <w:p w14:paraId="04DCA01B" w14:textId="77777777" w:rsidR="005C5517" w:rsidRDefault="005C5517" w:rsidP="005C5517">
      <w:pPr>
        <w:pStyle w:val="paragraph"/>
        <w:spacing w:after="120"/>
        <w:textAlignment w:val="baseline"/>
        <w:rPr>
          <w:lang w:val="en-US"/>
        </w:rPr>
      </w:pPr>
      <w:r>
        <w:rPr>
          <w:rStyle w:val="normaltextrun1"/>
          <w:rFonts w:ascii="Segoe UI" w:hAnsi="Segoe UI" w:cs="Segoe UI"/>
          <w:sz w:val="21"/>
          <w:szCs w:val="21"/>
        </w:rPr>
        <w:t>Procedures already in place for ambulance cleaning following transport of a patient with an infectious illness such as influenza are sufficient. Following cleaning and disinfection, the ambulance is ‘good to go’ once all surfaces are dry. </w:t>
      </w:r>
      <w:r>
        <w:rPr>
          <w:rStyle w:val="eop"/>
          <w:rFonts w:ascii="Segoe UI" w:hAnsi="Segoe UI" w:cs="Segoe UI"/>
          <w:sz w:val="21"/>
          <w:szCs w:val="21"/>
          <w:lang w:val="en-US"/>
        </w:rPr>
        <w:t> </w:t>
      </w:r>
    </w:p>
    <w:p w14:paraId="1EF6CF54" w14:textId="77777777" w:rsidR="005C5517" w:rsidRDefault="005C5517" w:rsidP="005C5517">
      <w:pPr>
        <w:pStyle w:val="paragraph"/>
        <w:spacing w:after="120"/>
        <w:textAlignment w:val="baseline"/>
        <w:rPr>
          <w:rStyle w:val="eop"/>
          <w:rFonts w:ascii="Segoe UI" w:hAnsi="Segoe UI" w:cs="Segoe UI"/>
          <w:sz w:val="21"/>
          <w:szCs w:val="21"/>
          <w:lang w:val="en-US"/>
        </w:rPr>
      </w:pPr>
      <w:r w:rsidRPr="6CCA2852">
        <w:rPr>
          <w:rStyle w:val="normaltextrun1"/>
          <w:rFonts w:ascii="Segoe UI" w:hAnsi="Segoe UI" w:cs="Segoe UI"/>
          <w:sz w:val="21"/>
          <w:szCs w:val="21"/>
        </w:rPr>
        <w:t>The use of disposable equipment where possible is preferred, to avoid cross-contamination. </w:t>
      </w:r>
      <w:r w:rsidRPr="6CCA2852">
        <w:rPr>
          <w:rStyle w:val="eop"/>
          <w:rFonts w:ascii="Segoe UI" w:hAnsi="Segoe UI" w:cs="Segoe UI"/>
          <w:sz w:val="21"/>
          <w:szCs w:val="21"/>
          <w:lang w:val="en-US"/>
        </w:rPr>
        <w:t> </w:t>
      </w:r>
    </w:p>
    <w:p w14:paraId="7D7C80BC" w14:textId="77777777" w:rsidR="005C5517" w:rsidRPr="005C5517" w:rsidRDefault="005C5517" w:rsidP="005C5517">
      <w:pPr>
        <w:pStyle w:val="Heading2"/>
      </w:pPr>
      <w:r w:rsidRPr="005C5517">
        <w:t>Local guidelines </w:t>
      </w:r>
    </w:p>
    <w:p w14:paraId="2C63A77B" w14:textId="27336CBE" w:rsidR="005C5517" w:rsidRDefault="005C5517" w:rsidP="005C5517">
      <w:pPr>
        <w:pStyle w:val="paragraph"/>
        <w:spacing w:after="120"/>
        <w:textAlignment w:val="baseline"/>
        <w:rPr>
          <w:rStyle w:val="eop"/>
          <w:rFonts w:ascii="Segoe UI" w:hAnsi="Segoe UI" w:cs="Segoe UI"/>
          <w:sz w:val="21"/>
          <w:szCs w:val="21"/>
          <w:lang w:val="en-US"/>
        </w:rPr>
      </w:pPr>
      <w:r w:rsidRPr="2626D826">
        <w:rPr>
          <w:rStyle w:val="normaltextrun1"/>
          <w:rFonts w:ascii="Segoe UI" w:hAnsi="Segoe UI" w:cs="Segoe UI"/>
          <w:sz w:val="21"/>
          <w:szCs w:val="21"/>
        </w:rPr>
        <w:t>This advice is general. Refer also to your organisational guidelines (</w:t>
      </w:r>
      <w:proofErr w:type="spellStart"/>
      <w:r w:rsidRPr="2626D826">
        <w:rPr>
          <w:rStyle w:val="normaltextrun1"/>
          <w:rFonts w:ascii="Segoe UI" w:hAnsi="Segoe UI" w:cs="Segoe UI"/>
          <w:sz w:val="21"/>
          <w:szCs w:val="21"/>
        </w:rPr>
        <w:t>eg</w:t>
      </w:r>
      <w:proofErr w:type="spellEnd"/>
      <w:r w:rsidRPr="2626D826">
        <w:rPr>
          <w:rStyle w:val="normaltextrun1"/>
          <w:rFonts w:ascii="Segoe UI" w:hAnsi="Segoe UI" w:cs="Segoe UI"/>
          <w:sz w:val="21"/>
          <w:szCs w:val="21"/>
        </w:rPr>
        <w:t xml:space="preserve">, St John, Wellington Free Ambulance, </w:t>
      </w:r>
      <w:r w:rsidR="004A535D">
        <w:rPr>
          <w:rStyle w:val="normaltextrun1"/>
          <w:rFonts w:ascii="Segoe UI" w:hAnsi="Segoe UI" w:cs="Segoe UI"/>
          <w:sz w:val="21"/>
          <w:szCs w:val="21"/>
        </w:rPr>
        <w:t>hospital</w:t>
      </w:r>
      <w:r w:rsidR="004A535D" w:rsidRPr="2626D826">
        <w:rPr>
          <w:rStyle w:val="normaltextrun1"/>
          <w:rFonts w:ascii="Segoe UI" w:hAnsi="Segoe UI" w:cs="Segoe UI"/>
          <w:sz w:val="21"/>
          <w:szCs w:val="21"/>
        </w:rPr>
        <w:t>s</w:t>
      </w:r>
      <w:r w:rsidRPr="2626D826">
        <w:rPr>
          <w:rStyle w:val="normaltextrun1"/>
          <w:rFonts w:ascii="Segoe UI" w:hAnsi="Segoe UI" w:cs="Segoe UI"/>
          <w:sz w:val="21"/>
          <w:szCs w:val="21"/>
        </w:rPr>
        <w:t>).</w:t>
      </w:r>
      <w:r w:rsidRPr="2626D826">
        <w:rPr>
          <w:rStyle w:val="eop"/>
          <w:rFonts w:ascii="Segoe UI" w:hAnsi="Segoe UI" w:cs="Segoe UI"/>
          <w:sz w:val="21"/>
          <w:szCs w:val="21"/>
          <w:lang w:val="en-US"/>
        </w:rPr>
        <w:t> </w:t>
      </w:r>
    </w:p>
    <w:p w14:paraId="061CE4D7" w14:textId="77777777" w:rsidR="005C5517" w:rsidRDefault="005C5517" w:rsidP="005C5517">
      <w:pPr>
        <w:pStyle w:val="paragraph"/>
        <w:spacing w:after="120"/>
        <w:textAlignment w:val="baseline"/>
        <w:rPr>
          <w:lang w:val="en-US"/>
        </w:rPr>
      </w:pPr>
    </w:p>
    <w:p w14:paraId="0613F833" w14:textId="0CAEBBED" w:rsidR="005D034C" w:rsidRDefault="005C5517" w:rsidP="005C5517">
      <w:pPr>
        <w:pStyle w:val="paragraph"/>
        <w:spacing w:after="120"/>
        <w:textAlignment w:val="baseline"/>
        <w:rPr>
          <w:rStyle w:val="eop"/>
          <w:rFonts w:ascii="Segoe UI" w:hAnsi="Segoe UI" w:cs="Segoe UI"/>
          <w:sz w:val="21"/>
          <w:szCs w:val="21"/>
          <w:lang w:val="en-US"/>
        </w:rPr>
      </w:pPr>
      <w:r>
        <w:rPr>
          <w:rStyle w:val="normaltextrun1"/>
          <w:rFonts w:ascii="Segoe UI" w:hAnsi="Segoe UI" w:cs="Segoe UI"/>
          <w:b/>
          <w:bCs/>
          <w:sz w:val="21"/>
          <w:szCs w:val="21"/>
        </w:rPr>
        <w:t xml:space="preserve">References: </w:t>
      </w:r>
      <w:r>
        <w:rPr>
          <w:rStyle w:val="normaltextrun1"/>
          <w:rFonts w:ascii="Segoe UI" w:hAnsi="Segoe UI" w:cs="Segoe UI"/>
          <w:sz w:val="21"/>
          <w:szCs w:val="21"/>
        </w:rPr>
        <w:t>St John and Wellington Free Ambulance guidelines.</w:t>
      </w:r>
    </w:p>
    <w:p w14:paraId="266C1EDC" w14:textId="77777777" w:rsidR="005C5517" w:rsidRPr="005C5517" w:rsidRDefault="005C5517" w:rsidP="005C5517">
      <w:pPr>
        <w:pStyle w:val="paragraph"/>
        <w:spacing w:after="120"/>
        <w:textAlignment w:val="baseline"/>
        <w:rPr>
          <w:lang w:val="en-US"/>
        </w:rPr>
      </w:pPr>
    </w:p>
    <w:sectPr w:rsidR="005C5517" w:rsidRPr="005C5517" w:rsidSect="00322092">
      <w:headerReference w:type="default" r:id="rId15"/>
      <w:pgSz w:w="11907" w:h="16834" w:code="9"/>
      <w:pgMar w:top="1406" w:right="720" w:bottom="725"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4811" w14:textId="77777777" w:rsidR="00594BB7" w:rsidRDefault="00594BB7">
      <w:r>
        <w:separator/>
      </w:r>
    </w:p>
    <w:p w14:paraId="73E2A41E" w14:textId="77777777" w:rsidR="00594BB7" w:rsidRDefault="00594BB7"/>
  </w:endnote>
  <w:endnote w:type="continuationSeparator" w:id="0">
    <w:p w14:paraId="31B4C794" w14:textId="77777777" w:rsidR="00594BB7" w:rsidRDefault="00594BB7">
      <w:r>
        <w:continuationSeparator/>
      </w:r>
    </w:p>
    <w:p w14:paraId="7F594125" w14:textId="77777777" w:rsidR="00594BB7" w:rsidRDefault="00594BB7"/>
  </w:endnote>
  <w:endnote w:type="continuationNotice" w:id="1">
    <w:p w14:paraId="4ACB6579" w14:textId="77777777" w:rsidR="00594BB7" w:rsidRDefault="00594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Times New Roman"/>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2E1CC6" w14:paraId="71FE0E4D" w14:textId="77777777" w:rsidTr="00D662F8">
      <w:trPr>
        <w:cantSplit/>
      </w:trPr>
      <w:tc>
        <w:tcPr>
          <w:tcW w:w="675" w:type="dxa"/>
          <w:vAlign w:val="center"/>
        </w:tcPr>
        <w:p w14:paraId="141C1DDC" w14:textId="77777777" w:rsidR="002E1CC6" w:rsidRPr="00931466" w:rsidRDefault="002E1CC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5B23DEB" w14:textId="77777777" w:rsidR="002E1CC6" w:rsidRDefault="002E1CC6" w:rsidP="000D58DD">
          <w:pPr>
            <w:pStyle w:val="RectoFooter"/>
            <w:jc w:val="left"/>
          </w:pPr>
          <w:r>
            <w:t>[TITLE]</w:t>
          </w:r>
        </w:p>
      </w:tc>
    </w:tr>
  </w:tbl>
  <w:p w14:paraId="3A778713" w14:textId="77777777" w:rsidR="002E1CC6" w:rsidRPr="00571223" w:rsidRDefault="002E1CC6"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602123"/>
      <w:docPartObj>
        <w:docPartGallery w:val="Page Numbers (Bottom of Page)"/>
        <w:docPartUnique/>
      </w:docPartObj>
    </w:sdtPr>
    <w:sdtEndPr>
      <w:rPr>
        <w:noProof/>
      </w:rPr>
    </w:sdtEndPr>
    <w:sdtContent>
      <w:p w14:paraId="63CFB7C7" w14:textId="10BC2FFC" w:rsidR="00322092" w:rsidRDefault="003220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61AE3A" w14:textId="77777777" w:rsidR="00CD480B" w:rsidRDefault="00CD480B" w:rsidP="0032209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B3580" w14:textId="77777777" w:rsidR="00CD480B" w:rsidRDefault="00CD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03991" w14:textId="77777777" w:rsidR="00594BB7" w:rsidRPr="00A26E6B" w:rsidRDefault="00594BB7" w:rsidP="00A26E6B"/>
  </w:footnote>
  <w:footnote w:type="continuationSeparator" w:id="0">
    <w:p w14:paraId="4A6094FC" w14:textId="77777777" w:rsidR="00594BB7" w:rsidRDefault="00594BB7">
      <w:r>
        <w:continuationSeparator/>
      </w:r>
    </w:p>
    <w:p w14:paraId="76405F0F" w14:textId="77777777" w:rsidR="00594BB7" w:rsidRDefault="00594BB7"/>
  </w:footnote>
  <w:footnote w:type="continuationNotice" w:id="1">
    <w:p w14:paraId="407FFA3A" w14:textId="77777777" w:rsidR="00594BB7" w:rsidRDefault="00594BB7"/>
  </w:footnote>
  <w:footnote w:id="2">
    <w:p w14:paraId="636A9C83" w14:textId="77777777" w:rsidR="005C5517" w:rsidRDefault="005C5517" w:rsidP="005C5517">
      <w:pPr>
        <w:pStyle w:val="FootnoteText"/>
      </w:pPr>
      <w:r>
        <w:rPr>
          <w:rStyle w:val="FootnoteReference"/>
        </w:rPr>
        <w:footnoteRef/>
      </w:r>
      <w:r>
        <w:t xml:space="preserve"> Face shield or goggles can be re used following cleaning/disinfection. Recommend that clinical crew have their own designated eye protection and ensure it is fit for purpose eg, not damaged or heavily contaminated).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EDB0" w14:textId="77777777" w:rsidR="00CD480B" w:rsidRDefault="00CD4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BEE2" w14:textId="15598956" w:rsidR="002E1CC6" w:rsidRDefault="00101F10">
    <w:r>
      <w:rPr>
        <w:noProof/>
      </w:rPr>
      <w:drawing>
        <wp:anchor distT="0" distB="0" distL="114300" distR="114300" simplePos="0" relativeHeight="251658241" behindDoc="1" locked="0" layoutInCell="1" allowOverlap="1" wp14:anchorId="26F66682" wp14:editId="046D77C7">
          <wp:simplePos x="0" y="0"/>
          <wp:positionH relativeFrom="page">
            <wp:align>left</wp:align>
          </wp:positionH>
          <wp:positionV relativeFrom="page">
            <wp:align>top</wp:align>
          </wp:positionV>
          <wp:extent cx="7556400" cy="1980000"/>
          <wp:effectExtent l="0" t="0" r="635" b="1270"/>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400" cy="19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B114" w14:textId="77777777" w:rsidR="00CD480B" w:rsidRDefault="00CD48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26A0" w14:textId="77777777" w:rsidR="00B35E59" w:rsidRDefault="00B35E59">
    <w:r>
      <w:rPr>
        <w:noProof/>
      </w:rPr>
      <w:drawing>
        <wp:anchor distT="0" distB="0" distL="114300" distR="114300" simplePos="0" relativeHeight="251658240" behindDoc="0" locked="0" layoutInCell="1" allowOverlap="1" wp14:anchorId="5A5D7707" wp14:editId="0D907684">
          <wp:simplePos x="0" y="0"/>
          <wp:positionH relativeFrom="page">
            <wp:align>left</wp:align>
          </wp:positionH>
          <wp:positionV relativeFrom="page">
            <wp:align>top</wp:align>
          </wp:positionV>
          <wp:extent cx="7560000" cy="900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C6979B5"/>
    <w:multiLevelType w:val="hybridMultilevel"/>
    <w:tmpl w:val="6AC47A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8AF498C"/>
    <w:multiLevelType w:val="hybridMultilevel"/>
    <w:tmpl w:val="CF50B4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4"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5"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6"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7"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8"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0"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3"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4"/>
  </w:num>
  <w:num w:numId="3">
    <w:abstractNumId w:val="17"/>
  </w:num>
  <w:num w:numId="4">
    <w:abstractNumId w:val="18"/>
  </w:num>
  <w:num w:numId="5">
    <w:abstractNumId w:val="0"/>
  </w:num>
  <w:num w:numId="6">
    <w:abstractNumId w:val="33"/>
  </w:num>
  <w:num w:numId="7">
    <w:abstractNumId w:val="12"/>
  </w:num>
  <w:num w:numId="8">
    <w:abstractNumId w:val="2"/>
  </w:num>
  <w:num w:numId="9">
    <w:abstractNumId w:val="30"/>
  </w:num>
  <w:num w:numId="10">
    <w:abstractNumId w:val="1"/>
  </w:num>
  <w:num w:numId="11">
    <w:abstractNumId w:val="28"/>
  </w:num>
  <w:num w:numId="12">
    <w:abstractNumId w:val="3"/>
  </w:num>
  <w:num w:numId="13">
    <w:abstractNumId w:val="7"/>
  </w:num>
  <w:num w:numId="14">
    <w:abstractNumId w:val="5"/>
  </w:num>
  <w:num w:numId="15">
    <w:abstractNumId w:val="8"/>
  </w:num>
  <w:num w:numId="16">
    <w:abstractNumId w:val="21"/>
  </w:num>
  <w:num w:numId="17">
    <w:abstractNumId w:val="10"/>
  </w:num>
  <w:num w:numId="18">
    <w:abstractNumId w:val="26"/>
  </w:num>
  <w:num w:numId="19">
    <w:abstractNumId w:val="11"/>
  </w:num>
  <w:num w:numId="20">
    <w:abstractNumId w:val="20"/>
  </w:num>
  <w:num w:numId="21">
    <w:abstractNumId w:val="6"/>
  </w:num>
  <w:num w:numId="22">
    <w:abstractNumId w:val="4"/>
  </w:num>
  <w:num w:numId="23">
    <w:abstractNumId w:val="23"/>
  </w:num>
  <w:num w:numId="24">
    <w:abstractNumId w:val="22"/>
  </w:num>
  <w:num w:numId="25">
    <w:abstractNumId w:val="32"/>
  </w:num>
  <w:num w:numId="26">
    <w:abstractNumId w:val="14"/>
  </w:num>
  <w:num w:numId="27">
    <w:abstractNumId w:val="27"/>
  </w:num>
  <w:num w:numId="28">
    <w:abstractNumId w:val="25"/>
  </w:num>
  <w:num w:numId="29">
    <w:abstractNumId w:val="19"/>
  </w:num>
  <w:num w:numId="30">
    <w:abstractNumId w:val="9"/>
  </w:num>
  <w:num w:numId="31">
    <w:abstractNumId w:val="29"/>
  </w:num>
  <w:num w:numId="32">
    <w:abstractNumId w:val="15"/>
  </w:num>
  <w:num w:numId="33">
    <w:abstractNumId w:val="13"/>
  </w:num>
  <w:num w:numId="3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283"/>
    <w:rsid w:val="00032C0A"/>
    <w:rsid w:val="00035257"/>
    <w:rsid w:val="00035D68"/>
    <w:rsid w:val="00054B44"/>
    <w:rsid w:val="0006228D"/>
    <w:rsid w:val="00067E58"/>
    <w:rsid w:val="00072BD6"/>
    <w:rsid w:val="00075B78"/>
    <w:rsid w:val="000763E9"/>
    <w:rsid w:val="00082CD6"/>
    <w:rsid w:val="0008437D"/>
    <w:rsid w:val="00085AFE"/>
    <w:rsid w:val="00094800"/>
    <w:rsid w:val="000A41ED"/>
    <w:rsid w:val="000B0730"/>
    <w:rsid w:val="000D01AB"/>
    <w:rsid w:val="000D19F4"/>
    <w:rsid w:val="000D58DD"/>
    <w:rsid w:val="000F2AE2"/>
    <w:rsid w:val="000F2BFF"/>
    <w:rsid w:val="00101F10"/>
    <w:rsid w:val="00102063"/>
    <w:rsid w:val="0010541C"/>
    <w:rsid w:val="00106F93"/>
    <w:rsid w:val="00111D50"/>
    <w:rsid w:val="00113B8E"/>
    <w:rsid w:val="0012053C"/>
    <w:rsid w:val="00122363"/>
    <w:rsid w:val="00126D1A"/>
    <w:rsid w:val="001342C7"/>
    <w:rsid w:val="0013585C"/>
    <w:rsid w:val="0014098A"/>
    <w:rsid w:val="00142261"/>
    <w:rsid w:val="00142954"/>
    <w:rsid w:val="001460E0"/>
    <w:rsid w:val="001472F0"/>
    <w:rsid w:val="00147F71"/>
    <w:rsid w:val="00150A6E"/>
    <w:rsid w:val="0016304B"/>
    <w:rsid w:val="0016468A"/>
    <w:rsid w:val="0018662D"/>
    <w:rsid w:val="00197427"/>
    <w:rsid w:val="001A0DE8"/>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212D2"/>
    <w:rsid w:val="00246DB1"/>
    <w:rsid w:val="002476B5"/>
    <w:rsid w:val="002520CC"/>
    <w:rsid w:val="00253ECF"/>
    <w:rsid w:val="002546A1"/>
    <w:rsid w:val="002628F4"/>
    <w:rsid w:val="00275D08"/>
    <w:rsid w:val="002858E3"/>
    <w:rsid w:val="00286A2A"/>
    <w:rsid w:val="0029190A"/>
    <w:rsid w:val="00292275"/>
    <w:rsid w:val="00292C5A"/>
    <w:rsid w:val="00295241"/>
    <w:rsid w:val="002A4DFC"/>
    <w:rsid w:val="002B047D"/>
    <w:rsid w:val="002B732B"/>
    <w:rsid w:val="002B76A7"/>
    <w:rsid w:val="002C2219"/>
    <w:rsid w:val="002C2552"/>
    <w:rsid w:val="002C380A"/>
    <w:rsid w:val="002D0DF2"/>
    <w:rsid w:val="002D23BD"/>
    <w:rsid w:val="002E0B47"/>
    <w:rsid w:val="002E1CC6"/>
    <w:rsid w:val="002E39D5"/>
    <w:rsid w:val="002F4685"/>
    <w:rsid w:val="002F7213"/>
    <w:rsid w:val="002F792C"/>
    <w:rsid w:val="0030382F"/>
    <w:rsid w:val="0030408D"/>
    <w:rsid w:val="003060E4"/>
    <w:rsid w:val="003160E7"/>
    <w:rsid w:val="0031739E"/>
    <w:rsid w:val="00322092"/>
    <w:rsid w:val="003309CA"/>
    <w:rsid w:val="003325AB"/>
    <w:rsid w:val="003332D1"/>
    <w:rsid w:val="0033412B"/>
    <w:rsid w:val="00341161"/>
    <w:rsid w:val="00343365"/>
    <w:rsid w:val="00343A92"/>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14954"/>
    <w:rsid w:val="00414BFF"/>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535D"/>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286"/>
    <w:rsid w:val="00581EB8"/>
    <w:rsid w:val="00594BB7"/>
    <w:rsid w:val="005A27CA"/>
    <w:rsid w:val="005A43BD"/>
    <w:rsid w:val="005A79E5"/>
    <w:rsid w:val="005B5929"/>
    <w:rsid w:val="005C5517"/>
    <w:rsid w:val="005D034C"/>
    <w:rsid w:val="005E226E"/>
    <w:rsid w:val="005E2636"/>
    <w:rsid w:val="006003FD"/>
    <w:rsid w:val="006015D7"/>
    <w:rsid w:val="00601B21"/>
    <w:rsid w:val="006041F0"/>
    <w:rsid w:val="00605C6D"/>
    <w:rsid w:val="006120CA"/>
    <w:rsid w:val="00624174"/>
    <w:rsid w:val="00626CF8"/>
    <w:rsid w:val="0063009B"/>
    <w:rsid w:val="006314AF"/>
    <w:rsid w:val="00634ED8"/>
    <w:rsid w:val="00635B1B"/>
    <w:rsid w:val="00636D7D"/>
    <w:rsid w:val="00637408"/>
    <w:rsid w:val="00641423"/>
    <w:rsid w:val="00642868"/>
    <w:rsid w:val="00644113"/>
    <w:rsid w:val="00647AFE"/>
    <w:rsid w:val="006512BC"/>
    <w:rsid w:val="00653A5A"/>
    <w:rsid w:val="006554AC"/>
    <w:rsid w:val="006575F4"/>
    <w:rsid w:val="006579E6"/>
    <w:rsid w:val="00660682"/>
    <w:rsid w:val="00660F74"/>
    <w:rsid w:val="006628CD"/>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02E49"/>
    <w:rsid w:val="0071741C"/>
    <w:rsid w:val="00742B90"/>
    <w:rsid w:val="0074434D"/>
    <w:rsid w:val="007570C4"/>
    <w:rsid w:val="007605B8"/>
    <w:rsid w:val="00771B1E"/>
    <w:rsid w:val="00773C95"/>
    <w:rsid w:val="0078171E"/>
    <w:rsid w:val="007851DB"/>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3DE5"/>
    <w:rsid w:val="0084640C"/>
    <w:rsid w:val="00852D42"/>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4339"/>
    <w:rsid w:val="00935589"/>
    <w:rsid w:val="00944647"/>
    <w:rsid w:val="00947A1E"/>
    <w:rsid w:val="0095565C"/>
    <w:rsid w:val="00964AB6"/>
    <w:rsid w:val="00966F9A"/>
    <w:rsid w:val="00977B8A"/>
    <w:rsid w:val="00982971"/>
    <w:rsid w:val="009845AD"/>
    <w:rsid w:val="00984835"/>
    <w:rsid w:val="009933EF"/>
    <w:rsid w:val="00995BA0"/>
    <w:rsid w:val="0099745A"/>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1727"/>
    <w:rsid w:val="00AF7800"/>
    <w:rsid w:val="00B00CF5"/>
    <w:rsid w:val="00B072E0"/>
    <w:rsid w:val="00B1007E"/>
    <w:rsid w:val="00B105CF"/>
    <w:rsid w:val="00B253F6"/>
    <w:rsid w:val="00B26675"/>
    <w:rsid w:val="00B305DB"/>
    <w:rsid w:val="00B332F8"/>
    <w:rsid w:val="00B3492B"/>
    <w:rsid w:val="00B35E59"/>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5AF3"/>
    <w:rsid w:val="00C66296"/>
    <w:rsid w:val="00C67072"/>
    <w:rsid w:val="00C7394D"/>
    <w:rsid w:val="00C75B36"/>
    <w:rsid w:val="00C77282"/>
    <w:rsid w:val="00C84DE5"/>
    <w:rsid w:val="00C86248"/>
    <w:rsid w:val="00C90B31"/>
    <w:rsid w:val="00CA0D6F"/>
    <w:rsid w:val="00CA4C33"/>
    <w:rsid w:val="00CA6F4A"/>
    <w:rsid w:val="00CB6427"/>
    <w:rsid w:val="00CC0FBE"/>
    <w:rsid w:val="00CD2119"/>
    <w:rsid w:val="00CD237A"/>
    <w:rsid w:val="00CD36AC"/>
    <w:rsid w:val="00CD480B"/>
    <w:rsid w:val="00CD489C"/>
    <w:rsid w:val="00CE13A3"/>
    <w:rsid w:val="00CE36BC"/>
    <w:rsid w:val="00CE64DF"/>
    <w:rsid w:val="00CF1747"/>
    <w:rsid w:val="00CF60ED"/>
    <w:rsid w:val="00D05D74"/>
    <w:rsid w:val="00D06A15"/>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E2F41"/>
    <w:rsid w:val="00DE3B20"/>
    <w:rsid w:val="00DE6C94"/>
    <w:rsid w:val="00DE6FD7"/>
    <w:rsid w:val="00E23271"/>
    <w:rsid w:val="00E24F80"/>
    <w:rsid w:val="00E259F3"/>
    <w:rsid w:val="00E30985"/>
    <w:rsid w:val="00E33238"/>
    <w:rsid w:val="00E376B7"/>
    <w:rsid w:val="00E42F5D"/>
    <w:rsid w:val="00E4486C"/>
    <w:rsid w:val="00E460B6"/>
    <w:rsid w:val="00E511D5"/>
    <w:rsid w:val="00E52A3E"/>
    <w:rsid w:val="00E53A9F"/>
    <w:rsid w:val="00E60249"/>
    <w:rsid w:val="00E65269"/>
    <w:rsid w:val="00E750B6"/>
    <w:rsid w:val="00E76D66"/>
    <w:rsid w:val="00EA796A"/>
    <w:rsid w:val="00EB1856"/>
    <w:rsid w:val="00EC50CE"/>
    <w:rsid w:val="00EC5B34"/>
    <w:rsid w:val="00ED021E"/>
    <w:rsid w:val="00ED323C"/>
    <w:rsid w:val="00ED7B80"/>
    <w:rsid w:val="00EE2D5C"/>
    <w:rsid w:val="00EE4ADE"/>
    <w:rsid w:val="00EE4DE8"/>
    <w:rsid w:val="00EE5CB7"/>
    <w:rsid w:val="00EF6315"/>
    <w:rsid w:val="00F024FE"/>
    <w:rsid w:val="00F05AD4"/>
    <w:rsid w:val="00F07D03"/>
    <w:rsid w:val="00F10EB6"/>
    <w:rsid w:val="00F13F07"/>
    <w:rsid w:val="00F140B2"/>
    <w:rsid w:val="00F25970"/>
    <w:rsid w:val="00F311A9"/>
    <w:rsid w:val="00F5180D"/>
    <w:rsid w:val="00F63781"/>
    <w:rsid w:val="00F67496"/>
    <w:rsid w:val="00F7044D"/>
    <w:rsid w:val="00F73D9D"/>
    <w:rsid w:val="00F7489F"/>
    <w:rsid w:val="00F801BA"/>
    <w:rsid w:val="00F86C81"/>
    <w:rsid w:val="00F9366A"/>
    <w:rsid w:val="00F946C9"/>
    <w:rsid w:val="00FA0EA5"/>
    <w:rsid w:val="00FA74EE"/>
    <w:rsid w:val="00FC3711"/>
    <w:rsid w:val="00FC46E7"/>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8E6"/>
  <w15:docId w15:val="{EDB614FF-E90F-4DC8-A757-0F8293C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63009B"/>
    <w:pPr>
      <w:keepNext/>
      <w:spacing w:before="240" w:after="120"/>
      <w:outlineLvl w:val="2"/>
    </w:pPr>
    <w:rPr>
      <w:color w:val="C85000"/>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63009B"/>
    <w:rPr>
      <w:rFonts w:ascii="Segoe UI" w:hAnsi="Segoe UI"/>
      <w:color w:val="C85000"/>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1"/>
    <w:qFormat/>
    <w:rsid w:val="00F73D9D"/>
    <w:pPr>
      <w:ind w:left="720"/>
      <w:contextualSpacing/>
    </w:pPr>
  </w:style>
  <w:style w:type="paragraph" w:customStyle="1" w:styleId="paragraph">
    <w:name w:val="paragraph"/>
    <w:basedOn w:val="Normal"/>
    <w:rsid w:val="005C5517"/>
    <w:rPr>
      <w:rFonts w:ascii="Times New Roman" w:hAnsi="Times New Roman"/>
      <w:sz w:val="24"/>
      <w:szCs w:val="24"/>
      <w:lang w:eastAsia="en-NZ"/>
    </w:rPr>
  </w:style>
  <w:style w:type="character" w:customStyle="1" w:styleId="normaltextrun1">
    <w:name w:val="normaltextrun1"/>
    <w:basedOn w:val="DefaultParagraphFont"/>
    <w:rsid w:val="005C5517"/>
  </w:style>
  <w:style w:type="character" w:customStyle="1" w:styleId="eop">
    <w:name w:val="eop"/>
    <w:basedOn w:val="DefaultParagraphFont"/>
    <w:rsid w:val="005C5517"/>
  </w:style>
  <w:style w:type="paragraph" w:customStyle="1" w:styleId="Body">
    <w:name w:val="Body"/>
    <w:rsid w:val="005C5517"/>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govt.nz/our-work/diseases-and-conditions/covid-19-novel-coronavirus/covid-19-information-specific-audiences/covid-19-personal-protective-equipment-central-supply/covid-19-infection-prevention-and-control-recommendations-health-and-disability-care-work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6D00-2F90-2044-A881-A987698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1308</TotalTime>
  <Pages>3</Pages>
  <Words>785</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Road ambulance transfer of patients, Aotearoa New Zealand</dc:title>
  <dc:subject/>
  <dc:creator>Ministry of Health</dc:creator>
  <cp:keywords/>
  <cp:lastModifiedBy>Allan Potter</cp:lastModifiedBy>
  <cp:revision>22</cp:revision>
  <cp:lastPrinted>2015-11-18T02:02:00Z</cp:lastPrinted>
  <dcterms:created xsi:type="dcterms:W3CDTF">2022-09-07T20:58:00Z</dcterms:created>
  <dcterms:modified xsi:type="dcterms:W3CDTF">2022-09-12T20:44:00Z</dcterms:modified>
</cp:coreProperties>
</file>