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402C" w14:textId="74B6CB97" w:rsidR="005108CD" w:rsidRPr="009C435C" w:rsidRDefault="005108CD" w:rsidP="005108CD">
      <w:pPr>
        <w:pStyle w:val="Heading1"/>
        <w:rPr>
          <w:rFonts w:ascii="Segoe UI" w:hAnsi="Segoe UI" w:cs="Segoe UI"/>
          <w:b/>
          <w:bCs/>
          <w:color w:val="auto"/>
        </w:rPr>
      </w:pPr>
      <w:bookmarkStart w:id="0" w:name="_Hlk94165499"/>
      <w:r>
        <w:rPr>
          <w:rFonts w:ascii="Segoe UI" w:hAnsi="Segoe UI" w:cs="Segoe UI"/>
          <w:b/>
          <w:bCs/>
          <w:color w:val="auto"/>
        </w:rPr>
        <w:t>C</w:t>
      </w:r>
      <w:r w:rsidRPr="009C435C">
        <w:rPr>
          <w:rFonts w:ascii="Segoe UI" w:hAnsi="Segoe UI" w:cs="Segoe UI"/>
          <w:b/>
          <w:bCs/>
          <w:color w:val="auto"/>
        </w:rPr>
        <w:t xml:space="preserve">aring for </w:t>
      </w:r>
      <w:r w:rsidR="00C92B9D">
        <w:rPr>
          <w:rFonts w:ascii="Segoe UI" w:hAnsi="Segoe UI" w:cs="Segoe UI"/>
          <w:b/>
          <w:bCs/>
          <w:color w:val="auto"/>
        </w:rPr>
        <w:t>Comm</w:t>
      </w:r>
      <w:r w:rsidR="006D7CFA">
        <w:rPr>
          <w:rFonts w:ascii="Segoe UI" w:hAnsi="Segoe UI" w:cs="Segoe UI"/>
          <w:b/>
          <w:bCs/>
          <w:color w:val="auto"/>
        </w:rPr>
        <w:t>unity Pharmacy Anticoagulation Management Service (CPAMS)</w:t>
      </w:r>
      <w:r w:rsidRPr="009C435C">
        <w:rPr>
          <w:rFonts w:ascii="Segoe UI" w:hAnsi="Segoe UI" w:cs="Segoe UI"/>
          <w:b/>
          <w:bCs/>
          <w:color w:val="auto"/>
        </w:rPr>
        <w:t xml:space="preserve"> clients in</w:t>
      </w:r>
      <w:r w:rsidR="00FE001B">
        <w:rPr>
          <w:rFonts w:ascii="Segoe UI" w:hAnsi="Segoe UI" w:cs="Segoe UI"/>
          <w:b/>
          <w:bCs/>
          <w:color w:val="auto"/>
        </w:rPr>
        <w:t xml:space="preserve"> mandatory</w:t>
      </w:r>
      <w:r w:rsidRPr="009C435C">
        <w:rPr>
          <w:rFonts w:ascii="Segoe UI" w:hAnsi="Segoe UI" w:cs="Segoe UI"/>
          <w:b/>
          <w:bCs/>
          <w:color w:val="auto"/>
        </w:rPr>
        <w:t xml:space="preserve"> self</w:t>
      </w:r>
      <w:r>
        <w:rPr>
          <w:rFonts w:ascii="Segoe UI" w:hAnsi="Segoe UI" w:cs="Segoe UI"/>
          <w:b/>
          <w:bCs/>
          <w:color w:val="auto"/>
        </w:rPr>
        <w:t>-</w:t>
      </w:r>
      <w:r w:rsidRPr="009C435C">
        <w:rPr>
          <w:rFonts w:ascii="Segoe UI" w:hAnsi="Segoe UI" w:cs="Segoe UI"/>
          <w:b/>
          <w:bCs/>
          <w:color w:val="auto"/>
        </w:rPr>
        <w:t xml:space="preserve">isolation for COVID-19 </w:t>
      </w:r>
    </w:p>
    <w:p w14:paraId="4F55A122" w14:textId="68F2DF05" w:rsidR="005108CD" w:rsidRDefault="005108CD" w:rsidP="005108CD">
      <w:pPr>
        <w:spacing w:after="0"/>
        <w:rPr>
          <w:rFonts w:ascii="Segoe UI" w:hAnsi="Segoe UI" w:cs="Segoe UI"/>
        </w:rPr>
      </w:pPr>
    </w:p>
    <w:p w14:paraId="4862BFF2" w14:textId="32F7A335" w:rsidR="00580E83" w:rsidRDefault="008C1C95" w:rsidP="005108C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>25 January 2022</w:t>
      </w:r>
    </w:p>
    <w:p w14:paraId="05CE6749" w14:textId="77777777" w:rsidR="00580E83" w:rsidRDefault="00580E83" w:rsidP="005108CD">
      <w:pPr>
        <w:spacing w:after="0"/>
        <w:rPr>
          <w:rFonts w:ascii="Segoe UI" w:hAnsi="Segoe UI" w:cs="Segoe UI"/>
        </w:rPr>
      </w:pPr>
    </w:p>
    <w:p w14:paraId="63FF8AB4" w14:textId="6542D0EB" w:rsidR="005108CD" w:rsidRPr="00B25576" w:rsidRDefault="005108CD" w:rsidP="005108CD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B25576">
        <w:rPr>
          <w:rFonts w:ascii="Segoe UI" w:hAnsi="Segoe UI" w:cs="Segoe UI"/>
          <w:b/>
          <w:bCs/>
          <w:sz w:val="20"/>
          <w:szCs w:val="20"/>
        </w:rPr>
        <w:t>Introduction</w:t>
      </w:r>
    </w:p>
    <w:p w14:paraId="7E1B20F7" w14:textId="77777777" w:rsidR="00C1658C" w:rsidRDefault="005108CD" w:rsidP="00C1658C">
      <w:pPr>
        <w:spacing w:after="0"/>
        <w:rPr>
          <w:rFonts w:ascii="Segoe UI" w:hAnsi="Segoe UI" w:cs="Segoe UI"/>
          <w:sz w:val="20"/>
          <w:szCs w:val="20"/>
        </w:rPr>
      </w:pPr>
      <w:r w:rsidRPr="00B25576">
        <w:rPr>
          <w:rFonts w:ascii="Segoe UI" w:hAnsi="Segoe UI" w:cs="Segoe UI"/>
          <w:bCs/>
          <w:sz w:val="20"/>
          <w:szCs w:val="20"/>
        </w:rPr>
        <w:t xml:space="preserve">This </w:t>
      </w:r>
      <w:r w:rsidR="00F01DA0">
        <w:rPr>
          <w:rFonts w:ascii="Segoe UI" w:hAnsi="Segoe UI" w:cs="Segoe UI"/>
          <w:bCs/>
          <w:sz w:val="20"/>
          <w:szCs w:val="20"/>
        </w:rPr>
        <w:t>guidance</w:t>
      </w:r>
      <w:r w:rsidR="00EE42A0">
        <w:rPr>
          <w:rFonts w:ascii="Segoe UI" w:hAnsi="Segoe UI" w:cs="Segoe UI"/>
          <w:bCs/>
          <w:sz w:val="20"/>
          <w:szCs w:val="20"/>
        </w:rPr>
        <w:t xml:space="preserve"> helps</w:t>
      </w:r>
      <w:r w:rsidRPr="00B25576">
        <w:rPr>
          <w:rFonts w:ascii="Segoe UI" w:hAnsi="Segoe UI" w:cs="Segoe UI"/>
          <w:bCs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clinicians</w:t>
      </w:r>
      <w:r w:rsidRPr="00B25576">
        <w:rPr>
          <w:rFonts w:ascii="Segoe UI" w:hAnsi="Segoe UI" w:cs="Segoe UI"/>
          <w:bCs/>
          <w:sz w:val="20"/>
          <w:szCs w:val="20"/>
        </w:rPr>
        <w:t xml:space="preserve"> </w:t>
      </w:r>
      <w:r w:rsidR="00EE42A0">
        <w:rPr>
          <w:rFonts w:ascii="Segoe UI" w:hAnsi="Segoe UI" w:cs="Segoe UI"/>
          <w:bCs/>
          <w:sz w:val="20"/>
          <w:szCs w:val="20"/>
        </w:rPr>
        <w:t>to provide</w:t>
      </w:r>
      <w:r w:rsidRPr="00B25576">
        <w:rPr>
          <w:rFonts w:ascii="Segoe UI" w:hAnsi="Segoe UI" w:cs="Segoe UI"/>
          <w:bCs/>
          <w:sz w:val="20"/>
          <w:szCs w:val="20"/>
        </w:rPr>
        <w:t xml:space="preserve"> care for</w:t>
      </w:r>
      <w:r w:rsidRPr="00B25576">
        <w:rPr>
          <w:rFonts w:ascii="Segoe UI" w:hAnsi="Segoe UI" w:cs="Segoe UI"/>
          <w:sz w:val="20"/>
          <w:szCs w:val="20"/>
        </w:rPr>
        <w:t xml:space="preserve"> </w:t>
      </w:r>
      <w:r w:rsidR="00AE58A9">
        <w:rPr>
          <w:rFonts w:ascii="Segoe UI" w:hAnsi="Segoe UI" w:cs="Segoe UI"/>
          <w:sz w:val="20"/>
          <w:szCs w:val="20"/>
        </w:rPr>
        <w:t>CPAMS</w:t>
      </w:r>
      <w:r w:rsidRPr="00B25576">
        <w:rPr>
          <w:rFonts w:ascii="Segoe UI" w:hAnsi="Segoe UI" w:cs="Segoe UI"/>
          <w:sz w:val="20"/>
          <w:szCs w:val="20"/>
        </w:rPr>
        <w:t xml:space="preserve"> clients in </w:t>
      </w:r>
      <w:r w:rsidR="00FE001B">
        <w:rPr>
          <w:rFonts w:ascii="Segoe UI" w:hAnsi="Segoe UI" w:cs="Segoe UI"/>
          <w:sz w:val="20"/>
          <w:szCs w:val="20"/>
        </w:rPr>
        <w:t xml:space="preserve">mandatory </w:t>
      </w:r>
      <w:r w:rsidR="00EE42A0">
        <w:rPr>
          <w:rFonts w:ascii="Segoe UI" w:hAnsi="Segoe UI" w:cs="Segoe UI"/>
          <w:sz w:val="20"/>
          <w:szCs w:val="20"/>
        </w:rPr>
        <w:t xml:space="preserve">home </w:t>
      </w:r>
      <w:r w:rsidRPr="00B25576">
        <w:rPr>
          <w:rFonts w:ascii="Segoe UI" w:hAnsi="Segoe UI" w:cs="Segoe UI"/>
          <w:sz w:val="20"/>
          <w:szCs w:val="20"/>
        </w:rPr>
        <w:t>self-isolation</w:t>
      </w:r>
      <w:r w:rsidR="00FE001B">
        <w:rPr>
          <w:rFonts w:ascii="Segoe UI" w:hAnsi="Segoe UI" w:cs="Segoe UI"/>
          <w:sz w:val="20"/>
          <w:szCs w:val="20"/>
        </w:rPr>
        <w:t xml:space="preserve"> as part of the COVID-19 Care in the Community program</w:t>
      </w:r>
      <w:r w:rsidR="00E01E75">
        <w:rPr>
          <w:rFonts w:ascii="Segoe UI" w:hAnsi="Segoe UI" w:cs="Segoe UI"/>
          <w:sz w:val="20"/>
          <w:szCs w:val="20"/>
        </w:rPr>
        <w:t>me</w:t>
      </w:r>
      <w:r w:rsidRPr="00B25576">
        <w:rPr>
          <w:rFonts w:ascii="Segoe UI" w:hAnsi="Segoe UI" w:cs="Segoe UI"/>
          <w:sz w:val="20"/>
          <w:szCs w:val="20"/>
        </w:rPr>
        <w:t>.</w:t>
      </w:r>
      <w:r w:rsidR="0090622F">
        <w:rPr>
          <w:rFonts w:ascii="Segoe UI" w:hAnsi="Segoe UI" w:cs="Segoe UI"/>
          <w:sz w:val="20"/>
          <w:szCs w:val="20"/>
        </w:rPr>
        <w:t xml:space="preserve"> </w:t>
      </w:r>
      <w:r w:rsidR="00C1658C">
        <w:rPr>
          <w:rFonts w:ascii="Segoe UI" w:hAnsi="Segoe UI" w:cs="Segoe UI"/>
          <w:sz w:val="20"/>
          <w:szCs w:val="20"/>
        </w:rPr>
        <w:t xml:space="preserve">It has been produced by the Ministry of Health, in collaboration with sector representatives. </w:t>
      </w:r>
    </w:p>
    <w:p w14:paraId="4F39B43D" w14:textId="71CC9E9C" w:rsidR="00EE42A0" w:rsidRDefault="00EE42A0" w:rsidP="005108CD">
      <w:pPr>
        <w:spacing w:after="0"/>
        <w:rPr>
          <w:rFonts w:ascii="Segoe UI" w:hAnsi="Segoe UI" w:cs="Segoe UI"/>
          <w:sz w:val="20"/>
          <w:szCs w:val="20"/>
        </w:rPr>
      </w:pPr>
    </w:p>
    <w:p w14:paraId="6916ED3C" w14:textId="2CB9E979" w:rsidR="00053B2E" w:rsidRDefault="008959FF" w:rsidP="00F3664F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CPAMS is normally provided by a pharmacist in a community pharmacy. </w:t>
      </w:r>
      <w:r w:rsidR="008B62AB">
        <w:rPr>
          <w:rFonts w:ascii="Segoe UI" w:hAnsi="Segoe UI" w:cs="Segoe UI"/>
          <w:sz w:val="20"/>
          <w:szCs w:val="20"/>
        </w:rPr>
        <w:t xml:space="preserve">Clients in mandatory </w:t>
      </w:r>
      <w:r w:rsidR="00EE42A0">
        <w:rPr>
          <w:rFonts w:ascii="Segoe UI" w:hAnsi="Segoe UI" w:cs="Segoe UI"/>
          <w:sz w:val="20"/>
          <w:szCs w:val="20"/>
        </w:rPr>
        <w:t xml:space="preserve">home </w:t>
      </w:r>
      <w:r w:rsidR="008B62AB">
        <w:rPr>
          <w:rFonts w:ascii="Segoe UI" w:hAnsi="Segoe UI" w:cs="Segoe UI"/>
          <w:sz w:val="20"/>
          <w:szCs w:val="20"/>
        </w:rPr>
        <w:t xml:space="preserve">self-isolation will not be permitted to </w:t>
      </w:r>
      <w:r w:rsidR="00FD528E">
        <w:rPr>
          <w:rFonts w:ascii="Segoe UI" w:hAnsi="Segoe UI" w:cs="Segoe UI"/>
          <w:sz w:val="20"/>
          <w:szCs w:val="20"/>
        </w:rPr>
        <w:t>visit their community pharmacy to access CPAMS</w:t>
      </w:r>
      <w:r w:rsidR="00C64FEE">
        <w:rPr>
          <w:rFonts w:ascii="Segoe UI" w:hAnsi="Segoe UI" w:cs="Segoe UI"/>
          <w:sz w:val="20"/>
          <w:szCs w:val="20"/>
        </w:rPr>
        <w:t xml:space="preserve">. However, a testing provider commissioned by the DHB </w:t>
      </w:r>
      <w:r w:rsidR="00A304AC">
        <w:rPr>
          <w:rFonts w:ascii="Segoe UI" w:hAnsi="Segoe UI" w:cs="Segoe UI"/>
          <w:sz w:val="20"/>
          <w:szCs w:val="20"/>
        </w:rPr>
        <w:t xml:space="preserve">can enter the client’s residence to take a capillary blood sample and test with the </w:t>
      </w:r>
      <w:proofErr w:type="spellStart"/>
      <w:r w:rsidR="00A304AC">
        <w:rPr>
          <w:rFonts w:ascii="Segoe UI" w:hAnsi="Segoe UI" w:cs="Segoe UI"/>
          <w:sz w:val="20"/>
          <w:szCs w:val="20"/>
        </w:rPr>
        <w:t>CoaguChek</w:t>
      </w:r>
      <w:proofErr w:type="spellEnd"/>
      <w:r w:rsidR="00A304AC">
        <w:rPr>
          <w:rFonts w:ascii="Segoe UI" w:hAnsi="Segoe UI" w:cs="Segoe UI"/>
          <w:sz w:val="20"/>
          <w:szCs w:val="20"/>
        </w:rPr>
        <w:t xml:space="preserve"> XS Plus device. The results are communicated to the </w:t>
      </w:r>
      <w:r w:rsidR="00F00AB0">
        <w:rPr>
          <w:rFonts w:ascii="Segoe UI" w:hAnsi="Segoe UI" w:cs="Segoe UI"/>
          <w:sz w:val="20"/>
          <w:szCs w:val="20"/>
        </w:rPr>
        <w:t xml:space="preserve">client’s pharmacy who will then </w:t>
      </w:r>
      <w:r w:rsidR="003C4B39">
        <w:rPr>
          <w:rFonts w:ascii="Segoe UI" w:hAnsi="Segoe UI" w:cs="Segoe UI"/>
          <w:sz w:val="20"/>
          <w:szCs w:val="20"/>
        </w:rPr>
        <w:t>advise the client</w:t>
      </w:r>
      <w:r w:rsidR="001D5896">
        <w:rPr>
          <w:rFonts w:ascii="Segoe UI" w:hAnsi="Segoe UI" w:cs="Segoe UI"/>
          <w:sz w:val="20"/>
          <w:szCs w:val="20"/>
        </w:rPr>
        <w:t xml:space="preserve"> of the appropriate</w:t>
      </w:r>
      <w:r w:rsidR="00A076DE">
        <w:rPr>
          <w:rFonts w:ascii="Segoe UI" w:hAnsi="Segoe UI" w:cs="Segoe UI"/>
          <w:sz w:val="20"/>
          <w:szCs w:val="20"/>
        </w:rPr>
        <w:t xml:space="preserve"> warfarin dose, and </w:t>
      </w:r>
      <w:r w:rsidR="00570030">
        <w:rPr>
          <w:rFonts w:ascii="Segoe UI" w:hAnsi="Segoe UI" w:cs="Segoe UI"/>
          <w:sz w:val="20"/>
          <w:szCs w:val="20"/>
        </w:rPr>
        <w:t>date of the next test</w:t>
      </w:r>
      <w:r w:rsidR="003C4B39">
        <w:rPr>
          <w:rFonts w:ascii="Segoe UI" w:hAnsi="Segoe UI" w:cs="Segoe UI"/>
          <w:sz w:val="20"/>
          <w:szCs w:val="20"/>
        </w:rPr>
        <w:t xml:space="preserve">. </w:t>
      </w:r>
    </w:p>
    <w:p w14:paraId="77CB7746" w14:textId="77777777" w:rsidR="00053B2E" w:rsidRDefault="00053B2E" w:rsidP="005108CD">
      <w:pPr>
        <w:spacing w:after="0"/>
        <w:rPr>
          <w:rFonts w:ascii="Segoe UI" w:hAnsi="Segoe UI" w:cs="Segoe UI"/>
          <w:sz w:val="20"/>
          <w:szCs w:val="20"/>
        </w:rPr>
      </w:pPr>
    </w:p>
    <w:p w14:paraId="6EF0A015" w14:textId="68E636E0" w:rsidR="008741F5" w:rsidRDefault="00F638AA" w:rsidP="005108CD">
      <w:p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</w:t>
      </w:r>
      <w:r w:rsidR="007747CE">
        <w:rPr>
          <w:rFonts w:ascii="Segoe UI" w:hAnsi="Segoe UI" w:cs="Segoe UI"/>
          <w:sz w:val="20"/>
          <w:szCs w:val="20"/>
        </w:rPr>
        <w:t xml:space="preserve">guidance </w:t>
      </w:r>
      <w:r w:rsidR="008741F5">
        <w:rPr>
          <w:rFonts w:ascii="Segoe UI" w:hAnsi="Segoe UI" w:cs="Segoe UI"/>
          <w:sz w:val="20"/>
          <w:szCs w:val="20"/>
        </w:rPr>
        <w:t>should be read in conjunction with</w:t>
      </w:r>
      <w:r w:rsidR="0020346D">
        <w:rPr>
          <w:rFonts w:ascii="Segoe UI" w:hAnsi="Segoe UI" w:cs="Segoe UI"/>
          <w:sz w:val="20"/>
          <w:szCs w:val="20"/>
        </w:rPr>
        <w:t>:</w:t>
      </w:r>
      <w:r w:rsidR="008741F5">
        <w:rPr>
          <w:rFonts w:ascii="Segoe UI" w:hAnsi="Segoe UI" w:cs="Segoe UI"/>
          <w:sz w:val="20"/>
          <w:szCs w:val="20"/>
        </w:rPr>
        <w:t xml:space="preserve"> </w:t>
      </w:r>
    </w:p>
    <w:p w14:paraId="5D78F78D" w14:textId="7DAAB489" w:rsidR="005108CD" w:rsidRPr="008741F5" w:rsidRDefault="008741F5" w:rsidP="008741F5">
      <w:pPr>
        <w:pStyle w:val="ListParagraph"/>
        <w:numPr>
          <w:ilvl w:val="0"/>
          <w:numId w:val="23"/>
        </w:numPr>
        <w:spacing w:after="0"/>
        <w:rPr>
          <w:rFonts w:ascii="Segoe UI" w:hAnsi="Segoe UI" w:cs="Segoe UI"/>
          <w:sz w:val="20"/>
          <w:szCs w:val="20"/>
        </w:rPr>
      </w:pPr>
      <w:r w:rsidRPr="008741F5">
        <w:rPr>
          <w:rFonts w:ascii="Segoe UI" w:hAnsi="Segoe UI" w:cs="Segoe UI"/>
          <w:sz w:val="20"/>
          <w:szCs w:val="20"/>
        </w:rPr>
        <w:t>Community Pharmacy Anti-Coagulation Management Services Service Specification</w:t>
      </w:r>
      <w:sdt>
        <w:sdtPr>
          <w:rPr>
            <w:rFonts w:ascii="Segoe UI" w:hAnsi="Segoe UI" w:cs="Segoe UI"/>
            <w:sz w:val="20"/>
            <w:szCs w:val="20"/>
          </w:rPr>
          <w:id w:val="1861927121"/>
          <w:citation/>
        </w:sdtPr>
        <w:sdtEndPr/>
        <w:sdtContent>
          <w:r w:rsidR="00F527D1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9D33D4">
            <w:rPr>
              <w:rFonts w:ascii="Segoe UI" w:hAnsi="Segoe UI" w:cs="Segoe UI"/>
              <w:sz w:val="20"/>
              <w:szCs w:val="20"/>
            </w:rPr>
            <w:instrText xml:space="preserve">CITATION CPAMServiceSpec \l 5129 </w:instrText>
          </w:r>
          <w:r w:rsidR="00F527D1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[1]</w:t>
          </w:r>
          <w:r w:rsidR="00F527D1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</w:p>
    <w:p w14:paraId="4367B24C" w14:textId="067165DE" w:rsidR="008741F5" w:rsidRPr="008741F5" w:rsidRDefault="008741F5" w:rsidP="008741F5">
      <w:pPr>
        <w:pStyle w:val="ListParagraph"/>
        <w:numPr>
          <w:ilvl w:val="0"/>
          <w:numId w:val="23"/>
        </w:numPr>
        <w:spacing w:after="0"/>
        <w:rPr>
          <w:rFonts w:ascii="Segoe UI" w:hAnsi="Segoe UI" w:cs="Segoe UI"/>
          <w:sz w:val="20"/>
          <w:szCs w:val="20"/>
        </w:rPr>
      </w:pPr>
      <w:r w:rsidRPr="008741F5">
        <w:rPr>
          <w:rFonts w:ascii="Segoe UI" w:hAnsi="Segoe UI" w:cs="Segoe UI"/>
          <w:sz w:val="20"/>
          <w:szCs w:val="20"/>
        </w:rPr>
        <w:t>Standing orders for the management of warfarin</w:t>
      </w:r>
      <w:sdt>
        <w:sdtPr>
          <w:rPr>
            <w:rFonts w:ascii="Segoe UI" w:hAnsi="Segoe UI" w:cs="Segoe UI"/>
            <w:sz w:val="20"/>
            <w:szCs w:val="20"/>
          </w:rPr>
          <w:id w:val="-24171243"/>
          <w:citation/>
        </w:sdtPr>
        <w:sdtEndPr/>
        <w:sdtContent>
          <w:r w:rsidR="009D33D4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9D33D4">
            <w:rPr>
              <w:rFonts w:ascii="Segoe UI" w:hAnsi="Segoe UI" w:cs="Segoe UI"/>
              <w:sz w:val="20"/>
              <w:szCs w:val="20"/>
            </w:rPr>
            <w:instrText xml:space="preserve">CITATION Sta \l 5129 </w:instrText>
          </w:r>
          <w:r w:rsidR="009D33D4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[2]</w:t>
          </w:r>
          <w:r w:rsidR="009D33D4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</w:p>
    <w:p w14:paraId="568E6A76" w14:textId="6A9FFFA2" w:rsidR="008741F5" w:rsidRPr="008741F5" w:rsidRDefault="008741F5" w:rsidP="008741F5">
      <w:pPr>
        <w:pStyle w:val="ListParagraph"/>
        <w:numPr>
          <w:ilvl w:val="0"/>
          <w:numId w:val="23"/>
        </w:numPr>
        <w:spacing w:after="0"/>
        <w:rPr>
          <w:rFonts w:ascii="Segoe UI" w:hAnsi="Segoe UI" w:cs="Segoe UI"/>
          <w:sz w:val="20"/>
          <w:szCs w:val="20"/>
        </w:rPr>
      </w:pPr>
      <w:r w:rsidRPr="008741F5">
        <w:rPr>
          <w:rFonts w:ascii="Segoe UI" w:hAnsi="Segoe UI" w:cs="Segoe UI"/>
          <w:sz w:val="20"/>
          <w:szCs w:val="20"/>
        </w:rPr>
        <w:t>Standard operating procedure for CPAM</w:t>
      </w:r>
      <w:r w:rsidR="002039C8">
        <w:rPr>
          <w:rFonts w:ascii="Segoe UI" w:hAnsi="Segoe UI" w:cs="Segoe UI"/>
          <w:sz w:val="20"/>
          <w:szCs w:val="20"/>
        </w:rPr>
        <w:t>S</w:t>
      </w:r>
      <w:sdt>
        <w:sdtPr>
          <w:rPr>
            <w:rFonts w:ascii="Segoe UI" w:hAnsi="Segoe UI" w:cs="Segoe UI"/>
            <w:sz w:val="20"/>
            <w:szCs w:val="20"/>
          </w:rPr>
          <w:id w:val="1306747764"/>
          <w:citation/>
        </w:sdtPr>
        <w:sdtEndPr/>
        <w:sdtContent>
          <w:r w:rsidR="009D33D4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9D33D4">
            <w:rPr>
              <w:rFonts w:ascii="Segoe UI" w:hAnsi="Segoe UI" w:cs="Segoe UI"/>
              <w:sz w:val="20"/>
              <w:szCs w:val="20"/>
            </w:rPr>
            <w:instrText xml:space="preserve"> CITATION Sta1 \l 5129 </w:instrText>
          </w:r>
          <w:r w:rsidR="009D33D4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[3]</w:t>
          </w:r>
          <w:r w:rsidR="009D33D4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1C5542">
        <w:rPr>
          <w:rFonts w:ascii="Segoe UI" w:hAnsi="Segoe UI" w:cs="Segoe UI"/>
          <w:sz w:val="20"/>
          <w:szCs w:val="20"/>
        </w:rPr>
        <w:t>.</w:t>
      </w:r>
    </w:p>
    <w:p w14:paraId="345C5A15" w14:textId="55F89405" w:rsidR="00CA124C" w:rsidRDefault="00CA124C" w:rsidP="005108CD">
      <w:pPr>
        <w:spacing w:after="0"/>
        <w:rPr>
          <w:rFonts w:ascii="Segoe UI" w:hAnsi="Segoe UI" w:cs="Segoe UI"/>
          <w:sz w:val="20"/>
          <w:szCs w:val="20"/>
        </w:rPr>
      </w:pPr>
    </w:p>
    <w:p w14:paraId="3C536D17" w14:textId="07853CF3" w:rsidR="00CA124C" w:rsidRDefault="00CA124C" w:rsidP="005108CD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Equipment required</w:t>
      </w:r>
      <w:r w:rsidR="002036AA">
        <w:rPr>
          <w:rFonts w:ascii="Segoe UI" w:hAnsi="Segoe UI" w:cs="Segoe UI"/>
          <w:b/>
          <w:bCs/>
          <w:sz w:val="20"/>
          <w:szCs w:val="20"/>
        </w:rPr>
        <w:t xml:space="preserve"> for service</w:t>
      </w:r>
    </w:p>
    <w:p w14:paraId="7B9D110D" w14:textId="3F005EA5" w:rsidR="00CA124C" w:rsidRPr="00B92DF4" w:rsidRDefault="00B92DF4" w:rsidP="00CA124C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spellStart"/>
      <w:r>
        <w:rPr>
          <w:rFonts w:ascii="Segoe UI" w:hAnsi="Segoe UI" w:cs="Segoe UI"/>
          <w:sz w:val="20"/>
          <w:szCs w:val="20"/>
        </w:rPr>
        <w:t>CoaguChek</w:t>
      </w:r>
      <w:proofErr w:type="spellEnd"/>
      <w:r>
        <w:rPr>
          <w:rFonts w:ascii="Segoe UI" w:hAnsi="Segoe UI" w:cs="Segoe UI"/>
          <w:sz w:val="20"/>
          <w:szCs w:val="20"/>
        </w:rPr>
        <w:t xml:space="preserve"> XS Plus </w:t>
      </w:r>
      <w:r w:rsidR="0020346D">
        <w:rPr>
          <w:rFonts w:ascii="Segoe UI" w:hAnsi="Segoe UI" w:cs="Segoe UI"/>
          <w:sz w:val="20"/>
          <w:szCs w:val="20"/>
        </w:rPr>
        <w:t>device</w:t>
      </w:r>
    </w:p>
    <w:p w14:paraId="4FD585C4" w14:textId="4F7845E8" w:rsidR="00B92DF4" w:rsidRPr="00B92DF4" w:rsidRDefault="00B92DF4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Test strips and code chip</w:t>
      </w:r>
    </w:p>
    <w:p w14:paraId="541EAD52" w14:textId="383168F0" w:rsidR="00B92DF4" w:rsidRPr="00B92DF4" w:rsidRDefault="00B92DF4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Quality control material </w:t>
      </w:r>
    </w:p>
    <w:p w14:paraId="5A93882B" w14:textId="03E4A4C0" w:rsidR="00B92DF4" w:rsidRPr="00B92DF4" w:rsidRDefault="00B92DF4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Safe-T-Pro Plus lancing device</w:t>
      </w:r>
    </w:p>
    <w:p w14:paraId="7590FA0B" w14:textId="4D0AEF59" w:rsidR="00B92DF4" w:rsidRPr="00B663DC" w:rsidRDefault="005E0350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PPE</w:t>
      </w:r>
    </w:p>
    <w:p w14:paraId="378D02B9" w14:textId="1F7962F4" w:rsidR="00B663DC" w:rsidRPr="001C439B" w:rsidRDefault="00B663DC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Vitamin</w:t>
      </w:r>
      <w:r w:rsidR="00445ECC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K 10mg/m</w:t>
      </w:r>
      <w:r w:rsidR="00B80580">
        <w:rPr>
          <w:rFonts w:ascii="Segoe UI" w:hAnsi="Segoe UI" w:cs="Segoe UI"/>
          <w:sz w:val="20"/>
          <w:szCs w:val="20"/>
        </w:rPr>
        <w:t>L</w:t>
      </w:r>
      <w:r>
        <w:rPr>
          <w:rFonts w:ascii="Segoe UI" w:hAnsi="Segoe UI" w:cs="Segoe UI"/>
          <w:sz w:val="20"/>
          <w:szCs w:val="20"/>
        </w:rPr>
        <w:t xml:space="preserve"> </w:t>
      </w:r>
      <w:r w:rsidR="004D0016">
        <w:rPr>
          <w:rFonts w:ascii="Segoe UI" w:hAnsi="Segoe UI" w:cs="Segoe UI"/>
          <w:sz w:val="20"/>
          <w:szCs w:val="20"/>
        </w:rPr>
        <w:t>1m</w:t>
      </w:r>
      <w:r w:rsidR="00B80580">
        <w:rPr>
          <w:rFonts w:ascii="Segoe UI" w:hAnsi="Segoe UI" w:cs="Segoe UI"/>
          <w:sz w:val="20"/>
          <w:szCs w:val="20"/>
        </w:rPr>
        <w:t>L</w:t>
      </w:r>
      <w:r w:rsidR="004D0016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ampoules</w:t>
      </w:r>
    </w:p>
    <w:p w14:paraId="10E730BB" w14:textId="3FB84A68" w:rsidR="001C439B" w:rsidRPr="009251E5" w:rsidRDefault="001C439B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Syringes and </w:t>
      </w:r>
      <w:r w:rsidR="00936465">
        <w:rPr>
          <w:rFonts w:ascii="Segoe UI" w:hAnsi="Segoe UI" w:cs="Segoe UI"/>
          <w:sz w:val="20"/>
          <w:szCs w:val="20"/>
        </w:rPr>
        <w:t xml:space="preserve">filter </w:t>
      </w:r>
      <w:r>
        <w:rPr>
          <w:rFonts w:ascii="Segoe UI" w:hAnsi="Segoe UI" w:cs="Segoe UI"/>
          <w:sz w:val="20"/>
          <w:szCs w:val="20"/>
        </w:rPr>
        <w:t xml:space="preserve">needles </w:t>
      </w:r>
      <w:r w:rsidR="00936465">
        <w:rPr>
          <w:rFonts w:ascii="Segoe UI" w:hAnsi="Segoe UI" w:cs="Segoe UI"/>
          <w:sz w:val="20"/>
          <w:szCs w:val="20"/>
        </w:rPr>
        <w:t xml:space="preserve">for draw up. Note </w:t>
      </w:r>
      <w:r w:rsidR="00426933">
        <w:rPr>
          <w:rFonts w:ascii="Segoe UI" w:hAnsi="Segoe UI" w:cs="Segoe UI"/>
          <w:sz w:val="20"/>
          <w:szCs w:val="20"/>
        </w:rPr>
        <w:t>vitamin</w:t>
      </w:r>
      <w:r w:rsidR="00445ECC">
        <w:rPr>
          <w:rFonts w:ascii="Segoe UI" w:hAnsi="Segoe UI" w:cs="Segoe UI"/>
          <w:sz w:val="20"/>
          <w:szCs w:val="20"/>
        </w:rPr>
        <w:t xml:space="preserve"> </w:t>
      </w:r>
      <w:r w:rsidR="00426933">
        <w:rPr>
          <w:rFonts w:ascii="Segoe UI" w:hAnsi="Segoe UI" w:cs="Segoe UI"/>
          <w:sz w:val="20"/>
          <w:szCs w:val="20"/>
        </w:rPr>
        <w:t xml:space="preserve">K </w:t>
      </w:r>
      <w:r w:rsidR="00936465">
        <w:rPr>
          <w:rFonts w:ascii="Segoe UI" w:hAnsi="Segoe UI" w:cs="Segoe UI"/>
          <w:sz w:val="20"/>
          <w:szCs w:val="20"/>
        </w:rPr>
        <w:t xml:space="preserve">dose may be given orally </w:t>
      </w:r>
    </w:p>
    <w:p w14:paraId="0236C56A" w14:textId="65B8B7FC" w:rsidR="009251E5" w:rsidRPr="00C049C9" w:rsidRDefault="00C049C9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proofErr w:type="gramStart"/>
      <w:r>
        <w:rPr>
          <w:rFonts w:ascii="Segoe UI" w:hAnsi="Segoe UI" w:cs="Segoe UI"/>
          <w:sz w:val="20"/>
          <w:szCs w:val="20"/>
        </w:rPr>
        <w:t>Sharps</w:t>
      </w:r>
      <w:proofErr w:type="gramEnd"/>
      <w:r>
        <w:rPr>
          <w:rFonts w:ascii="Segoe UI" w:hAnsi="Segoe UI" w:cs="Segoe UI"/>
          <w:sz w:val="20"/>
          <w:szCs w:val="20"/>
        </w:rPr>
        <w:t xml:space="preserve"> bin</w:t>
      </w:r>
    </w:p>
    <w:p w14:paraId="7A773202" w14:textId="13799F7D" w:rsidR="00C049C9" w:rsidRPr="00C049C9" w:rsidRDefault="00C049C9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Cotton swabs</w:t>
      </w:r>
    </w:p>
    <w:p w14:paraId="3BE83ABA" w14:textId="346BA896" w:rsidR="00C049C9" w:rsidRPr="005E0350" w:rsidRDefault="00C049C9" w:rsidP="00B92DF4">
      <w:pPr>
        <w:pStyle w:val="ListParagraph"/>
        <w:numPr>
          <w:ilvl w:val="0"/>
          <w:numId w:val="3"/>
        </w:num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Alcohol swabs</w:t>
      </w:r>
      <w:r w:rsidR="007747CE">
        <w:rPr>
          <w:rFonts w:ascii="Segoe UI" w:hAnsi="Segoe UI" w:cs="Segoe UI"/>
          <w:sz w:val="20"/>
          <w:szCs w:val="20"/>
        </w:rPr>
        <w:t>.</w:t>
      </w:r>
    </w:p>
    <w:p w14:paraId="60CC6C9E" w14:textId="653548FB" w:rsidR="00C461FD" w:rsidRDefault="00C461FD" w:rsidP="005E0350">
      <w:pPr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483DA70A" w14:textId="63D82E0D" w:rsidR="00A4723C" w:rsidRDefault="00A4723C" w:rsidP="005E035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Service provider</w:t>
      </w:r>
      <w:r w:rsidR="00D3565C">
        <w:rPr>
          <w:rFonts w:ascii="Segoe UI" w:hAnsi="Segoe UI" w:cs="Segoe UI"/>
          <w:b/>
          <w:bCs/>
          <w:sz w:val="20"/>
          <w:szCs w:val="20"/>
        </w:rPr>
        <w:t>s</w:t>
      </w:r>
    </w:p>
    <w:p w14:paraId="678618E2" w14:textId="2A624636" w:rsidR="00A4723C" w:rsidRDefault="00670B2F" w:rsidP="004207BD">
      <w:pPr>
        <w:pStyle w:val="ListParagraph"/>
        <w:numPr>
          <w:ilvl w:val="0"/>
          <w:numId w:val="20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testing provider is the </w:t>
      </w:r>
      <w:r w:rsidR="00A6097B">
        <w:rPr>
          <w:rFonts w:ascii="Segoe UI" w:hAnsi="Segoe UI" w:cs="Segoe UI"/>
          <w:sz w:val="20"/>
          <w:szCs w:val="20"/>
        </w:rPr>
        <w:t>district health board’s (</w:t>
      </w:r>
      <w:r>
        <w:rPr>
          <w:rFonts w:ascii="Segoe UI" w:hAnsi="Segoe UI" w:cs="Segoe UI"/>
          <w:sz w:val="20"/>
          <w:szCs w:val="20"/>
        </w:rPr>
        <w:t>DHB</w:t>
      </w:r>
      <w:r w:rsidR="00A6097B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 xml:space="preserve"> phlebotomy service provider</w:t>
      </w:r>
      <w:r w:rsidR="004210A4">
        <w:rPr>
          <w:rFonts w:ascii="Segoe UI" w:hAnsi="Segoe UI" w:cs="Segoe UI"/>
          <w:sz w:val="20"/>
          <w:szCs w:val="20"/>
        </w:rPr>
        <w:t>.</w:t>
      </w:r>
    </w:p>
    <w:p w14:paraId="393196A3" w14:textId="43448B84" w:rsidR="008503C5" w:rsidRDefault="00AB5295" w:rsidP="004207BD">
      <w:pPr>
        <w:pStyle w:val="ListParagraph"/>
        <w:numPr>
          <w:ilvl w:val="0"/>
          <w:numId w:val="20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pharmacist providing the</w:t>
      </w:r>
      <w:r w:rsidR="00913653">
        <w:rPr>
          <w:rFonts w:ascii="Segoe UI" w:hAnsi="Segoe UI" w:cs="Segoe UI"/>
          <w:sz w:val="20"/>
          <w:szCs w:val="20"/>
        </w:rPr>
        <w:t xml:space="preserve"> dosing advice (the CPAM</w:t>
      </w:r>
      <w:r w:rsidR="007E09CC">
        <w:rPr>
          <w:rFonts w:ascii="Segoe UI" w:hAnsi="Segoe UI" w:cs="Segoe UI"/>
          <w:sz w:val="20"/>
          <w:szCs w:val="20"/>
        </w:rPr>
        <w:t>S</w:t>
      </w:r>
      <w:r w:rsidR="00913653">
        <w:rPr>
          <w:rFonts w:ascii="Segoe UI" w:hAnsi="Segoe UI" w:cs="Segoe UI"/>
          <w:sz w:val="20"/>
          <w:szCs w:val="20"/>
        </w:rPr>
        <w:t xml:space="preserve"> provider)</w:t>
      </w:r>
      <w:r w:rsidR="007E09CC">
        <w:rPr>
          <w:rFonts w:ascii="Segoe UI" w:hAnsi="Segoe UI" w:cs="Segoe UI"/>
          <w:sz w:val="20"/>
          <w:szCs w:val="20"/>
        </w:rPr>
        <w:t xml:space="preserve"> should be an </w:t>
      </w:r>
      <w:r w:rsidR="00123BB5">
        <w:rPr>
          <w:rFonts w:ascii="Segoe UI" w:hAnsi="Segoe UI" w:cs="Segoe UI"/>
          <w:sz w:val="20"/>
          <w:szCs w:val="20"/>
        </w:rPr>
        <w:t xml:space="preserve">agent of the pharmacy </w:t>
      </w:r>
      <w:r w:rsidR="00A7274A">
        <w:rPr>
          <w:rFonts w:ascii="Segoe UI" w:hAnsi="Segoe UI" w:cs="Segoe UI"/>
          <w:sz w:val="20"/>
          <w:szCs w:val="20"/>
        </w:rPr>
        <w:t xml:space="preserve">currently providing CPAMS for the </w:t>
      </w:r>
      <w:r w:rsidR="00FA13CB">
        <w:rPr>
          <w:rFonts w:ascii="Segoe UI" w:hAnsi="Segoe UI" w:cs="Segoe UI"/>
          <w:sz w:val="20"/>
          <w:szCs w:val="20"/>
        </w:rPr>
        <w:t>client</w:t>
      </w:r>
      <w:r w:rsidR="00D13122">
        <w:rPr>
          <w:rFonts w:ascii="Segoe UI" w:hAnsi="Segoe UI" w:cs="Segoe UI"/>
          <w:sz w:val="20"/>
          <w:szCs w:val="20"/>
        </w:rPr>
        <w:t>.</w:t>
      </w:r>
    </w:p>
    <w:p w14:paraId="1498C5E3" w14:textId="77777777" w:rsidR="00F8271D" w:rsidRPr="00F8271D" w:rsidRDefault="00F8271D" w:rsidP="00F8271D">
      <w:pPr>
        <w:pStyle w:val="ListParagraph"/>
        <w:spacing w:after="0"/>
        <w:rPr>
          <w:rFonts w:ascii="Segoe UI" w:hAnsi="Segoe UI" w:cs="Segoe UI"/>
          <w:sz w:val="20"/>
          <w:szCs w:val="20"/>
        </w:rPr>
      </w:pPr>
    </w:p>
    <w:p w14:paraId="73059F52" w14:textId="4B09CDA1" w:rsidR="00CD748D" w:rsidRPr="006E388D" w:rsidRDefault="00CD748D" w:rsidP="005E035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 w:rsidRPr="006E388D">
        <w:rPr>
          <w:rFonts w:ascii="Segoe UI" w:hAnsi="Segoe UI" w:cs="Segoe UI"/>
          <w:b/>
          <w:bCs/>
          <w:sz w:val="20"/>
          <w:szCs w:val="20"/>
        </w:rPr>
        <w:t>Quality control testing</w:t>
      </w:r>
    </w:p>
    <w:p w14:paraId="005D67B4" w14:textId="14AF45AB" w:rsidR="009F3FE1" w:rsidRPr="006E388D" w:rsidRDefault="00133517" w:rsidP="004207BD">
      <w:pPr>
        <w:pStyle w:val="ListParagraph"/>
        <w:numPr>
          <w:ilvl w:val="0"/>
          <w:numId w:val="21"/>
        </w:numPr>
        <w:spacing w:after="0"/>
        <w:rPr>
          <w:rFonts w:ascii="Segoe UI" w:hAnsi="Segoe UI" w:cs="Segoe UI"/>
          <w:sz w:val="20"/>
          <w:szCs w:val="20"/>
        </w:rPr>
      </w:pPr>
      <w:r w:rsidRPr="006E388D">
        <w:rPr>
          <w:rFonts w:ascii="Segoe UI" w:hAnsi="Segoe UI" w:cs="Segoe UI"/>
          <w:sz w:val="20"/>
          <w:szCs w:val="20"/>
        </w:rPr>
        <w:t xml:space="preserve">The </w:t>
      </w:r>
      <w:r w:rsidR="00FE1745" w:rsidRPr="006E388D">
        <w:rPr>
          <w:rFonts w:ascii="Segoe UI" w:hAnsi="Segoe UI" w:cs="Segoe UI"/>
          <w:sz w:val="20"/>
          <w:szCs w:val="20"/>
        </w:rPr>
        <w:t xml:space="preserve">testing </w:t>
      </w:r>
      <w:r w:rsidRPr="006E388D">
        <w:rPr>
          <w:rFonts w:ascii="Segoe UI" w:hAnsi="Segoe UI" w:cs="Segoe UI"/>
          <w:sz w:val="20"/>
          <w:szCs w:val="20"/>
        </w:rPr>
        <w:t xml:space="preserve">provider must </w:t>
      </w:r>
      <w:r w:rsidR="00355D22" w:rsidRPr="006E388D">
        <w:rPr>
          <w:rFonts w:ascii="Segoe UI" w:hAnsi="Segoe UI" w:cs="Segoe UI"/>
          <w:sz w:val="20"/>
          <w:szCs w:val="20"/>
        </w:rPr>
        <w:t>perform quality control testing of the test strips monthly,</w:t>
      </w:r>
      <w:r w:rsidR="00750BD0" w:rsidRPr="006E388D">
        <w:rPr>
          <w:rFonts w:ascii="Segoe UI" w:hAnsi="Segoe UI" w:cs="Segoe UI"/>
          <w:sz w:val="20"/>
          <w:szCs w:val="20"/>
        </w:rPr>
        <w:t xml:space="preserve"> and with every new </w:t>
      </w:r>
      <w:r w:rsidR="00FE1745" w:rsidRPr="006E388D">
        <w:rPr>
          <w:rFonts w:ascii="Segoe UI" w:hAnsi="Segoe UI" w:cs="Segoe UI"/>
          <w:sz w:val="20"/>
          <w:szCs w:val="20"/>
        </w:rPr>
        <w:t>batch</w:t>
      </w:r>
      <w:r w:rsidR="00750BD0" w:rsidRPr="006E388D">
        <w:rPr>
          <w:rFonts w:ascii="Segoe UI" w:hAnsi="Segoe UI" w:cs="Segoe UI"/>
          <w:sz w:val="20"/>
          <w:szCs w:val="20"/>
        </w:rPr>
        <w:t xml:space="preserve"> of test strips.</w:t>
      </w:r>
    </w:p>
    <w:p w14:paraId="4DB1FD09" w14:textId="77777777" w:rsidR="00750BD0" w:rsidRPr="00750BD0" w:rsidRDefault="00750BD0" w:rsidP="00750BD0">
      <w:pPr>
        <w:pStyle w:val="ListParagraph"/>
        <w:spacing w:after="0"/>
        <w:rPr>
          <w:rFonts w:ascii="Segoe UI" w:hAnsi="Segoe UI" w:cs="Segoe UI"/>
          <w:b/>
          <w:bCs/>
          <w:sz w:val="20"/>
          <w:szCs w:val="20"/>
        </w:rPr>
      </w:pPr>
    </w:p>
    <w:p w14:paraId="58B31E2F" w14:textId="4B2697AE" w:rsidR="00F5733B" w:rsidRPr="00AB14CB" w:rsidRDefault="00AB14CB" w:rsidP="005E0350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Preparation</w:t>
      </w:r>
    </w:p>
    <w:p w14:paraId="69BF9EE4" w14:textId="71089ED8" w:rsidR="00397D8E" w:rsidRDefault="0058403F" w:rsidP="00592FB2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If the testing provider has not provided CPAMS before, it is strongly recommended </w:t>
      </w:r>
      <w:r w:rsidR="00465978">
        <w:rPr>
          <w:rFonts w:ascii="Segoe UI" w:hAnsi="Segoe UI" w:cs="Segoe UI"/>
          <w:sz w:val="20"/>
          <w:szCs w:val="20"/>
        </w:rPr>
        <w:t>to review the training material before providing the service</w:t>
      </w:r>
      <w:r w:rsidR="00397D8E">
        <w:rPr>
          <w:rFonts w:ascii="Segoe UI" w:hAnsi="Segoe UI" w:cs="Segoe UI"/>
          <w:sz w:val="20"/>
          <w:szCs w:val="20"/>
        </w:rPr>
        <w:t>, particularly:</w:t>
      </w:r>
      <w:r w:rsidR="00465978">
        <w:rPr>
          <w:rFonts w:ascii="Segoe UI" w:hAnsi="Segoe UI" w:cs="Segoe UI"/>
          <w:sz w:val="20"/>
          <w:szCs w:val="20"/>
        </w:rPr>
        <w:t xml:space="preserve"> </w:t>
      </w:r>
    </w:p>
    <w:p w14:paraId="0FEBA2AE" w14:textId="7BF30278" w:rsidR="00E70045" w:rsidRDefault="004335C2" w:rsidP="00397D8E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</w:t>
      </w:r>
      <w:proofErr w:type="spellStart"/>
      <w:r>
        <w:rPr>
          <w:rFonts w:ascii="Segoe UI" w:hAnsi="Segoe UI" w:cs="Segoe UI"/>
          <w:sz w:val="20"/>
          <w:szCs w:val="20"/>
        </w:rPr>
        <w:t>CoaguChek</w:t>
      </w:r>
      <w:proofErr w:type="spellEnd"/>
      <w:r>
        <w:rPr>
          <w:rFonts w:ascii="Segoe UI" w:hAnsi="Segoe UI" w:cs="Segoe UI"/>
          <w:sz w:val="20"/>
          <w:szCs w:val="20"/>
        </w:rPr>
        <w:t xml:space="preserve"> XS Plus user manual</w:t>
      </w:r>
      <w:sdt>
        <w:sdtPr>
          <w:rPr>
            <w:rFonts w:ascii="Segoe UI" w:hAnsi="Segoe UI" w:cs="Segoe UI"/>
            <w:sz w:val="20"/>
            <w:szCs w:val="20"/>
          </w:rPr>
          <w:id w:val="-872604550"/>
          <w:citation/>
        </w:sdtPr>
        <w:sdtEndPr/>
        <w:sdtContent>
          <w:r w:rsidR="003F6882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3F6882">
            <w:rPr>
              <w:rFonts w:ascii="Segoe UI" w:hAnsi="Segoe UI" w:cs="Segoe UI"/>
              <w:sz w:val="20"/>
              <w:szCs w:val="20"/>
            </w:rPr>
            <w:instrText xml:space="preserve"> CITATION Coa \l 5129 </w:instrText>
          </w:r>
          <w:r w:rsidR="003F6882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[4]</w:t>
          </w:r>
          <w:r w:rsidR="003F6882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</w:p>
    <w:p w14:paraId="7E843046" w14:textId="3C3A3FED" w:rsidR="00C15D86" w:rsidRDefault="00E70045" w:rsidP="00C15D86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 </w:t>
      </w:r>
      <w:r w:rsidRPr="009720BE">
        <w:rPr>
          <w:rFonts w:ascii="Segoe UI" w:hAnsi="Segoe UI" w:cs="Segoe UI"/>
          <w:sz w:val="20"/>
          <w:szCs w:val="20"/>
        </w:rPr>
        <w:t xml:space="preserve">instructional </w:t>
      </w:r>
      <w:r w:rsidR="004335C2" w:rsidRPr="009720BE">
        <w:rPr>
          <w:rFonts w:ascii="Segoe UI" w:hAnsi="Segoe UI" w:cs="Segoe UI"/>
          <w:sz w:val="20"/>
          <w:szCs w:val="20"/>
        </w:rPr>
        <w:t>video</w:t>
      </w:r>
      <w:r w:rsidR="00CE223C" w:rsidRPr="009720BE">
        <w:rPr>
          <w:rFonts w:ascii="Segoe UI" w:hAnsi="Segoe UI" w:cs="Segoe UI"/>
          <w:sz w:val="20"/>
          <w:szCs w:val="20"/>
        </w:rPr>
        <w:t xml:space="preserve"> </w:t>
      </w:r>
      <w:r w:rsidR="003D2C09" w:rsidRPr="009720BE">
        <w:rPr>
          <w:rFonts w:ascii="Segoe UI" w:hAnsi="Segoe UI" w:cs="Segoe UI"/>
          <w:sz w:val="20"/>
          <w:szCs w:val="20"/>
        </w:rPr>
        <w:t>(note instructions on how to test begin at 10:20</w:t>
      </w:r>
      <w:r w:rsidR="001769F6">
        <w:rPr>
          <w:rFonts w:ascii="Segoe UI" w:hAnsi="Segoe UI" w:cs="Segoe UI"/>
          <w:sz w:val="20"/>
          <w:szCs w:val="20"/>
        </w:rPr>
        <w:t xml:space="preserve"> minutes</w:t>
      </w:r>
      <w:r w:rsidR="003D2C09" w:rsidRPr="009720BE">
        <w:rPr>
          <w:rFonts w:ascii="Segoe UI" w:hAnsi="Segoe UI" w:cs="Segoe UI"/>
          <w:sz w:val="20"/>
          <w:szCs w:val="20"/>
        </w:rPr>
        <w:t>)</w:t>
      </w:r>
      <w:sdt>
        <w:sdtPr>
          <w:rPr>
            <w:rFonts w:ascii="Segoe UI" w:hAnsi="Segoe UI" w:cs="Segoe UI"/>
            <w:sz w:val="20"/>
            <w:szCs w:val="20"/>
          </w:rPr>
          <w:id w:val="263666776"/>
          <w:citation/>
        </w:sdtPr>
        <w:sdtEndPr/>
        <w:sdtContent>
          <w:r w:rsidR="00CE223C" w:rsidRPr="009720BE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9720BE" w:rsidRPr="009720BE">
            <w:rPr>
              <w:rFonts w:ascii="Segoe UI" w:hAnsi="Segoe UI" w:cs="Segoe UI"/>
              <w:sz w:val="20"/>
              <w:szCs w:val="20"/>
            </w:rPr>
            <w:instrText xml:space="preserve">CITATION Coa1 \l 5129 </w:instrText>
          </w:r>
          <w:r w:rsidR="00CE223C" w:rsidRPr="009720BE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[5]</w:t>
          </w:r>
          <w:r w:rsidR="00CE223C" w:rsidRPr="009720BE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</w:p>
    <w:p w14:paraId="21B33DA4" w14:textId="77777777" w:rsidR="00D6743B" w:rsidRPr="00D6743B" w:rsidRDefault="00D6743B" w:rsidP="00D6743B">
      <w:pPr>
        <w:spacing w:after="0"/>
        <w:rPr>
          <w:rFonts w:ascii="Segoe UI" w:hAnsi="Segoe UI" w:cs="Segoe UI"/>
          <w:sz w:val="20"/>
          <w:szCs w:val="20"/>
        </w:rPr>
      </w:pPr>
    </w:p>
    <w:p w14:paraId="0F56A2B5" w14:textId="511F61C9" w:rsidR="00E70045" w:rsidRPr="009720BE" w:rsidRDefault="009D2802" w:rsidP="00C15D86">
      <w:pPr>
        <w:pStyle w:val="ListParagraph"/>
        <w:numPr>
          <w:ilvl w:val="1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 w:rsidRPr="009720BE">
        <w:rPr>
          <w:rFonts w:ascii="Segoe UI" w:hAnsi="Segoe UI" w:cs="Segoe UI"/>
          <w:sz w:val="20"/>
          <w:szCs w:val="20"/>
        </w:rPr>
        <w:t>Appendix 2 of the Warfarin Standing Orders for CPAM Services document describes actions required if INR results are higher than the therapeutic range</w:t>
      </w:r>
      <w:sdt>
        <w:sdtPr>
          <w:rPr>
            <w:rFonts w:ascii="Segoe UI" w:hAnsi="Segoe UI" w:cs="Segoe UI"/>
            <w:sz w:val="20"/>
            <w:szCs w:val="20"/>
          </w:rPr>
          <w:id w:val="-1460566888"/>
          <w:citation/>
        </w:sdtPr>
        <w:sdtEndPr/>
        <w:sdtContent>
          <w:r w:rsidR="009720BE" w:rsidRPr="009720BE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9720BE" w:rsidRPr="009720BE">
            <w:rPr>
              <w:rFonts w:ascii="Segoe UI" w:hAnsi="Segoe UI" w:cs="Segoe UI"/>
              <w:sz w:val="20"/>
              <w:szCs w:val="20"/>
            </w:rPr>
            <w:instrText xml:space="preserve"> CITATION Sta \l 5129 </w:instrText>
          </w:r>
          <w:r w:rsidR="009720BE" w:rsidRPr="009720BE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[2]</w:t>
          </w:r>
          <w:r w:rsidR="009720BE" w:rsidRPr="009720BE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321623">
        <w:rPr>
          <w:rFonts w:ascii="Segoe UI" w:hAnsi="Segoe UI" w:cs="Segoe UI"/>
          <w:sz w:val="20"/>
          <w:szCs w:val="20"/>
        </w:rPr>
        <w:t>.</w:t>
      </w:r>
    </w:p>
    <w:p w14:paraId="4B78D5FC" w14:textId="3B508D53" w:rsidR="00C15D86" w:rsidRPr="00CD396F" w:rsidRDefault="006308A1" w:rsidP="00C15D8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 w:rsidRPr="009720BE">
        <w:rPr>
          <w:rFonts w:ascii="Segoe UI" w:hAnsi="Segoe UI" w:cs="Segoe UI"/>
          <w:sz w:val="20"/>
          <w:szCs w:val="20"/>
        </w:rPr>
        <w:t>The CPAMS provider</w:t>
      </w:r>
      <w:r w:rsidR="00F5733B" w:rsidRPr="009720BE">
        <w:rPr>
          <w:rFonts w:ascii="Segoe UI" w:hAnsi="Segoe UI" w:cs="Segoe UI"/>
          <w:sz w:val="20"/>
          <w:szCs w:val="20"/>
        </w:rPr>
        <w:t xml:space="preserve"> </w:t>
      </w:r>
      <w:r w:rsidR="00621BB2" w:rsidRPr="009720BE">
        <w:rPr>
          <w:rFonts w:ascii="Segoe UI" w:hAnsi="Segoe UI" w:cs="Segoe UI"/>
          <w:sz w:val="20"/>
          <w:szCs w:val="20"/>
        </w:rPr>
        <w:t xml:space="preserve">and the </w:t>
      </w:r>
      <w:r w:rsidR="00FA13CB" w:rsidRPr="009720BE">
        <w:rPr>
          <w:rFonts w:ascii="Segoe UI" w:hAnsi="Segoe UI" w:cs="Segoe UI"/>
          <w:sz w:val="20"/>
          <w:szCs w:val="20"/>
        </w:rPr>
        <w:t>client’s</w:t>
      </w:r>
      <w:r w:rsidR="00621BB2" w:rsidRPr="009720BE">
        <w:rPr>
          <w:rFonts w:ascii="Segoe UI" w:hAnsi="Segoe UI" w:cs="Segoe UI"/>
          <w:sz w:val="20"/>
          <w:szCs w:val="20"/>
        </w:rPr>
        <w:t xml:space="preserve"> </w:t>
      </w:r>
      <w:r w:rsidR="007160A3">
        <w:rPr>
          <w:rFonts w:ascii="Segoe UI" w:hAnsi="Segoe UI" w:cs="Segoe UI"/>
          <w:sz w:val="20"/>
          <w:szCs w:val="20"/>
        </w:rPr>
        <w:t>general practitioner (</w:t>
      </w:r>
      <w:r w:rsidR="00680B17" w:rsidRPr="009720BE">
        <w:rPr>
          <w:rFonts w:ascii="Segoe UI" w:hAnsi="Segoe UI" w:cs="Segoe UI"/>
          <w:sz w:val="20"/>
          <w:szCs w:val="20"/>
        </w:rPr>
        <w:t>GP</w:t>
      </w:r>
      <w:r w:rsidR="007160A3">
        <w:rPr>
          <w:rFonts w:ascii="Segoe UI" w:hAnsi="Segoe UI" w:cs="Segoe UI"/>
          <w:sz w:val="20"/>
          <w:szCs w:val="20"/>
        </w:rPr>
        <w:t>)</w:t>
      </w:r>
      <w:r w:rsidR="005462E4" w:rsidRPr="009720BE">
        <w:rPr>
          <w:rFonts w:ascii="Segoe UI" w:hAnsi="Segoe UI" w:cs="Segoe UI"/>
          <w:sz w:val="20"/>
          <w:szCs w:val="20"/>
        </w:rPr>
        <w:t xml:space="preserve"> </w:t>
      </w:r>
      <w:r w:rsidR="0053187B" w:rsidRPr="00CD396F">
        <w:rPr>
          <w:rFonts w:ascii="Segoe UI" w:hAnsi="Segoe UI" w:cs="Segoe UI"/>
          <w:sz w:val="20"/>
          <w:szCs w:val="20"/>
        </w:rPr>
        <w:t>are</w:t>
      </w:r>
      <w:r w:rsidR="00F5733B" w:rsidRPr="00CD396F">
        <w:rPr>
          <w:rFonts w:ascii="Segoe UI" w:hAnsi="Segoe UI" w:cs="Segoe UI"/>
          <w:sz w:val="20"/>
          <w:szCs w:val="20"/>
        </w:rPr>
        <w:t xml:space="preserve"> notified </w:t>
      </w:r>
      <w:r w:rsidR="00FB0A48" w:rsidRPr="00CD396F">
        <w:rPr>
          <w:rFonts w:ascii="Segoe UI" w:hAnsi="Segoe UI" w:cs="Segoe UI"/>
          <w:sz w:val="20"/>
          <w:szCs w:val="20"/>
        </w:rPr>
        <w:t xml:space="preserve">that </w:t>
      </w:r>
      <w:r w:rsidR="00601ABA" w:rsidRPr="00CD396F">
        <w:rPr>
          <w:rFonts w:ascii="Segoe UI" w:hAnsi="Segoe UI" w:cs="Segoe UI"/>
          <w:sz w:val="20"/>
          <w:szCs w:val="20"/>
        </w:rPr>
        <w:t>the client</w:t>
      </w:r>
      <w:r w:rsidR="00FB0A48" w:rsidRPr="00CD396F">
        <w:rPr>
          <w:rFonts w:ascii="Segoe UI" w:hAnsi="Segoe UI" w:cs="Segoe UI"/>
          <w:sz w:val="20"/>
          <w:szCs w:val="20"/>
        </w:rPr>
        <w:t xml:space="preserve"> is self-isolating at home </w:t>
      </w:r>
      <w:r w:rsidR="00B479C3" w:rsidRPr="00CD396F">
        <w:rPr>
          <w:rFonts w:ascii="Segoe UI" w:hAnsi="Segoe UI" w:cs="Segoe UI"/>
          <w:sz w:val="20"/>
          <w:szCs w:val="20"/>
        </w:rPr>
        <w:t>due to</w:t>
      </w:r>
      <w:r w:rsidR="003B7991">
        <w:rPr>
          <w:rFonts w:ascii="Segoe UI" w:hAnsi="Segoe UI" w:cs="Segoe UI"/>
          <w:sz w:val="20"/>
          <w:szCs w:val="20"/>
        </w:rPr>
        <w:t xml:space="preserve"> a</w:t>
      </w:r>
      <w:r w:rsidR="00B479C3" w:rsidRPr="00CD396F">
        <w:rPr>
          <w:rFonts w:ascii="Segoe UI" w:hAnsi="Segoe UI" w:cs="Segoe UI"/>
          <w:sz w:val="20"/>
          <w:szCs w:val="20"/>
        </w:rPr>
        <w:t xml:space="preserve"> positive</w:t>
      </w:r>
      <w:r w:rsidR="00D32BC9" w:rsidRPr="00CD396F">
        <w:rPr>
          <w:rFonts w:ascii="Segoe UI" w:hAnsi="Segoe UI" w:cs="Segoe UI"/>
          <w:sz w:val="20"/>
          <w:szCs w:val="20"/>
        </w:rPr>
        <w:t xml:space="preserve"> </w:t>
      </w:r>
      <w:r w:rsidR="00B479C3" w:rsidRPr="00CD396F">
        <w:rPr>
          <w:rFonts w:ascii="Segoe UI" w:hAnsi="Segoe UI" w:cs="Segoe UI"/>
          <w:sz w:val="20"/>
          <w:szCs w:val="20"/>
        </w:rPr>
        <w:t>COVID-19 test result</w:t>
      </w:r>
    </w:p>
    <w:p w14:paraId="080772FE" w14:textId="5E2C095B" w:rsidR="00550A3E" w:rsidRPr="00CD396F" w:rsidRDefault="000F760D" w:rsidP="00C15D8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 w:rsidRPr="00CD396F">
        <w:rPr>
          <w:rFonts w:ascii="Segoe UI" w:hAnsi="Segoe UI" w:cs="Segoe UI"/>
          <w:sz w:val="20"/>
          <w:szCs w:val="20"/>
        </w:rPr>
        <w:t xml:space="preserve">The CPAMS </w:t>
      </w:r>
      <w:r w:rsidR="00244E09" w:rsidRPr="00CD396F">
        <w:rPr>
          <w:rFonts w:ascii="Segoe UI" w:hAnsi="Segoe UI" w:cs="Segoe UI"/>
          <w:sz w:val="20"/>
          <w:szCs w:val="20"/>
        </w:rPr>
        <w:t>provider will assess w</w:t>
      </w:r>
      <w:r w:rsidRPr="00CD396F">
        <w:rPr>
          <w:rFonts w:ascii="Segoe UI" w:hAnsi="Segoe UI" w:cs="Segoe UI"/>
          <w:sz w:val="20"/>
          <w:szCs w:val="20"/>
        </w:rPr>
        <w:t>hether it’s appropriate</w:t>
      </w:r>
      <w:r w:rsidR="0059398C" w:rsidRPr="00CD396F">
        <w:rPr>
          <w:rFonts w:ascii="Segoe UI" w:hAnsi="Segoe UI" w:cs="Segoe UI"/>
          <w:sz w:val="20"/>
          <w:szCs w:val="20"/>
        </w:rPr>
        <w:t xml:space="preserve"> to extend the testing interval to up to 3-monthly</w:t>
      </w:r>
      <w:sdt>
        <w:sdtPr>
          <w:rPr>
            <w:rFonts w:ascii="Segoe UI" w:hAnsi="Segoe UI" w:cs="Segoe UI"/>
            <w:sz w:val="20"/>
            <w:szCs w:val="20"/>
          </w:rPr>
          <w:id w:val="530769405"/>
          <w:citation/>
        </w:sdtPr>
        <w:sdtEndPr/>
        <w:sdtContent>
          <w:r w:rsidR="00CD396F" w:rsidRPr="00CD396F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CD396F" w:rsidRPr="00CD396F">
            <w:rPr>
              <w:rFonts w:ascii="Segoe UI" w:hAnsi="Segoe UI" w:cs="Segoe UI"/>
              <w:sz w:val="20"/>
              <w:szCs w:val="20"/>
            </w:rPr>
            <w:instrText xml:space="preserve">CITATION INROnline \l 5129 </w:instrText>
          </w:r>
          <w:r w:rsidR="00CD396F" w:rsidRPr="00CD396F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[6]</w:t>
          </w:r>
          <w:r w:rsidR="00CD396F" w:rsidRPr="00CD396F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550A3E" w:rsidRPr="00CD396F">
        <w:rPr>
          <w:rFonts w:ascii="Segoe UI" w:hAnsi="Segoe UI" w:cs="Segoe UI"/>
          <w:sz w:val="20"/>
          <w:szCs w:val="20"/>
        </w:rPr>
        <w:t xml:space="preserve">. If it’s not appropriate to extend, proceed with </w:t>
      </w:r>
      <w:r w:rsidR="005D0FC5">
        <w:rPr>
          <w:rFonts w:ascii="Segoe UI" w:hAnsi="Segoe UI" w:cs="Segoe UI"/>
          <w:sz w:val="20"/>
          <w:szCs w:val="20"/>
        </w:rPr>
        <w:t xml:space="preserve">the </w:t>
      </w:r>
      <w:r w:rsidR="00550A3E" w:rsidRPr="00CD396F">
        <w:rPr>
          <w:rFonts w:ascii="Segoe UI" w:hAnsi="Segoe UI" w:cs="Segoe UI"/>
          <w:sz w:val="20"/>
          <w:szCs w:val="20"/>
        </w:rPr>
        <w:t>rest of th</w:t>
      </w:r>
      <w:r w:rsidR="005D0FC5">
        <w:rPr>
          <w:rFonts w:ascii="Segoe UI" w:hAnsi="Segoe UI" w:cs="Segoe UI"/>
          <w:sz w:val="20"/>
          <w:szCs w:val="20"/>
        </w:rPr>
        <w:t>is</w:t>
      </w:r>
      <w:r w:rsidR="00550A3E" w:rsidRPr="00CD396F">
        <w:rPr>
          <w:rFonts w:ascii="Segoe UI" w:hAnsi="Segoe UI" w:cs="Segoe UI"/>
          <w:sz w:val="20"/>
          <w:szCs w:val="20"/>
        </w:rPr>
        <w:t xml:space="preserve"> guideline</w:t>
      </w:r>
      <w:r w:rsidR="005D0FC5">
        <w:rPr>
          <w:rFonts w:ascii="Segoe UI" w:hAnsi="Segoe UI" w:cs="Segoe UI"/>
          <w:sz w:val="20"/>
          <w:szCs w:val="20"/>
        </w:rPr>
        <w:t>.</w:t>
      </w:r>
    </w:p>
    <w:p w14:paraId="4A1AD0E5" w14:textId="13CD2312" w:rsidR="00C15D86" w:rsidRDefault="00550A3E" w:rsidP="00C15D8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</w:t>
      </w:r>
      <w:r w:rsidR="00AF2DCE">
        <w:rPr>
          <w:rFonts w:ascii="Segoe UI" w:hAnsi="Segoe UI" w:cs="Segoe UI"/>
          <w:sz w:val="20"/>
          <w:szCs w:val="20"/>
        </w:rPr>
        <w:t xml:space="preserve"> CPAMS provider</w:t>
      </w:r>
      <w:r w:rsidR="00BC082D">
        <w:rPr>
          <w:rFonts w:ascii="Segoe UI" w:hAnsi="Segoe UI" w:cs="Segoe UI"/>
          <w:sz w:val="20"/>
          <w:szCs w:val="20"/>
        </w:rPr>
        <w:t xml:space="preserve"> liaises with </w:t>
      </w:r>
      <w:r w:rsidR="00D52EBD">
        <w:rPr>
          <w:rFonts w:ascii="Segoe UI" w:hAnsi="Segoe UI" w:cs="Segoe UI"/>
          <w:sz w:val="20"/>
          <w:szCs w:val="20"/>
        </w:rPr>
        <w:t xml:space="preserve">the </w:t>
      </w:r>
      <w:r w:rsidR="000407BE">
        <w:rPr>
          <w:rFonts w:ascii="Segoe UI" w:hAnsi="Segoe UI" w:cs="Segoe UI"/>
          <w:sz w:val="20"/>
          <w:szCs w:val="20"/>
        </w:rPr>
        <w:t>testing</w:t>
      </w:r>
      <w:r w:rsidR="00D52EBD">
        <w:rPr>
          <w:rFonts w:ascii="Segoe UI" w:hAnsi="Segoe UI" w:cs="Segoe UI"/>
          <w:sz w:val="20"/>
          <w:szCs w:val="20"/>
        </w:rPr>
        <w:t xml:space="preserve"> provider</w:t>
      </w:r>
      <w:r w:rsidR="0094734E">
        <w:rPr>
          <w:rFonts w:ascii="Segoe UI" w:hAnsi="Segoe UI" w:cs="Segoe UI"/>
          <w:sz w:val="20"/>
          <w:szCs w:val="20"/>
        </w:rPr>
        <w:t xml:space="preserve"> </w:t>
      </w:r>
      <w:r w:rsidR="00592FB2">
        <w:rPr>
          <w:rFonts w:ascii="Segoe UI" w:hAnsi="Segoe UI" w:cs="Segoe UI"/>
          <w:sz w:val="20"/>
          <w:szCs w:val="20"/>
        </w:rPr>
        <w:t xml:space="preserve">to inform which </w:t>
      </w:r>
      <w:r w:rsidR="00C25E0D">
        <w:rPr>
          <w:rFonts w:ascii="Segoe UI" w:hAnsi="Segoe UI" w:cs="Segoe UI"/>
          <w:sz w:val="20"/>
          <w:szCs w:val="20"/>
        </w:rPr>
        <w:t>client</w:t>
      </w:r>
      <w:r w:rsidR="00592FB2">
        <w:rPr>
          <w:rFonts w:ascii="Segoe UI" w:hAnsi="Segoe UI" w:cs="Segoe UI"/>
          <w:sz w:val="20"/>
          <w:szCs w:val="20"/>
        </w:rPr>
        <w:t>(s) require tests</w:t>
      </w:r>
      <w:r w:rsidR="0094734E">
        <w:rPr>
          <w:rFonts w:ascii="Segoe UI" w:hAnsi="Segoe UI" w:cs="Segoe UI"/>
          <w:sz w:val="20"/>
          <w:szCs w:val="20"/>
        </w:rPr>
        <w:t xml:space="preserve"> and when</w:t>
      </w:r>
      <w:r w:rsidR="00E25BDE">
        <w:rPr>
          <w:rFonts w:ascii="Segoe UI" w:hAnsi="Segoe UI" w:cs="Segoe UI"/>
          <w:sz w:val="20"/>
          <w:szCs w:val="20"/>
        </w:rPr>
        <w:t>.</w:t>
      </w:r>
    </w:p>
    <w:p w14:paraId="02736224" w14:textId="4D30594F" w:rsidR="005E0350" w:rsidRPr="00C15D86" w:rsidRDefault="00AF2DCE" w:rsidP="00C15D86">
      <w:pPr>
        <w:pStyle w:val="ListParagraph"/>
        <w:numPr>
          <w:ilvl w:val="0"/>
          <w:numId w:val="5"/>
        </w:numPr>
        <w:spacing w:after="0"/>
        <w:rPr>
          <w:rFonts w:ascii="Segoe UI" w:hAnsi="Segoe UI" w:cs="Segoe UI"/>
          <w:sz w:val="20"/>
          <w:szCs w:val="20"/>
        </w:rPr>
      </w:pPr>
      <w:r w:rsidRPr="00C15D86">
        <w:rPr>
          <w:rFonts w:ascii="Segoe UI" w:hAnsi="Segoe UI" w:cs="Segoe UI"/>
          <w:sz w:val="20"/>
          <w:szCs w:val="20"/>
        </w:rPr>
        <w:t>The CPAMS provider</w:t>
      </w:r>
      <w:r w:rsidR="0094734E" w:rsidRPr="00C15D86">
        <w:rPr>
          <w:rFonts w:ascii="Segoe UI" w:hAnsi="Segoe UI" w:cs="Segoe UI"/>
          <w:sz w:val="20"/>
          <w:szCs w:val="20"/>
        </w:rPr>
        <w:t xml:space="preserve"> inform</w:t>
      </w:r>
      <w:r w:rsidR="00FC35D3" w:rsidRPr="00C15D86">
        <w:rPr>
          <w:rFonts w:ascii="Segoe UI" w:hAnsi="Segoe UI" w:cs="Segoe UI"/>
          <w:sz w:val="20"/>
          <w:szCs w:val="20"/>
        </w:rPr>
        <w:t xml:space="preserve">s </w:t>
      </w:r>
      <w:r w:rsidR="00C25E0D" w:rsidRPr="00C15D86">
        <w:rPr>
          <w:rFonts w:ascii="Segoe UI" w:hAnsi="Segoe UI" w:cs="Segoe UI"/>
          <w:sz w:val="20"/>
          <w:szCs w:val="20"/>
        </w:rPr>
        <w:t>client</w:t>
      </w:r>
      <w:r w:rsidR="00FC35D3" w:rsidRPr="00C15D86">
        <w:rPr>
          <w:rFonts w:ascii="Segoe UI" w:hAnsi="Segoe UI" w:cs="Segoe UI"/>
          <w:sz w:val="20"/>
          <w:szCs w:val="20"/>
        </w:rPr>
        <w:t xml:space="preserve"> wh</w:t>
      </w:r>
      <w:r w:rsidR="002036AA" w:rsidRPr="00C15D86">
        <w:rPr>
          <w:rFonts w:ascii="Segoe UI" w:hAnsi="Segoe UI" w:cs="Segoe UI"/>
          <w:sz w:val="20"/>
          <w:szCs w:val="20"/>
        </w:rPr>
        <w:t>at day and time</w:t>
      </w:r>
      <w:r w:rsidR="00FC35D3" w:rsidRPr="00C15D86">
        <w:rPr>
          <w:rFonts w:ascii="Segoe UI" w:hAnsi="Segoe UI" w:cs="Segoe UI"/>
          <w:sz w:val="20"/>
          <w:szCs w:val="20"/>
        </w:rPr>
        <w:t xml:space="preserve"> </w:t>
      </w:r>
      <w:r w:rsidR="000407BE" w:rsidRPr="00C15D86">
        <w:rPr>
          <w:rFonts w:ascii="Segoe UI" w:hAnsi="Segoe UI" w:cs="Segoe UI"/>
          <w:sz w:val="20"/>
          <w:szCs w:val="20"/>
        </w:rPr>
        <w:t>the testing provider</w:t>
      </w:r>
      <w:r w:rsidR="00FC35D3" w:rsidRPr="00C15D86">
        <w:rPr>
          <w:rFonts w:ascii="Segoe UI" w:hAnsi="Segoe UI" w:cs="Segoe UI"/>
          <w:sz w:val="20"/>
          <w:szCs w:val="20"/>
        </w:rPr>
        <w:t xml:space="preserve"> will arrive to test</w:t>
      </w:r>
      <w:r w:rsidR="00D00E1A">
        <w:rPr>
          <w:rFonts w:ascii="Segoe UI" w:hAnsi="Segoe UI" w:cs="Segoe UI"/>
          <w:sz w:val="20"/>
          <w:szCs w:val="20"/>
        </w:rPr>
        <w:t>.</w:t>
      </w:r>
    </w:p>
    <w:p w14:paraId="2EB54188" w14:textId="5DDAB54F" w:rsidR="00F45D79" w:rsidRDefault="00F45D79" w:rsidP="00AB14CB">
      <w:pPr>
        <w:spacing w:after="0"/>
        <w:rPr>
          <w:rFonts w:ascii="Segoe UI" w:hAnsi="Segoe UI" w:cs="Segoe UI"/>
          <w:sz w:val="20"/>
          <w:szCs w:val="20"/>
        </w:rPr>
      </w:pPr>
    </w:p>
    <w:p w14:paraId="00F52F22" w14:textId="71D60F20" w:rsidR="00AB14CB" w:rsidRPr="0031499B" w:rsidRDefault="00AB14CB" w:rsidP="00AB14CB">
      <w:pPr>
        <w:spacing w:after="0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Testing</w:t>
      </w:r>
    </w:p>
    <w:p w14:paraId="252A2650" w14:textId="165FC90B" w:rsidR="00DE4A41" w:rsidRPr="0031499B" w:rsidRDefault="00DE4A41" w:rsidP="006454CD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 w:rsidRPr="0031499B">
        <w:rPr>
          <w:rFonts w:ascii="Segoe UI" w:hAnsi="Segoe UI" w:cs="Segoe UI"/>
          <w:sz w:val="20"/>
          <w:szCs w:val="20"/>
        </w:rPr>
        <w:t xml:space="preserve">The testing provider visits the client’s home, </w:t>
      </w:r>
      <w:r w:rsidR="0030556D">
        <w:rPr>
          <w:rFonts w:ascii="Segoe UI" w:hAnsi="Segoe UI" w:cs="Segoe UI"/>
          <w:sz w:val="20"/>
          <w:szCs w:val="20"/>
        </w:rPr>
        <w:t xml:space="preserve">wearing appropriate </w:t>
      </w:r>
      <w:r w:rsidR="001A5C5A">
        <w:rPr>
          <w:rFonts w:ascii="Segoe UI" w:hAnsi="Segoe UI" w:cs="Segoe UI"/>
          <w:sz w:val="20"/>
          <w:szCs w:val="20"/>
        </w:rPr>
        <w:t>personal protective equipment (</w:t>
      </w:r>
      <w:r w:rsidR="0030556D">
        <w:rPr>
          <w:rFonts w:ascii="Segoe UI" w:hAnsi="Segoe UI" w:cs="Segoe UI"/>
          <w:sz w:val="20"/>
          <w:szCs w:val="20"/>
        </w:rPr>
        <w:t>PPE</w:t>
      </w:r>
      <w:r w:rsidR="001A5C5A">
        <w:rPr>
          <w:rFonts w:ascii="Segoe UI" w:hAnsi="Segoe UI" w:cs="Segoe UI"/>
          <w:sz w:val="20"/>
          <w:szCs w:val="20"/>
        </w:rPr>
        <w:t>)</w:t>
      </w:r>
      <w:r w:rsidR="0030556D">
        <w:rPr>
          <w:rFonts w:ascii="Segoe UI" w:hAnsi="Segoe UI" w:cs="Segoe UI"/>
          <w:sz w:val="20"/>
          <w:szCs w:val="20"/>
        </w:rPr>
        <w:t xml:space="preserve"> and following all </w:t>
      </w:r>
      <w:r w:rsidR="00AC009C">
        <w:rPr>
          <w:rFonts w:ascii="Segoe UI" w:hAnsi="Segoe UI" w:cs="Segoe UI"/>
          <w:sz w:val="20"/>
          <w:szCs w:val="20"/>
        </w:rPr>
        <w:t>infection prevent and control (</w:t>
      </w:r>
      <w:r w:rsidR="0030556D">
        <w:rPr>
          <w:rFonts w:ascii="Segoe UI" w:hAnsi="Segoe UI" w:cs="Segoe UI"/>
          <w:sz w:val="20"/>
          <w:szCs w:val="20"/>
        </w:rPr>
        <w:t>IPC</w:t>
      </w:r>
      <w:r w:rsidR="00AC009C">
        <w:rPr>
          <w:rFonts w:ascii="Segoe UI" w:hAnsi="Segoe UI" w:cs="Segoe UI"/>
          <w:sz w:val="20"/>
          <w:szCs w:val="20"/>
        </w:rPr>
        <w:t>)</w:t>
      </w:r>
      <w:r w:rsidR="0030556D">
        <w:rPr>
          <w:rFonts w:ascii="Segoe UI" w:hAnsi="Segoe UI" w:cs="Segoe UI"/>
          <w:sz w:val="20"/>
          <w:szCs w:val="20"/>
        </w:rPr>
        <w:t xml:space="preserve"> protocols</w:t>
      </w:r>
      <w:sdt>
        <w:sdtPr>
          <w:rPr>
            <w:rFonts w:ascii="Segoe UI" w:hAnsi="Segoe UI" w:cs="Segoe UI"/>
            <w:sz w:val="20"/>
            <w:szCs w:val="20"/>
          </w:rPr>
          <w:id w:val="1219639649"/>
          <w:citation/>
        </w:sdtPr>
        <w:sdtEndPr/>
        <w:sdtContent>
          <w:r w:rsidR="00E217D1" w:rsidRPr="0031499B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E217D1" w:rsidRPr="0031499B">
            <w:rPr>
              <w:rFonts w:ascii="Segoe UI" w:hAnsi="Segoe UI" w:cs="Segoe UI"/>
              <w:sz w:val="20"/>
              <w:szCs w:val="20"/>
            </w:rPr>
            <w:instrText xml:space="preserve"> CITATION COV \l 5129 </w:instrText>
          </w:r>
          <w:r w:rsidR="00E217D1" w:rsidRPr="0031499B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E217D1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E217D1" w:rsidRPr="00972A2D">
            <w:rPr>
              <w:rFonts w:ascii="Segoe UI" w:hAnsi="Segoe UI" w:cs="Segoe UI"/>
              <w:noProof/>
              <w:sz w:val="20"/>
              <w:szCs w:val="20"/>
            </w:rPr>
            <w:t>[7]</w:t>
          </w:r>
          <w:r w:rsidR="00E217D1" w:rsidRPr="0031499B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AC009C">
        <w:rPr>
          <w:rFonts w:ascii="Segoe UI" w:hAnsi="Segoe UI" w:cs="Segoe UI"/>
          <w:sz w:val="20"/>
          <w:szCs w:val="20"/>
        </w:rPr>
        <w:t>.</w:t>
      </w:r>
    </w:p>
    <w:p w14:paraId="7D9E05CF" w14:textId="790A6806" w:rsidR="00AB14CB" w:rsidRPr="00506A18" w:rsidRDefault="00342C12" w:rsidP="006454CD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testing provider obtains a</w:t>
      </w:r>
      <w:r w:rsidR="003A1CD8" w:rsidRPr="00506A18">
        <w:rPr>
          <w:rFonts w:ascii="Segoe UI" w:hAnsi="Segoe UI" w:cs="Segoe UI"/>
          <w:sz w:val="20"/>
          <w:szCs w:val="20"/>
        </w:rPr>
        <w:t xml:space="preserve"> blood sample as per </w:t>
      </w:r>
      <w:r w:rsidR="001A0FED">
        <w:rPr>
          <w:rFonts w:ascii="Segoe UI" w:hAnsi="Segoe UI" w:cs="Segoe UI"/>
          <w:sz w:val="20"/>
          <w:szCs w:val="20"/>
        </w:rPr>
        <w:t xml:space="preserve">the </w:t>
      </w:r>
      <w:r w:rsidR="003A1CD8" w:rsidRPr="00506A18">
        <w:rPr>
          <w:rFonts w:ascii="Segoe UI" w:hAnsi="Segoe UI" w:cs="Segoe UI"/>
          <w:sz w:val="20"/>
          <w:szCs w:val="20"/>
        </w:rPr>
        <w:t xml:space="preserve">process described in the </w:t>
      </w:r>
      <w:r w:rsidR="000327BA" w:rsidRPr="00506A18">
        <w:rPr>
          <w:rFonts w:ascii="Segoe UI" w:hAnsi="Segoe UI" w:cs="Segoe UI"/>
          <w:sz w:val="20"/>
          <w:szCs w:val="20"/>
        </w:rPr>
        <w:t>Standard Operating Procedure for Community Pharmacy Anticoagulation Management Services v1.3</w:t>
      </w:r>
      <w:sdt>
        <w:sdtPr>
          <w:rPr>
            <w:rFonts w:ascii="Segoe UI" w:hAnsi="Segoe UI" w:cs="Segoe UI"/>
            <w:sz w:val="20"/>
            <w:szCs w:val="20"/>
          </w:rPr>
          <w:id w:val="1225102344"/>
          <w:citation/>
        </w:sdtPr>
        <w:sdtEndPr/>
        <w:sdtContent>
          <w:r w:rsidR="00506A18" w:rsidRPr="00506A18">
            <w:rPr>
              <w:rFonts w:ascii="Segoe UI" w:hAnsi="Segoe UI" w:cs="Segoe UI"/>
              <w:sz w:val="20"/>
              <w:szCs w:val="20"/>
            </w:rPr>
            <w:fldChar w:fldCharType="begin"/>
          </w:r>
          <w:r w:rsidR="00506A18" w:rsidRPr="00506A18">
            <w:rPr>
              <w:rFonts w:ascii="Segoe UI" w:hAnsi="Segoe UI" w:cs="Segoe UI"/>
              <w:sz w:val="20"/>
              <w:szCs w:val="20"/>
            </w:rPr>
            <w:instrText xml:space="preserve"> CITATION Sta1 \l 5129 </w:instrText>
          </w:r>
          <w:r w:rsidR="00506A18" w:rsidRPr="00506A18">
            <w:rPr>
              <w:rFonts w:ascii="Segoe UI" w:hAnsi="Segoe UI" w:cs="Segoe UI"/>
              <w:sz w:val="20"/>
              <w:szCs w:val="20"/>
            </w:rPr>
            <w:fldChar w:fldCharType="separate"/>
          </w:r>
          <w:r w:rsidR="00972A2D"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="00972A2D" w:rsidRPr="00972A2D">
            <w:rPr>
              <w:rFonts w:ascii="Segoe UI" w:hAnsi="Segoe UI" w:cs="Segoe UI"/>
              <w:noProof/>
              <w:sz w:val="20"/>
              <w:szCs w:val="20"/>
            </w:rPr>
            <w:t>[3]</w:t>
          </w:r>
          <w:r w:rsidR="00506A18" w:rsidRPr="00506A18"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="00464A57">
        <w:rPr>
          <w:rFonts w:ascii="Segoe UI" w:hAnsi="Segoe UI" w:cs="Segoe UI"/>
          <w:sz w:val="20"/>
          <w:szCs w:val="20"/>
        </w:rPr>
        <w:t>.</w:t>
      </w:r>
    </w:p>
    <w:p w14:paraId="04971612" w14:textId="01BB34D3" w:rsidR="00C906AE" w:rsidRDefault="00342C12" w:rsidP="006454CD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testing provider r</w:t>
      </w:r>
      <w:r w:rsidR="00FF7335">
        <w:rPr>
          <w:rFonts w:ascii="Segoe UI" w:hAnsi="Segoe UI" w:cs="Segoe UI"/>
          <w:sz w:val="20"/>
          <w:szCs w:val="20"/>
        </w:rPr>
        <w:t>ecord</w:t>
      </w:r>
      <w:r>
        <w:rPr>
          <w:rFonts w:ascii="Segoe UI" w:hAnsi="Segoe UI" w:cs="Segoe UI"/>
          <w:sz w:val="20"/>
          <w:szCs w:val="20"/>
        </w:rPr>
        <w:t>s</w:t>
      </w:r>
      <w:r w:rsidR="00FF7335">
        <w:rPr>
          <w:rFonts w:ascii="Segoe UI" w:hAnsi="Segoe UI" w:cs="Segoe UI"/>
          <w:sz w:val="20"/>
          <w:szCs w:val="20"/>
        </w:rPr>
        <w:t xml:space="preserve"> </w:t>
      </w:r>
      <w:r w:rsidR="00464A57">
        <w:rPr>
          <w:rFonts w:ascii="Segoe UI" w:hAnsi="Segoe UI" w:cs="Segoe UI"/>
          <w:sz w:val="20"/>
          <w:szCs w:val="20"/>
        </w:rPr>
        <w:t xml:space="preserve">the </w:t>
      </w:r>
      <w:r w:rsidR="00C906AE">
        <w:rPr>
          <w:rFonts w:ascii="Segoe UI" w:hAnsi="Segoe UI" w:cs="Segoe UI"/>
          <w:sz w:val="20"/>
          <w:szCs w:val="20"/>
        </w:rPr>
        <w:t>result and noti</w:t>
      </w:r>
      <w:r>
        <w:rPr>
          <w:rFonts w:ascii="Segoe UI" w:hAnsi="Segoe UI" w:cs="Segoe UI"/>
          <w:sz w:val="20"/>
          <w:szCs w:val="20"/>
        </w:rPr>
        <w:t>fies</w:t>
      </w:r>
      <w:r w:rsidR="00C906AE">
        <w:rPr>
          <w:rFonts w:ascii="Segoe UI" w:hAnsi="Segoe UI" w:cs="Segoe UI"/>
          <w:sz w:val="20"/>
          <w:szCs w:val="20"/>
        </w:rPr>
        <w:t xml:space="preserve"> </w:t>
      </w:r>
      <w:r w:rsidR="00AF2DCE">
        <w:rPr>
          <w:rFonts w:ascii="Segoe UI" w:hAnsi="Segoe UI" w:cs="Segoe UI"/>
          <w:sz w:val="20"/>
          <w:szCs w:val="20"/>
        </w:rPr>
        <w:t>the CPAMS provider</w:t>
      </w:r>
      <w:r w:rsidR="00FD4F47">
        <w:rPr>
          <w:rFonts w:ascii="Segoe UI" w:hAnsi="Segoe UI" w:cs="Segoe UI"/>
          <w:sz w:val="20"/>
          <w:szCs w:val="20"/>
        </w:rPr>
        <w:t xml:space="preserve"> by phone</w:t>
      </w:r>
      <w:r w:rsidR="00464A57">
        <w:rPr>
          <w:rFonts w:ascii="Segoe UI" w:hAnsi="Segoe UI" w:cs="Segoe UI"/>
          <w:sz w:val="20"/>
          <w:szCs w:val="20"/>
        </w:rPr>
        <w:t>.</w:t>
      </w:r>
    </w:p>
    <w:p w14:paraId="0684A165" w14:textId="2AE8C4CA" w:rsidR="00F93DB5" w:rsidRPr="00F93DB5" w:rsidRDefault="00F93DB5" w:rsidP="00F93DB5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 w:rsidRPr="00617B93">
        <w:rPr>
          <w:rFonts w:ascii="Segoe UI" w:hAnsi="Segoe UI" w:cs="Segoe UI"/>
          <w:sz w:val="20"/>
          <w:szCs w:val="20"/>
        </w:rPr>
        <w:t>The Warfarin Standing Orders for CPAM Services v2.2 document describes actions required if INR results are higher than the therapeutic range</w:t>
      </w:r>
      <w:sdt>
        <w:sdtPr>
          <w:rPr>
            <w:rFonts w:ascii="Segoe UI" w:hAnsi="Segoe UI" w:cs="Segoe UI"/>
            <w:sz w:val="20"/>
            <w:szCs w:val="20"/>
          </w:rPr>
          <w:id w:val="222570141"/>
          <w:citation/>
        </w:sdtPr>
        <w:sdtEndPr/>
        <w:sdtContent>
          <w:r>
            <w:rPr>
              <w:rFonts w:ascii="Segoe UI" w:hAnsi="Segoe UI" w:cs="Segoe UI"/>
              <w:sz w:val="20"/>
              <w:szCs w:val="20"/>
            </w:rPr>
            <w:fldChar w:fldCharType="begin"/>
          </w:r>
          <w:r>
            <w:rPr>
              <w:rFonts w:ascii="Segoe UI" w:hAnsi="Segoe UI" w:cs="Segoe UI"/>
              <w:sz w:val="20"/>
              <w:szCs w:val="20"/>
            </w:rPr>
            <w:instrText xml:space="preserve"> CITATION Sta \l 5129 </w:instrText>
          </w:r>
          <w:r>
            <w:rPr>
              <w:rFonts w:ascii="Segoe UI" w:hAnsi="Segoe UI" w:cs="Segoe UI"/>
              <w:sz w:val="20"/>
              <w:szCs w:val="20"/>
            </w:rPr>
            <w:fldChar w:fldCharType="separate"/>
          </w:r>
          <w:r>
            <w:rPr>
              <w:rFonts w:ascii="Segoe UI" w:hAnsi="Segoe UI" w:cs="Segoe UI"/>
              <w:noProof/>
              <w:sz w:val="20"/>
              <w:szCs w:val="20"/>
            </w:rPr>
            <w:t xml:space="preserve"> </w:t>
          </w:r>
          <w:r w:rsidRPr="00972A2D">
            <w:rPr>
              <w:rFonts w:ascii="Segoe UI" w:hAnsi="Segoe UI" w:cs="Segoe UI"/>
              <w:noProof/>
              <w:sz w:val="20"/>
              <w:szCs w:val="20"/>
            </w:rPr>
            <w:t>[2]</w:t>
          </w:r>
          <w:r>
            <w:rPr>
              <w:rFonts w:ascii="Segoe UI" w:hAnsi="Segoe UI" w:cs="Segoe UI"/>
              <w:sz w:val="20"/>
              <w:szCs w:val="20"/>
            </w:rPr>
            <w:fldChar w:fldCharType="end"/>
          </w:r>
        </w:sdtContent>
      </w:sdt>
      <w:r w:rsidRPr="00617B93"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sz w:val="20"/>
          <w:szCs w:val="20"/>
        </w:rPr>
        <w:t xml:space="preserve">If it’s necessary, the testing provider needs to remain in the client’s home to administer vitamin K. </w:t>
      </w:r>
      <w:r w:rsidRPr="00617B93">
        <w:rPr>
          <w:rFonts w:ascii="Segoe UI" w:hAnsi="Segoe UI" w:cs="Segoe UI"/>
          <w:sz w:val="20"/>
          <w:szCs w:val="20"/>
        </w:rPr>
        <w:t>Document any actions taken and report to the CPAMS provider and the prescriber.</w:t>
      </w:r>
    </w:p>
    <w:p w14:paraId="5A78437C" w14:textId="3060BB10" w:rsidR="00802E1D" w:rsidRDefault="00802E1D" w:rsidP="006454CD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The CPAMS provider checks the latest INR result against the </w:t>
      </w:r>
      <w:r w:rsidR="00B86A85">
        <w:rPr>
          <w:rFonts w:ascii="Segoe UI" w:hAnsi="Segoe UI" w:cs="Segoe UI"/>
          <w:sz w:val="20"/>
          <w:szCs w:val="20"/>
        </w:rPr>
        <w:t xml:space="preserve">client’s </w:t>
      </w:r>
      <w:r>
        <w:rPr>
          <w:rFonts w:ascii="Segoe UI" w:hAnsi="Segoe UI" w:cs="Segoe UI"/>
          <w:sz w:val="20"/>
          <w:szCs w:val="20"/>
        </w:rPr>
        <w:t>target INR range</w:t>
      </w:r>
      <w:r w:rsidR="00670729">
        <w:rPr>
          <w:rFonts w:ascii="Segoe UI" w:hAnsi="Segoe UI" w:cs="Segoe UI"/>
          <w:sz w:val="20"/>
          <w:szCs w:val="20"/>
        </w:rPr>
        <w:t>.</w:t>
      </w:r>
    </w:p>
    <w:p w14:paraId="66202D20" w14:textId="77777777" w:rsidR="00F60E95" w:rsidRDefault="00AF2DCE" w:rsidP="00F60E95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CPAMS provider</w:t>
      </w:r>
      <w:r w:rsidR="00C906AE">
        <w:rPr>
          <w:rFonts w:ascii="Segoe UI" w:hAnsi="Segoe UI" w:cs="Segoe UI"/>
          <w:sz w:val="20"/>
          <w:szCs w:val="20"/>
        </w:rPr>
        <w:t xml:space="preserve"> will</w:t>
      </w:r>
      <w:r w:rsidR="009452FE">
        <w:rPr>
          <w:rFonts w:ascii="Segoe UI" w:hAnsi="Segoe UI" w:cs="Segoe UI"/>
          <w:sz w:val="20"/>
          <w:szCs w:val="20"/>
        </w:rPr>
        <w:t>:</w:t>
      </w:r>
    </w:p>
    <w:p w14:paraId="1412976B" w14:textId="2747F22F" w:rsidR="00C15D86" w:rsidRPr="00F60E95" w:rsidRDefault="00C906AE" w:rsidP="001C5542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 w:rsidRPr="00F60E95">
        <w:rPr>
          <w:rFonts w:ascii="Segoe UI" w:hAnsi="Segoe UI" w:cs="Segoe UI"/>
          <w:sz w:val="20"/>
          <w:szCs w:val="20"/>
        </w:rPr>
        <w:t xml:space="preserve">enter the result manually into </w:t>
      </w:r>
      <w:r w:rsidR="00FF5949" w:rsidRPr="00F60E95">
        <w:rPr>
          <w:rFonts w:ascii="Segoe UI" w:hAnsi="Segoe UI" w:cs="Segoe UI"/>
          <w:sz w:val="20"/>
          <w:szCs w:val="20"/>
        </w:rPr>
        <w:t xml:space="preserve">the </w:t>
      </w:r>
      <w:r w:rsidRPr="00F60E95">
        <w:rPr>
          <w:rFonts w:ascii="Segoe UI" w:hAnsi="Segoe UI" w:cs="Segoe UI"/>
          <w:sz w:val="20"/>
          <w:szCs w:val="20"/>
        </w:rPr>
        <w:t>INR Online</w:t>
      </w:r>
      <w:r w:rsidR="00FD4F47" w:rsidRPr="00F60E95">
        <w:rPr>
          <w:rFonts w:ascii="Segoe UI" w:hAnsi="Segoe UI" w:cs="Segoe UI"/>
          <w:sz w:val="20"/>
          <w:szCs w:val="20"/>
        </w:rPr>
        <w:t xml:space="preserve"> </w:t>
      </w:r>
      <w:r w:rsidR="00FF5949" w:rsidRPr="00F60E95">
        <w:rPr>
          <w:rFonts w:ascii="Segoe UI" w:hAnsi="Segoe UI" w:cs="Segoe UI"/>
          <w:sz w:val="20"/>
          <w:szCs w:val="20"/>
        </w:rPr>
        <w:t xml:space="preserve">system </w:t>
      </w:r>
      <w:r w:rsidR="00FD4F47" w:rsidRPr="00F60E95">
        <w:rPr>
          <w:rFonts w:ascii="Segoe UI" w:hAnsi="Segoe UI" w:cs="Segoe UI"/>
          <w:sz w:val="20"/>
          <w:szCs w:val="20"/>
        </w:rPr>
        <w:t xml:space="preserve">and </w:t>
      </w:r>
      <w:r w:rsidR="00E212E2" w:rsidRPr="00F60E95">
        <w:rPr>
          <w:rFonts w:ascii="Segoe UI" w:hAnsi="Segoe UI" w:cs="Segoe UI"/>
          <w:sz w:val="20"/>
          <w:szCs w:val="20"/>
        </w:rPr>
        <w:t xml:space="preserve">counsel the </w:t>
      </w:r>
      <w:r w:rsidR="00C25E0D" w:rsidRPr="00F60E95">
        <w:rPr>
          <w:rFonts w:ascii="Segoe UI" w:hAnsi="Segoe UI" w:cs="Segoe UI"/>
          <w:sz w:val="20"/>
          <w:szCs w:val="20"/>
        </w:rPr>
        <w:t>client</w:t>
      </w:r>
      <w:r w:rsidR="00E212E2" w:rsidRPr="00F60E95">
        <w:rPr>
          <w:rFonts w:ascii="Segoe UI" w:hAnsi="Segoe UI" w:cs="Segoe UI"/>
          <w:sz w:val="20"/>
          <w:szCs w:val="20"/>
        </w:rPr>
        <w:t xml:space="preserve"> </w:t>
      </w:r>
      <w:r w:rsidR="00A616EE">
        <w:rPr>
          <w:rFonts w:ascii="Segoe UI" w:hAnsi="Segoe UI" w:cs="Segoe UI"/>
          <w:sz w:val="20"/>
          <w:szCs w:val="20"/>
        </w:rPr>
        <w:t xml:space="preserve">(via telehealth eg, over the phone) </w:t>
      </w:r>
      <w:r w:rsidR="00E212E2" w:rsidRPr="00F60E95">
        <w:rPr>
          <w:rFonts w:ascii="Segoe UI" w:hAnsi="Segoe UI" w:cs="Segoe UI"/>
          <w:sz w:val="20"/>
          <w:szCs w:val="20"/>
        </w:rPr>
        <w:t>on the dose as appropriate</w:t>
      </w:r>
      <w:r w:rsidR="00C05089" w:rsidRPr="00F60E95">
        <w:rPr>
          <w:rFonts w:ascii="Segoe UI" w:hAnsi="Segoe UI" w:cs="Segoe UI"/>
          <w:sz w:val="20"/>
          <w:szCs w:val="20"/>
        </w:rPr>
        <w:t xml:space="preserve"> on the same day as the test</w:t>
      </w:r>
      <w:r w:rsidR="00E212E2" w:rsidRPr="00F60E95">
        <w:rPr>
          <w:rFonts w:ascii="Segoe UI" w:hAnsi="Segoe UI" w:cs="Segoe UI"/>
          <w:sz w:val="20"/>
          <w:szCs w:val="20"/>
        </w:rPr>
        <w:t xml:space="preserve">. Inform the </w:t>
      </w:r>
      <w:r w:rsidR="00C25E0D" w:rsidRPr="00F60E95">
        <w:rPr>
          <w:rFonts w:ascii="Segoe UI" w:hAnsi="Segoe UI" w:cs="Segoe UI"/>
          <w:sz w:val="20"/>
          <w:szCs w:val="20"/>
        </w:rPr>
        <w:t>client</w:t>
      </w:r>
      <w:r w:rsidR="00E212E2" w:rsidRPr="00F60E95">
        <w:rPr>
          <w:rFonts w:ascii="Segoe UI" w:hAnsi="Segoe UI" w:cs="Segoe UI"/>
          <w:sz w:val="20"/>
          <w:szCs w:val="20"/>
        </w:rPr>
        <w:t xml:space="preserve"> on when the next test is required</w:t>
      </w:r>
    </w:p>
    <w:p w14:paraId="5D14159F" w14:textId="77777777" w:rsidR="00305A82" w:rsidRDefault="009452FE" w:rsidP="00305A82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="00645EE0" w:rsidRPr="00C15D86">
        <w:rPr>
          <w:rFonts w:ascii="Segoe UI" w:hAnsi="Segoe UI" w:cs="Segoe UI"/>
          <w:sz w:val="20"/>
          <w:szCs w:val="20"/>
        </w:rPr>
        <w:t>ecord any necessary information on the client’s file (</w:t>
      </w:r>
      <w:r w:rsidR="0006524D" w:rsidRPr="00C15D86">
        <w:rPr>
          <w:rFonts w:ascii="Segoe UI" w:hAnsi="Segoe UI" w:cs="Segoe UI"/>
          <w:sz w:val="20"/>
          <w:szCs w:val="20"/>
        </w:rPr>
        <w:t>eg</w:t>
      </w:r>
      <w:r w:rsidR="00A616EE">
        <w:rPr>
          <w:rFonts w:ascii="Segoe UI" w:hAnsi="Segoe UI" w:cs="Segoe UI"/>
          <w:sz w:val="20"/>
          <w:szCs w:val="20"/>
        </w:rPr>
        <w:t>,</w:t>
      </w:r>
      <w:r w:rsidR="00645EE0" w:rsidRPr="00C15D86">
        <w:rPr>
          <w:rFonts w:ascii="Segoe UI" w:hAnsi="Segoe UI" w:cs="Segoe UI"/>
          <w:sz w:val="20"/>
          <w:szCs w:val="20"/>
        </w:rPr>
        <w:t xml:space="preserve"> missed </w:t>
      </w:r>
      <w:r w:rsidR="00B6063A">
        <w:rPr>
          <w:rFonts w:ascii="Segoe UI" w:hAnsi="Segoe UI" w:cs="Segoe UI"/>
          <w:sz w:val="20"/>
          <w:szCs w:val="20"/>
        </w:rPr>
        <w:t>doses</w:t>
      </w:r>
      <w:r w:rsidR="00645EE0" w:rsidRPr="00C15D86">
        <w:rPr>
          <w:rFonts w:ascii="Segoe UI" w:hAnsi="Segoe UI" w:cs="Segoe UI"/>
          <w:sz w:val="20"/>
          <w:szCs w:val="20"/>
        </w:rPr>
        <w:t xml:space="preserve">, bleeding or bruising, new </w:t>
      </w:r>
      <w:proofErr w:type="gramStart"/>
      <w:r w:rsidR="00645EE0" w:rsidRPr="00C15D86">
        <w:rPr>
          <w:rFonts w:ascii="Segoe UI" w:hAnsi="Segoe UI" w:cs="Segoe UI"/>
          <w:sz w:val="20"/>
          <w:szCs w:val="20"/>
        </w:rPr>
        <w:t>medication</w:t>
      </w:r>
      <w:proofErr w:type="gramEnd"/>
      <w:r w:rsidR="00645EE0" w:rsidRPr="00C15D86">
        <w:rPr>
          <w:rFonts w:ascii="Segoe UI" w:hAnsi="Segoe UI" w:cs="Segoe UI"/>
          <w:sz w:val="20"/>
          <w:szCs w:val="20"/>
        </w:rPr>
        <w:t xml:space="preserve"> and hospital admissions)</w:t>
      </w:r>
    </w:p>
    <w:p w14:paraId="3B5C1804" w14:textId="53C772F7" w:rsidR="00617B93" w:rsidRPr="00305A82" w:rsidRDefault="00855206" w:rsidP="00305A82">
      <w:pPr>
        <w:pStyle w:val="ListParagraph"/>
        <w:numPr>
          <w:ilvl w:val="1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</w:t>
      </w:r>
      <w:r w:rsidR="00892AAD" w:rsidRPr="00305A82">
        <w:rPr>
          <w:rFonts w:ascii="Segoe UI" w:hAnsi="Segoe UI" w:cs="Segoe UI"/>
          <w:sz w:val="20"/>
          <w:szCs w:val="20"/>
        </w:rPr>
        <w:t xml:space="preserve">f a review with the GP is required, </w:t>
      </w:r>
      <w:r w:rsidR="00CE7CC3" w:rsidRPr="00305A82">
        <w:rPr>
          <w:rFonts w:ascii="Segoe UI" w:hAnsi="Segoe UI" w:cs="Segoe UI"/>
          <w:sz w:val="20"/>
          <w:szCs w:val="20"/>
        </w:rPr>
        <w:t xml:space="preserve">inform the </w:t>
      </w:r>
      <w:r w:rsidR="00C25E0D" w:rsidRPr="00305A82">
        <w:rPr>
          <w:rFonts w:ascii="Segoe UI" w:hAnsi="Segoe UI" w:cs="Segoe UI"/>
          <w:sz w:val="20"/>
          <w:szCs w:val="20"/>
        </w:rPr>
        <w:t>client</w:t>
      </w:r>
      <w:r w:rsidR="00CE7CC3" w:rsidRPr="00305A82">
        <w:rPr>
          <w:rFonts w:ascii="Segoe UI" w:hAnsi="Segoe UI" w:cs="Segoe UI"/>
          <w:sz w:val="20"/>
          <w:szCs w:val="20"/>
        </w:rPr>
        <w:t xml:space="preserve"> that they will be contacted </w:t>
      </w:r>
      <w:r w:rsidR="006254E9" w:rsidRPr="00305A82">
        <w:rPr>
          <w:rFonts w:ascii="Segoe UI" w:hAnsi="Segoe UI" w:cs="Segoe UI"/>
          <w:sz w:val="20"/>
          <w:szCs w:val="20"/>
        </w:rPr>
        <w:t>again</w:t>
      </w:r>
      <w:r w:rsidR="00F67254" w:rsidRPr="00305A82">
        <w:rPr>
          <w:rFonts w:ascii="Segoe UI" w:hAnsi="Segoe UI" w:cs="Segoe UI"/>
          <w:sz w:val="20"/>
          <w:szCs w:val="20"/>
        </w:rPr>
        <w:t xml:space="preserve"> only</w:t>
      </w:r>
      <w:r w:rsidR="00CE7CC3" w:rsidRPr="00305A82">
        <w:rPr>
          <w:rFonts w:ascii="Segoe UI" w:hAnsi="Segoe UI" w:cs="Segoe UI"/>
          <w:sz w:val="20"/>
          <w:szCs w:val="20"/>
        </w:rPr>
        <w:t xml:space="preserve"> if their GP has changed their dose</w:t>
      </w:r>
    </w:p>
    <w:p w14:paraId="23E25525" w14:textId="7423BBCA" w:rsidR="00A016C9" w:rsidRDefault="008262BF" w:rsidP="006454CD">
      <w:pPr>
        <w:pStyle w:val="ListParagraph"/>
        <w:numPr>
          <w:ilvl w:val="0"/>
          <w:numId w:val="19"/>
        </w:numPr>
        <w:spacing w:after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The test</w:t>
      </w:r>
      <w:r w:rsidR="00617B93">
        <w:rPr>
          <w:rFonts w:ascii="Segoe UI" w:hAnsi="Segoe UI" w:cs="Segoe UI"/>
          <w:sz w:val="20"/>
          <w:szCs w:val="20"/>
        </w:rPr>
        <w:t>i</w:t>
      </w:r>
      <w:r>
        <w:rPr>
          <w:rFonts w:ascii="Segoe UI" w:hAnsi="Segoe UI" w:cs="Segoe UI"/>
          <w:sz w:val="20"/>
          <w:szCs w:val="20"/>
        </w:rPr>
        <w:t>ng provider</w:t>
      </w:r>
      <w:r w:rsidR="00056A9F">
        <w:rPr>
          <w:rFonts w:ascii="Segoe UI" w:hAnsi="Segoe UI" w:cs="Segoe UI"/>
          <w:sz w:val="20"/>
          <w:szCs w:val="20"/>
        </w:rPr>
        <w:t xml:space="preserve"> leaves </w:t>
      </w:r>
      <w:r w:rsidR="00C25E0D">
        <w:rPr>
          <w:rFonts w:ascii="Segoe UI" w:hAnsi="Segoe UI" w:cs="Segoe UI"/>
          <w:sz w:val="20"/>
          <w:szCs w:val="20"/>
        </w:rPr>
        <w:t>client</w:t>
      </w:r>
      <w:r w:rsidR="00056A9F">
        <w:rPr>
          <w:rFonts w:ascii="Segoe UI" w:hAnsi="Segoe UI" w:cs="Segoe UI"/>
          <w:sz w:val="20"/>
          <w:szCs w:val="20"/>
        </w:rPr>
        <w:t xml:space="preserve">’s </w:t>
      </w:r>
      <w:r w:rsidR="002D038B">
        <w:rPr>
          <w:rFonts w:ascii="Segoe UI" w:hAnsi="Segoe UI" w:cs="Segoe UI"/>
          <w:sz w:val="20"/>
          <w:szCs w:val="20"/>
        </w:rPr>
        <w:t>home</w:t>
      </w:r>
      <w:r w:rsidR="00056A9F">
        <w:rPr>
          <w:rFonts w:ascii="Segoe UI" w:hAnsi="Segoe UI" w:cs="Segoe UI"/>
          <w:sz w:val="20"/>
          <w:szCs w:val="20"/>
        </w:rPr>
        <w:t xml:space="preserve">, doffing PPE </w:t>
      </w:r>
      <w:r w:rsidR="0018477C">
        <w:rPr>
          <w:rFonts w:ascii="Segoe UI" w:hAnsi="Segoe UI" w:cs="Segoe UI"/>
          <w:sz w:val="20"/>
          <w:szCs w:val="20"/>
        </w:rPr>
        <w:t>as per IPC protocols</w:t>
      </w:r>
      <w:r w:rsidR="00D82146">
        <w:rPr>
          <w:rFonts w:ascii="Segoe UI" w:hAnsi="Segoe UI" w:cs="Segoe UI"/>
          <w:sz w:val="20"/>
          <w:szCs w:val="20"/>
        </w:rPr>
        <w:t>.</w:t>
      </w:r>
    </w:p>
    <w:p w14:paraId="19E821B5" w14:textId="77777777" w:rsidR="000E38FB" w:rsidRPr="000E38FB" w:rsidRDefault="000E38FB" w:rsidP="000E38FB">
      <w:pPr>
        <w:spacing w:after="0"/>
        <w:rPr>
          <w:rFonts w:ascii="Segoe UI" w:hAnsi="Segoe UI" w:cs="Segoe UI"/>
          <w:sz w:val="20"/>
          <w:szCs w:val="20"/>
        </w:rPr>
      </w:pPr>
    </w:p>
    <w:p w14:paraId="1D7B01FA" w14:textId="0AC72281" w:rsidR="00985046" w:rsidRDefault="00985046" w:rsidP="00985046">
      <w:pPr>
        <w:spacing w:after="0"/>
        <w:rPr>
          <w:rFonts w:ascii="Segoe UI" w:hAnsi="Segoe UI" w:cs="Segoe UI"/>
          <w:sz w:val="20"/>
          <w:szCs w:val="20"/>
        </w:rPr>
      </w:pPr>
    </w:p>
    <w:p w14:paraId="72ECA9CE" w14:textId="04418429" w:rsidR="00AD47E7" w:rsidRDefault="00AD47E7" w:rsidP="00972A2D">
      <w:pPr>
        <w:rPr>
          <w:rFonts w:ascii="Segoe UI" w:hAnsi="Segoe UI" w:cs="Segoe UI"/>
          <w:sz w:val="20"/>
          <w:szCs w:val="20"/>
        </w:rPr>
      </w:pPr>
    </w:p>
    <w:p w14:paraId="6077DEA7" w14:textId="5B37E301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0A0C873E" w14:textId="1DACFBE4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10480D4F" w14:textId="37333B02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436B951E" w14:textId="11446E20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09418D62" w14:textId="32D98E37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5F31B4DC" w14:textId="10F456CF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08B2F27C" w14:textId="540D23C3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1721C9D5" w14:textId="0648A9A1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2CA03046" w14:textId="1868BC68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0510A67F" w14:textId="6ACFF8E7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p w14:paraId="0F4C530F" w14:textId="77777777" w:rsidR="00C1658C" w:rsidRDefault="00C1658C" w:rsidP="00972A2D">
      <w:pPr>
        <w:rPr>
          <w:rFonts w:ascii="Segoe UI" w:hAnsi="Segoe UI" w:cs="Segoe UI"/>
          <w:sz w:val="20"/>
          <w:szCs w:val="20"/>
        </w:rPr>
      </w:pPr>
    </w:p>
    <w:sdt>
      <w:sdtPr>
        <w:rPr>
          <w:rFonts w:ascii="Arial" w:eastAsiaTheme="minorEastAsia" w:hAnsi="Arial" w:cstheme="minorBidi"/>
          <w:color w:val="auto"/>
          <w:sz w:val="24"/>
          <w:szCs w:val="22"/>
          <w:lang w:eastAsia="zh-CN"/>
        </w:rPr>
        <w:id w:val="1619724792"/>
        <w:docPartObj>
          <w:docPartGallery w:val="Bibliographies"/>
          <w:docPartUnique/>
        </w:docPartObj>
      </w:sdtPr>
      <w:sdtEndPr/>
      <w:sdtContent>
        <w:p w14:paraId="5AD6677A" w14:textId="19997C65" w:rsidR="00882EFB" w:rsidRPr="00972A2D" w:rsidRDefault="00882EFB">
          <w:pPr>
            <w:pStyle w:val="Heading1"/>
            <w:rPr>
              <w:rFonts w:ascii="Segoe UI" w:hAnsi="Segoe UI" w:cs="Segoe UI"/>
              <w:b/>
              <w:bCs/>
              <w:sz w:val="20"/>
              <w:szCs w:val="20"/>
            </w:rPr>
          </w:pPr>
          <w:r w:rsidRPr="00972A2D">
            <w:rPr>
              <w:rFonts w:ascii="Segoe UI" w:hAnsi="Segoe UI" w:cs="Segoe UI"/>
              <w:b/>
              <w:bCs/>
              <w:sz w:val="20"/>
              <w:szCs w:val="20"/>
            </w:rPr>
            <w:t>References</w:t>
          </w:r>
        </w:p>
        <w:sdt>
          <w:sdtPr>
            <w:rPr>
              <w:rFonts w:ascii="Segoe UI" w:hAnsi="Segoe UI" w:cs="Segoe UI"/>
              <w:sz w:val="20"/>
              <w:szCs w:val="20"/>
            </w:rPr>
            <w:id w:val="-573587230"/>
            <w:bibliography/>
          </w:sdtPr>
          <w:sdtEndPr>
            <w:rPr>
              <w:rFonts w:ascii="Arial" w:hAnsi="Arial" w:cstheme="minorBidi"/>
              <w:sz w:val="24"/>
              <w:szCs w:val="22"/>
            </w:rPr>
          </w:sdtEndPr>
          <w:sdtContent>
            <w:p w14:paraId="4D77352D" w14:textId="77777777" w:rsidR="00972A2D" w:rsidRPr="00972A2D" w:rsidRDefault="00882EFB" w:rsidP="009D33D4">
              <w:pPr>
                <w:rPr>
                  <w:rFonts w:ascii="Segoe UI" w:hAnsi="Segoe UI" w:cs="Segoe UI"/>
                  <w:noProof/>
                  <w:sz w:val="20"/>
                  <w:szCs w:val="20"/>
                </w:rPr>
              </w:pPr>
              <w:r w:rsidRPr="00972A2D">
                <w:rPr>
                  <w:rFonts w:ascii="Segoe UI" w:hAnsi="Segoe UI" w:cs="Segoe UI"/>
                  <w:sz w:val="20"/>
                  <w:szCs w:val="20"/>
                </w:rPr>
                <w:fldChar w:fldCharType="begin"/>
              </w:r>
              <w:r w:rsidRPr="00972A2D">
                <w:rPr>
                  <w:rFonts w:ascii="Segoe UI" w:hAnsi="Segoe UI" w:cs="Segoe UI"/>
                  <w:sz w:val="20"/>
                  <w:szCs w:val="20"/>
                </w:rPr>
                <w:instrText xml:space="preserve"> BIBLIOGRAPHY </w:instrText>
              </w:r>
              <w:r w:rsidRPr="00972A2D">
                <w:rPr>
                  <w:rFonts w:ascii="Segoe UI" w:hAnsi="Segoe UI" w:cs="Segoe UI"/>
                  <w:sz w:val="20"/>
                  <w:szCs w:val="20"/>
                </w:rP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04"/>
                <w:gridCol w:w="10162"/>
              </w:tblGrid>
              <w:tr w:rsidR="00972A2D" w:rsidRPr="00972A2D" w14:paraId="0EF19039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0C8FAED" w14:textId="00E788C9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94F36AF" w14:textId="017F567B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“Community Pharmacy Anti-Coagulation Management Services Service Specification,” [Online]. Available: https://tas.health.nz/assets/Publications/Pharmacy-Documents/Services/CPAMS/Documentation/CPAM-Service-Specification-September-2013-FINAL.pdf</w:t>
                    </w:r>
                  </w:p>
                </w:tc>
              </w:tr>
              <w:tr w:rsidR="00972A2D" w:rsidRPr="00972A2D" w14:paraId="70CFB8D8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4369A78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DD0DD8A" w14:textId="112CDF4D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“Standing orders for the management of warfarin,” [Online]. Available: https://tas.health.nz/assets/Publications/Pharmacy-Documents/Services/CPAMS/Documentation/CPAMS-standing-orders-V2.2-October-2013-FINAL.pdf</w:t>
                    </w:r>
                  </w:p>
                </w:tc>
              </w:tr>
              <w:tr w:rsidR="00972A2D" w:rsidRPr="00972A2D" w14:paraId="28BCF740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6BF31BC5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687D4495" w14:textId="4E220D2B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“Standard operating procedure for community pharmacy anticoagulation management (CPAM) services,” [Online]. Available: https://tas.health.nz/assets/Publications/Pharmacy-Documents/Services/CPAMS/Documentation/CPAMS-Standard-Operating-Procedure-V1.3-FINAL.pdf</w:t>
                    </w:r>
                  </w:p>
                </w:tc>
              </w:tr>
              <w:tr w:rsidR="00972A2D" w:rsidRPr="00972A2D" w14:paraId="3A785F1B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4661409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[4]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0B1B898B" w14:textId="0B601C71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“CoaguChek XS Plus System Operator’s Manual,” [Online]. Available: https://diagnostics.roche.com/content/dam/diagnostics/us/en/resource-center/CoaguChek-XS-Plus-Operators-Manual.pdf</w:t>
                    </w:r>
                  </w:p>
                </w:tc>
              </w:tr>
              <w:tr w:rsidR="00972A2D" w:rsidRPr="00972A2D" w14:paraId="32081589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36E55ED5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[5]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1873EAEC" w14:textId="76B663DD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“CoaguChek XS Plus,” [Online]. Available: https://www.youtube.com/watch?v=7OWsByNo9Bc</w:t>
                    </w:r>
                  </w:p>
                </w:tc>
              </w:tr>
              <w:tr w:rsidR="00972A2D" w:rsidRPr="00972A2D" w14:paraId="631781F0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7B2EEC47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[6]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522B52E2" w14:textId="012FCB29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“INROnline – COVID-19 information for pharmacists,” [Online]. Available: http://inronline.net/covid-19-information-for-pharmacists/</w:t>
                    </w:r>
                  </w:p>
                </w:tc>
              </w:tr>
              <w:tr w:rsidR="00972A2D" w:rsidRPr="00972A2D" w14:paraId="08CA0D50" w14:textId="77777777">
                <w:trPr>
                  <w:divId w:val="580137356"/>
                  <w:tblCellSpacing w:w="15" w:type="dxa"/>
                </w:trPr>
                <w:tc>
                  <w:tcPr>
                    <w:tcW w:w="50" w:type="pct"/>
                    <w:hideMark/>
                  </w:tcPr>
                  <w:p w14:paraId="17E0CC3A" w14:textId="77777777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 xml:space="preserve">[7] </w:t>
                    </w:r>
                  </w:p>
                </w:tc>
                <w:tc>
                  <w:tcPr>
                    <w:tcW w:w="0" w:type="auto"/>
                    <w:hideMark/>
                  </w:tcPr>
                  <w:p w14:paraId="26078019" w14:textId="21918889" w:rsidR="00972A2D" w:rsidRPr="00972A2D" w:rsidRDefault="00972A2D">
                    <w:pPr>
                      <w:pStyle w:val="Bibliography"/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</w:pPr>
                    <w:r w:rsidRPr="00972A2D">
                      <w:rPr>
                        <w:rFonts w:ascii="Segoe UI" w:hAnsi="Segoe UI" w:cs="Segoe UI"/>
                        <w:noProof/>
                        <w:sz w:val="20"/>
                        <w:szCs w:val="20"/>
                      </w:rPr>
                      <w:t>“COVID-19 Interim guide for PPE selection to protect primary and community health and disability care workers,” [Online]. Available: https://www.health.govt.nz/system/files/documents/pages/hp7716_-_ppe_use_in_community_healthcare_settings_v2_3dec.pdf</w:t>
                    </w:r>
                  </w:p>
                </w:tc>
              </w:tr>
            </w:tbl>
            <w:p w14:paraId="4A6D5B74" w14:textId="77777777" w:rsidR="00972A2D" w:rsidRPr="00972A2D" w:rsidRDefault="00972A2D">
              <w:pPr>
                <w:divId w:val="580137356"/>
                <w:rPr>
                  <w:rFonts w:ascii="Segoe UI" w:eastAsia="Times New Roman" w:hAnsi="Segoe UI" w:cs="Segoe UI"/>
                  <w:noProof/>
                  <w:sz w:val="20"/>
                  <w:szCs w:val="20"/>
                </w:rPr>
              </w:pPr>
            </w:p>
            <w:p w14:paraId="6E4C9360" w14:textId="05F4C0EA" w:rsidR="00882EFB" w:rsidRDefault="00882EFB" w:rsidP="009D33D4">
              <w:r w:rsidRPr="00972A2D">
                <w:rPr>
                  <w:rFonts w:ascii="Segoe UI" w:hAnsi="Segoe UI" w:cs="Segoe UI"/>
                  <w:b/>
                  <w:bCs/>
                  <w:noProof/>
                  <w:sz w:val="20"/>
                  <w:szCs w:val="20"/>
                </w:rPr>
                <w:fldChar w:fldCharType="end"/>
              </w:r>
            </w:p>
          </w:sdtContent>
        </w:sdt>
      </w:sdtContent>
    </w:sdt>
    <w:bookmarkEnd w:id="0"/>
    <w:p w14:paraId="2A149805" w14:textId="2997CEB6" w:rsidR="00214262" w:rsidRPr="00972A2D" w:rsidRDefault="00214262" w:rsidP="00972A2D">
      <w:pPr>
        <w:spacing w:after="0"/>
        <w:rPr>
          <w:rFonts w:ascii="Segoe UI" w:hAnsi="Segoe UI" w:cs="Segoe UI"/>
          <w:sz w:val="20"/>
          <w:szCs w:val="20"/>
        </w:rPr>
      </w:pPr>
    </w:p>
    <w:sectPr w:rsidR="00214262" w:rsidRPr="00972A2D" w:rsidSect="00F527D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1C7C8" w14:textId="77777777" w:rsidR="00A2451D" w:rsidRDefault="00A2451D" w:rsidP="000327BA">
      <w:pPr>
        <w:spacing w:after="0" w:line="240" w:lineRule="auto"/>
      </w:pPr>
      <w:r>
        <w:separator/>
      </w:r>
    </w:p>
  </w:endnote>
  <w:endnote w:type="continuationSeparator" w:id="0">
    <w:p w14:paraId="44F3D191" w14:textId="77777777" w:rsidR="00A2451D" w:rsidRDefault="00A2451D" w:rsidP="0003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470771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16"/>
            <w:szCs w:val="16"/>
          </w:rPr>
        </w:sdtEndPr>
        <w:sdtContent>
          <w:p w14:paraId="24F207EA" w14:textId="7E81A5AB" w:rsidR="00267217" w:rsidRPr="004876ED" w:rsidRDefault="00267217">
            <w:pPr>
              <w:pStyle w:val="Footer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4876ED">
              <w:rPr>
                <w:rFonts w:ascii="Segoe UI" w:hAnsi="Segoe UI" w:cs="Segoe UI"/>
                <w:sz w:val="16"/>
                <w:szCs w:val="16"/>
              </w:rPr>
              <w:t xml:space="preserve">Page </w: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PAGE </w:instrTex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4876E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  <w:r w:rsidRPr="004876ED">
              <w:rPr>
                <w:rFonts w:ascii="Segoe UI" w:hAnsi="Segoe UI" w:cs="Segoe UI"/>
                <w:sz w:val="16"/>
                <w:szCs w:val="16"/>
              </w:rPr>
              <w:t xml:space="preserve"> of </w: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begin"/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instrText xml:space="preserve"> NUMPAGES  </w:instrTex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separate"/>
            </w:r>
            <w:r w:rsidRPr="004876ED">
              <w:rPr>
                <w:rFonts w:ascii="Segoe UI" w:hAnsi="Segoe UI" w:cs="Segoe UI"/>
                <w:b/>
                <w:bCs/>
                <w:noProof/>
                <w:sz w:val="16"/>
                <w:szCs w:val="16"/>
              </w:rPr>
              <w:t>2</w:t>
            </w:r>
            <w:r w:rsidRPr="004876ED">
              <w:rPr>
                <w:rFonts w:ascii="Segoe UI" w:hAnsi="Segoe UI" w:cs="Segoe U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B2887A" w14:textId="77777777" w:rsidR="00267217" w:rsidRDefault="00267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C12C9" w14:textId="77777777" w:rsidR="00A2451D" w:rsidRDefault="00A2451D" w:rsidP="000327BA">
      <w:pPr>
        <w:spacing w:after="0" w:line="240" w:lineRule="auto"/>
      </w:pPr>
      <w:r>
        <w:separator/>
      </w:r>
    </w:p>
  </w:footnote>
  <w:footnote w:type="continuationSeparator" w:id="0">
    <w:p w14:paraId="5F51D7F8" w14:textId="77777777" w:rsidR="00A2451D" w:rsidRDefault="00A2451D" w:rsidP="00032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653D4" w14:textId="08558D24" w:rsidR="00CA45DB" w:rsidRDefault="00CA4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70719" wp14:editId="74A06F55">
          <wp:simplePos x="0" y="0"/>
          <wp:positionH relativeFrom="column">
            <wp:posOffset>5831442</wp:posOffset>
          </wp:positionH>
          <wp:positionV relativeFrom="paragraph">
            <wp:posOffset>635</wp:posOffset>
          </wp:positionV>
          <wp:extent cx="800100" cy="320703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0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373DA97" w14:textId="31F140AF" w:rsidR="00B17E9D" w:rsidRPr="00BF45EE" w:rsidRDefault="00B17E9D" w:rsidP="00BF45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1D2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223"/>
    <w:multiLevelType w:val="hybridMultilevel"/>
    <w:tmpl w:val="A59864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4F26"/>
    <w:multiLevelType w:val="multilevel"/>
    <w:tmpl w:val="7ED63E78"/>
    <w:styleLink w:val="Teststyl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2C35"/>
    <w:multiLevelType w:val="hybridMultilevel"/>
    <w:tmpl w:val="6D3887A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4AE2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40C6F"/>
    <w:multiLevelType w:val="hybridMultilevel"/>
    <w:tmpl w:val="4AF409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46F"/>
    <w:multiLevelType w:val="hybridMultilevel"/>
    <w:tmpl w:val="4B0A24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90BC9"/>
    <w:multiLevelType w:val="hybridMultilevel"/>
    <w:tmpl w:val="4F48E7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8382B"/>
    <w:multiLevelType w:val="multilevel"/>
    <w:tmpl w:val="7ED63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6219A"/>
    <w:multiLevelType w:val="hybridMultilevel"/>
    <w:tmpl w:val="831AFD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A5BA6"/>
    <w:multiLevelType w:val="hybridMultilevel"/>
    <w:tmpl w:val="8638B1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F481B"/>
    <w:multiLevelType w:val="multilevel"/>
    <w:tmpl w:val="7ED63E78"/>
    <w:numStyleLink w:val="Teststyle"/>
  </w:abstractNum>
  <w:abstractNum w:abstractNumId="12" w15:restartNumberingAfterBreak="0">
    <w:nsid w:val="39386B14"/>
    <w:multiLevelType w:val="hybridMultilevel"/>
    <w:tmpl w:val="4E580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E4724"/>
    <w:multiLevelType w:val="hybridMultilevel"/>
    <w:tmpl w:val="D3E8F7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358B1"/>
    <w:multiLevelType w:val="hybridMultilevel"/>
    <w:tmpl w:val="700C03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54D37"/>
    <w:multiLevelType w:val="hybridMultilevel"/>
    <w:tmpl w:val="DB6C4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E4A65"/>
    <w:multiLevelType w:val="hybridMultilevel"/>
    <w:tmpl w:val="7B62F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A3AB3"/>
    <w:multiLevelType w:val="hybridMultilevel"/>
    <w:tmpl w:val="4664CD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A0FB3"/>
    <w:multiLevelType w:val="hybridMultilevel"/>
    <w:tmpl w:val="8638B1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D730A"/>
    <w:multiLevelType w:val="hybridMultilevel"/>
    <w:tmpl w:val="748E0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5BE1"/>
    <w:multiLevelType w:val="hybridMultilevel"/>
    <w:tmpl w:val="41A0155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4D3436"/>
    <w:multiLevelType w:val="hybridMultilevel"/>
    <w:tmpl w:val="D3A04F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4"/>
  </w:num>
  <w:num w:numId="4">
    <w:abstractNumId w:val="16"/>
  </w:num>
  <w:num w:numId="5">
    <w:abstractNumId w:val="10"/>
  </w:num>
  <w:num w:numId="6">
    <w:abstractNumId w:val="3"/>
  </w:num>
  <w:num w:numId="7">
    <w:abstractNumId w:val="20"/>
  </w:num>
  <w:num w:numId="8">
    <w:abstractNumId w:val="19"/>
  </w:num>
  <w:num w:numId="9">
    <w:abstractNumId w:val="7"/>
  </w:num>
  <w:num w:numId="10">
    <w:abstractNumId w:val="12"/>
  </w:num>
  <w:num w:numId="11">
    <w:abstractNumId w:val="21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  <w:num w:numId="17">
    <w:abstractNumId w:val="1"/>
  </w:num>
  <w:num w:numId="18">
    <w:abstractNumId w:val="13"/>
  </w:num>
  <w:num w:numId="19">
    <w:abstractNumId w:val="18"/>
  </w:num>
  <w:num w:numId="20">
    <w:abstractNumId w:val="5"/>
  </w:num>
  <w:num w:numId="21">
    <w:abstractNumId w:val="17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65"/>
    <w:rsid w:val="00002A91"/>
    <w:rsid w:val="00015921"/>
    <w:rsid w:val="00017726"/>
    <w:rsid w:val="000327BA"/>
    <w:rsid w:val="000407BE"/>
    <w:rsid w:val="000445F7"/>
    <w:rsid w:val="00050FB0"/>
    <w:rsid w:val="00053132"/>
    <w:rsid w:val="00053B2E"/>
    <w:rsid w:val="00054C3C"/>
    <w:rsid w:val="00056A9F"/>
    <w:rsid w:val="00064744"/>
    <w:rsid w:val="0006524D"/>
    <w:rsid w:val="0007254B"/>
    <w:rsid w:val="000748AD"/>
    <w:rsid w:val="00095666"/>
    <w:rsid w:val="000A3BA5"/>
    <w:rsid w:val="000A56E3"/>
    <w:rsid w:val="000D5224"/>
    <w:rsid w:val="000E106A"/>
    <w:rsid w:val="000E323B"/>
    <w:rsid w:val="000E38FB"/>
    <w:rsid w:val="000E6303"/>
    <w:rsid w:val="000F388A"/>
    <w:rsid w:val="000F760D"/>
    <w:rsid w:val="00102A4E"/>
    <w:rsid w:val="00103619"/>
    <w:rsid w:val="00104D0C"/>
    <w:rsid w:val="001063F1"/>
    <w:rsid w:val="00106A83"/>
    <w:rsid w:val="00123BB5"/>
    <w:rsid w:val="00133517"/>
    <w:rsid w:val="00134A70"/>
    <w:rsid w:val="00154DEC"/>
    <w:rsid w:val="00157B9C"/>
    <w:rsid w:val="00166C0A"/>
    <w:rsid w:val="001769F6"/>
    <w:rsid w:val="00181068"/>
    <w:rsid w:val="0018477C"/>
    <w:rsid w:val="001A0FED"/>
    <w:rsid w:val="001A5C5A"/>
    <w:rsid w:val="001C439B"/>
    <w:rsid w:val="001C5542"/>
    <w:rsid w:val="001D5896"/>
    <w:rsid w:val="001E016D"/>
    <w:rsid w:val="001F38EF"/>
    <w:rsid w:val="002023C8"/>
    <w:rsid w:val="0020346D"/>
    <w:rsid w:val="002036AA"/>
    <w:rsid w:val="002039C8"/>
    <w:rsid w:val="00211B52"/>
    <w:rsid w:val="00214040"/>
    <w:rsid w:val="00214262"/>
    <w:rsid w:val="00217340"/>
    <w:rsid w:val="00233DCB"/>
    <w:rsid w:val="00244E09"/>
    <w:rsid w:val="00251E40"/>
    <w:rsid w:val="0025439C"/>
    <w:rsid w:val="002544A5"/>
    <w:rsid w:val="0025571F"/>
    <w:rsid w:val="00267217"/>
    <w:rsid w:val="002733EE"/>
    <w:rsid w:val="00273D76"/>
    <w:rsid w:val="002776E7"/>
    <w:rsid w:val="00285619"/>
    <w:rsid w:val="002A19EC"/>
    <w:rsid w:val="002A740D"/>
    <w:rsid w:val="002B30A4"/>
    <w:rsid w:val="002B7ECD"/>
    <w:rsid w:val="002D038B"/>
    <w:rsid w:val="002E7B41"/>
    <w:rsid w:val="002F26BB"/>
    <w:rsid w:val="002F57FB"/>
    <w:rsid w:val="0030556D"/>
    <w:rsid w:val="00305A82"/>
    <w:rsid w:val="0031499B"/>
    <w:rsid w:val="00321230"/>
    <w:rsid w:val="00321623"/>
    <w:rsid w:val="00321BAF"/>
    <w:rsid w:val="00325DC4"/>
    <w:rsid w:val="00336B1A"/>
    <w:rsid w:val="00337B7A"/>
    <w:rsid w:val="00340BF2"/>
    <w:rsid w:val="00342C12"/>
    <w:rsid w:val="00342CC2"/>
    <w:rsid w:val="00355D22"/>
    <w:rsid w:val="0035666B"/>
    <w:rsid w:val="00357FBD"/>
    <w:rsid w:val="00376E21"/>
    <w:rsid w:val="00382006"/>
    <w:rsid w:val="00391676"/>
    <w:rsid w:val="00393028"/>
    <w:rsid w:val="00393342"/>
    <w:rsid w:val="00394300"/>
    <w:rsid w:val="00397D8E"/>
    <w:rsid w:val="003A12B1"/>
    <w:rsid w:val="003A1CD8"/>
    <w:rsid w:val="003B54A0"/>
    <w:rsid w:val="003B6B25"/>
    <w:rsid w:val="003B739D"/>
    <w:rsid w:val="003B7991"/>
    <w:rsid w:val="003C3258"/>
    <w:rsid w:val="003C4B39"/>
    <w:rsid w:val="003D2C09"/>
    <w:rsid w:val="003E4536"/>
    <w:rsid w:val="003E6FDD"/>
    <w:rsid w:val="003F4612"/>
    <w:rsid w:val="003F6882"/>
    <w:rsid w:val="004046D6"/>
    <w:rsid w:val="004207BD"/>
    <w:rsid w:val="004210A4"/>
    <w:rsid w:val="00422167"/>
    <w:rsid w:val="00426933"/>
    <w:rsid w:val="004313A7"/>
    <w:rsid w:val="004335C2"/>
    <w:rsid w:val="00445ECC"/>
    <w:rsid w:val="00446254"/>
    <w:rsid w:val="00446748"/>
    <w:rsid w:val="00463557"/>
    <w:rsid w:val="00464A57"/>
    <w:rsid w:val="00465978"/>
    <w:rsid w:val="004876ED"/>
    <w:rsid w:val="004D0016"/>
    <w:rsid w:val="004D35A7"/>
    <w:rsid w:val="004D7D7C"/>
    <w:rsid w:val="004F40A7"/>
    <w:rsid w:val="004F4388"/>
    <w:rsid w:val="004F45FC"/>
    <w:rsid w:val="00503258"/>
    <w:rsid w:val="005042DF"/>
    <w:rsid w:val="00506A18"/>
    <w:rsid w:val="005108CD"/>
    <w:rsid w:val="0051175C"/>
    <w:rsid w:val="00513DD5"/>
    <w:rsid w:val="0053187B"/>
    <w:rsid w:val="00531D5F"/>
    <w:rsid w:val="00534F90"/>
    <w:rsid w:val="00542250"/>
    <w:rsid w:val="005462E4"/>
    <w:rsid w:val="00550A3E"/>
    <w:rsid w:val="0055221E"/>
    <w:rsid w:val="00563E57"/>
    <w:rsid w:val="00570030"/>
    <w:rsid w:val="005753F6"/>
    <w:rsid w:val="00580E83"/>
    <w:rsid w:val="0058403F"/>
    <w:rsid w:val="00592FB2"/>
    <w:rsid w:val="0059398C"/>
    <w:rsid w:val="005A537B"/>
    <w:rsid w:val="005A65AC"/>
    <w:rsid w:val="005B5871"/>
    <w:rsid w:val="005B75BE"/>
    <w:rsid w:val="005C4037"/>
    <w:rsid w:val="005D0C96"/>
    <w:rsid w:val="005D0FC5"/>
    <w:rsid w:val="005D2C45"/>
    <w:rsid w:val="005E0350"/>
    <w:rsid w:val="005E0F51"/>
    <w:rsid w:val="005E28AE"/>
    <w:rsid w:val="005E3060"/>
    <w:rsid w:val="005E773C"/>
    <w:rsid w:val="005F7003"/>
    <w:rsid w:val="00601ABA"/>
    <w:rsid w:val="00602E4D"/>
    <w:rsid w:val="00612210"/>
    <w:rsid w:val="00614420"/>
    <w:rsid w:val="00617B93"/>
    <w:rsid w:val="00617BFD"/>
    <w:rsid w:val="00621BB2"/>
    <w:rsid w:val="006254E9"/>
    <w:rsid w:val="006308A1"/>
    <w:rsid w:val="0064193B"/>
    <w:rsid w:val="006454CD"/>
    <w:rsid w:val="00645EE0"/>
    <w:rsid w:val="00652E2E"/>
    <w:rsid w:val="006556BC"/>
    <w:rsid w:val="00670729"/>
    <w:rsid w:val="00670B2F"/>
    <w:rsid w:val="00673070"/>
    <w:rsid w:val="00673725"/>
    <w:rsid w:val="00676773"/>
    <w:rsid w:val="00680B17"/>
    <w:rsid w:val="00686598"/>
    <w:rsid w:val="006A23B9"/>
    <w:rsid w:val="006B124D"/>
    <w:rsid w:val="006B1EC0"/>
    <w:rsid w:val="006B22AE"/>
    <w:rsid w:val="006B6E7D"/>
    <w:rsid w:val="006C6CE5"/>
    <w:rsid w:val="006C7C27"/>
    <w:rsid w:val="006D6A2C"/>
    <w:rsid w:val="006D7CFA"/>
    <w:rsid w:val="006E388D"/>
    <w:rsid w:val="006E4D06"/>
    <w:rsid w:val="006F14CC"/>
    <w:rsid w:val="006F406A"/>
    <w:rsid w:val="00715005"/>
    <w:rsid w:val="00715A51"/>
    <w:rsid w:val="00715CC2"/>
    <w:rsid w:val="007160A3"/>
    <w:rsid w:val="00722D16"/>
    <w:rsid w:val="00727846"/>
    <w:rsid w:val="0073021A"/>
    <w:rsid w:val="00750BD0"/>
    <w:rsid w:val="0075261D"/>
    <w:rsid w:val="0075478A"/>
    <w:rsid w:val="00757E1E"/>
    <w:rsid w:val="007645E5"/>
    <w:rsid w:val="007747CE"/>
    <w:rsid w:val="00780553"/>
    <w:rsid w:val="007C4379"/>
    <w:rsid w:val="007C780D"/>
    <w:rsid w:val="007D421C"/>
    <w:rsid w:val="007E09CC"/>
    <w:rsid w:val="007F1B24"/>
    <w:rsid w:val="007F7D0A"/>
    <w:rsid w:val="00802E1D"/>
    <w:rsid w:val="00807B10"/>
    <w:rsid w:val="0081259C"/>
    <w:rsid w:val="008160EC"/>
    <w:rsid w:val="00822756"/>
    <w:rsid w:val="008262BF"/>
    <w:rsid w:val="0083364B"/>
    <w:rsid w:val="00834D74"/>
    <w:rsid w:val="008503C5"/>
    <w:rsid w:val="00855206"/>
    <w:rsid w:val="008578CD"/>
    <w:rsid w:val="00865501"/>
    <w:rsid w:val="008741F5"/>
    <w:rsid w:val="00882EFB"/>
    <w:rsid w:val="00885F82"/>
    <w:rsid w:val="00886A06"/>
    <w:rsid w:val="00892AAD"/>
    <w:rsid w:val="008959FF"/>
    <w:rsid w:val="008B0649"/>
    <w:rsid w:val="008B62AB"/>
    <w:rsid w:val="008C1C95"/>
    <w:rsid w:val="008D1336"/>
    <w:rsid w:val="008D6911"/>
    <w:rsid w:val="008D73FB"/>
    <w:rsid w:val="008E65D2"/>
    <w:rsid w:val="0090622F"/>
    <w:rsid w:val="00911DED"/>
    <w:rsid w:val="00913653"/>
    <w:rsid w:val="00915062"/>
    <w:rsid w:val="00922B25"/>
    <w:rsid w:val="009251E5"/>
    <w:rsid w:val="00936465"/>
    <w:rsid w:val="009452FE"/>
    <w:rsid w:val="0094734E"/>
    <w:rsid w:val="009529F3"/>
    <w:rsid w:val="00955283"/>
    <w:rsid w:val="00962DDF"/>
    <w:rsid w:val="009718F8"/>
    <w:rsid w:val="009720BE"/>
    <w:rsid w:val="00972A2D"/>
    <w:rsid w:val="00972A54"/>
    <w:rsid w:val="0097676B"/>
    <w:rsid w:val="00985046"/>
    <w:rsid w:val="009B6359"/>
    <w:rsid w:val="009C2E30"/>
    <w:rsid w:val="009C4E7D"/>
    <w:rsid w:val="009D2802"/>
    <w:rsid w:val="009D33D4"/>
    <w:rsid w:val="009D60B6"/>
    <w:rsid w:val="009D699A"/>
    <w:rsid w:val="009E1709"/>
    <w:rsid w:val="009F3FE1"/>
    <w:rsid w:val="00A016C9"/>
    <w:rsid w:val="00A076DE"/>
    <w:rsid w:val="00A2451D"/>
    <w:rsid w:val="00A26790"/>
    <w:rsid w:val="00A304AC"/>
    <w:rsid w:val="00A33E82"/>
    <w:rsid w:val="00A3496C"/>
    <w:rsid w:val="00A4249F"/>
    <w:rsid w:val="00A45A53"/>
    <w:rsid w:val="00A4723C"/>
    <w:rsid w:val="00A53B76"/>
    <w:rsid w:val="00A557C0"/>
    <w:rsid w:val="00A5684D"/>
    <w:rsid w:val="00A6097B"/>
    <w:rsid w:val="00A61213"/>
    <w:rsid w:val="00A616EE"/>
    <w:rsid w:val="00A72692"/>
    <w:rsid w:val="00A7274A"/>
    <w:rsid w:val="00A77A41"/>
    <w:rsid w:val="00A847B9"/>
    <w:rsid w:val="00A8511C"/>
    <w:rsid w:val="00A86EE8"/>
    <w:rsid w:val="00A915ED"/>
    <w:rsid w:val="00AA58CC"/>
    <w:rsid w:val="00AA66B9"/>
    <w:rsid w:val="00AB0338"/>
    <w:rsid w:val="00AB14CB"/>
    <w:rsid w:val="00AB5295"/>
    <w:rsid w:val="00AB5441"/>
    <w:rsid w:val="00AB5FFC"/>
    <w:rsid w:val="00AC009C"/>
    <w:rsid w:val="00AC2ACB"/>
    <w:rsid w:val="00AD120D"/>
    <w:rsid w:val="00AD161C"/>
    <w:rsid w:val="00AD47E7"/>
    <w:rsid w:val="00AE3392"/>
    <w:rsid w:val="00AE3464"/>
    <w:rsid w:val="00AE58A9"/>
    <w:rsid w:val="00AE6A75"/>
    <w:rsid w:val="00AF2DCE"/>
    <w:rsid w:val="00AF6884"/>
    <w:rsid w:val="00B1171C"/>
    <w:rsid w:val="00B14A01"/>
    <w:rsid w:val="00B1705C"/>
    <w:rsid w:val="00B17E9D"/>
    <w:rsid w:val="00B32C1C"/>
    <w:rsid w:val="00B40132"/>
    <w:rsid w:val="00B47902"/>
    <w:rsid w:val="00B479C3"/>
    <w:rsid w:val="00B47E2E"/>
    <w:rsid w:val="00B6063A"/>
    <w:rsid w:val="00B636BC"/>
    <w:rsid w:val="00B663DC"/>
    <w:rsid w:val="00B76B2D"/>
    <w:rsid w:val="00B8005E"/>
    <w:rsid w:val="00B80580"/>
    <w:rsid w:val="00B810E1"/>
    <w:rsid w:val="00B86A85"/>
    <w:rsid w:val="00B92DF4"/>
    <w:rsid w:val="00B965C5"/>
    <w:rsid w:val="00BA5352"/>
    <w:rsid w:val="00BB3E89"/>
    <w:rsid w:val="00BB417B"/>
    <w:rsid w:val="00BC082D"/>
    <w:rsid w:val="00BD0CB2"/>
    <w:rsid w:val="00BD186D"/>
    <w:rsid w:val="00BD4483"/>
    <w:rsid w:val="00BE4E3E"/>
    <w:rsid w:val="00BF3E70"/>
    <w:rsid w:val="00BF45EE"/>
    <w:rsid w:val="00BF55B7"/>
    <w:rsid w:val="00C049C9"/>
    <w:rsid w:val="00C05089"/>
    <w:rsid w:val="00C10148"/>
    <w:rsid w:val="00C15D86"/>
    <w:rsid w:val="00C1658C"/>
    <w:rsid w:val="00C22A9B"/>
    <w:rsid w:val="00C231D7"/>
    <w:rsid w:val="00C25E0D"/>
    <w:rsid w:val="00C26825"/>
    <w:rsid w:val="00C27A7E"/>
    <w:rsid w:val="00C45032"/>
    <w:rsid w:val="00C461FD"/>
    <w:rsid w:val="00C46535"/>
    <w:rsid w:val="00C478A5"/>
    <w:rsid w:val="00C533A5"/>
    <w:rsid w:val="00C56E3D"/>
    <w:rsid w:val="00C64FEE"/>
    <w:rsid w:val="00C80EF0"/>
    <w:rsid w:val="00C906AE"/>
    <w:rsid w:val="00C92B9D"/>
    <w:rsid w:val="00C92E24"/>
    <w:rsid w:val="00C96B98"/>
    <w:rsid w:val="00CA124C"/>
    <w:rsid w:val="00CA45DB"/>
    <w:rsid w:val="00CA64BB"/>
    <w:rsid w:val="00CB4986"/>
    <w:rsid w:val="00CC0F7A"/>
    <w:rsid w:val="00CC1718"/>
    <w:rsid w:val="00CC2F1D"/>
    <w:rsid w:val="00CD1EE9"/>
    <w:rsid w:val="00CD396F"/>
    <w:rsid w:val="00CD748D"/>
    <w:rsid w:val="00CE223C"/>
    <w:rsid w:val="00CE663B"/>
    <w:rsid w:val="00CE7CC3"/>
    <w:rsid w:val="00CF3EF1"/>
    <w:rsid w:val="00CF4F1B"/>
    <w:rsid w:val="00D00E1A"/>
    <w:rsid w:val="00D0478D"/>
    <w:rsid w:val="00D13122"/>
    <w:rsid w:val="00D13179"/>
    <w:rsid w:val="00D25A71"/>
    <w:rsid w:val="00D3014E"/>
    <w:rsid w:val="00D32BC9"/>
    <w:rsid w:val="00D3565C"/>
    <w:rsid w:val="00D36B34"/>
    <w:rsid w:val="00D40CC0"/>
    <w:rsid w:val="00D52EBD"/>
    <w:rsid w:val="00D5409A"/>
    <w:rsid w:val="00D63D9B"/>
    <w:rsid w:val="00D650DA"/>
    <w:rsid w:val="00D6743B"/>
    <w:rsid w:val="00D73E11"/>
    <w:rsid w:val="00D74420"/>
    <w:rsid w:val="00D757B9"/>
    <w:rsid w:val="00D82146"/>
    <w:rsid w:val="00D9301D"/>
    <w:rsid w:val="00D95323"/>
    <w:rsid w:val="00D97F86"/>
    <w:rsid w:val="00DA6807"/>
    <w:rsid w:val="00DC09DB"/>
    <w:rsid w:val="00DC2AC7"/>
    <w:rsid w:val="00DC5D68"/>
    <w:rsid w:val="00DD6C0C"/>
    <w:rsid w:val="00DE4A41"/>
    <w:rsid w:val="00DF0898"/>
    <w:rsid w:val="00DF2602"/>
    <w:rsid w:val="00DF5EB8"/>
    <w:rsid w:val="00E01E75"/>
    <w:rsid w:val="00E050EA"/>
    <w:rsid w:val="00E16F32"/>
    <w:rsid w:val="00E212E2"/>
    <w:rsid w:val="00E217D1"/>
    <w:rsid w:val="00E25BDE"/>
    <w:rsid w:val="00E34D4C"/>
    <w:rsid w:val="00E411E9"/>
    <w:rsid w:val="00E43F36"/>
    <w:rsid w:val="00E471FC"/>
    <w:rsid w:val="00E66872"/>
    <w:rsid w:val="00E70045"/>
    <w:rsid w:val="00E818C8"/>
    <w:rsid w:val="00E85765"/>
    <w:rsid w:val="00E857F3"/>
    <w:rsid w:val="00EA0E2A"/>
    <w:rsid w:val="00EB02D8"/>
    <w:rsid w:val="00EB7AF7"/>
    <w:rsid w:val="00EC186A"/>
    <w:rsid w:val="00EC7064"/>
    <w:rsid w:val="00ED0049"/>
    <w:rsid w:val="00ED4199"/>
    <w:rsid w:val="00EE42A0"/>
    <w:rsid w:val="00F00AB0"/>
    <w:rsid w:val="00F01DA0"/>
    <w:rsid w:val="00F06A8A"/>
    <w:rsid w:val="00F2098E"/>
    <w:rsid w:val="00F266E4"/>
    <w:rsid w:val="00F26991"/>
    <w:rsid w:val="00F3664F"/>
    <w:rsid w:val="00F42CD6"/>
    <w:rsid w:val="00F45D79"/>
    <w:rsid w:val="00F527D1"/>
    <w:rsid w:val="00F5733B"/>
    <w:rsid w:val="00F576B1"/>
    <w:rsid w:val="00F60E95"/>
    <w:rsid w:val="00F638AA"/>
    <w:rsid w:val="00F65DBF"/>
    <w:rsid w:val="00F67254"/>
    <w:rsid w:val="00F70563"/>
    <w:rsid w:val="00F8271D"/>
    <w:rsid w:val="00F93DB5"/>
    <w:rsid w:val="00F940BC"/>
    <w:rsid w:val="00FA13CB"/>
    <w:rsid w:val="00FA5D25"/>
    <w:rsid w:val="00FA7537"/>
    <w:rsid w:val="00FB0A48"/>
    <w:rsid w:val="00FB146B"/>
    <w:rsid w:val="00FC11ED"/>
    <w:rsid w:val="00FC35D3"/>
    <w:rsid w:val="00FD2C32"/>
    <w:rsid w:val="00FD4F47"/>
    <w:rsid w:val="00FD528E"/>
    <w:rsid w:val="00FE001B"/>
    <w:rsid w:val="00FE1745"/>
    <w:rsid w:val="00FF4377"/>
    <w:rsid w:val="00FF4725"/>
    <w:rsid w:val="00FF4A6F"/>
    <w:rsid w:val="00FF5949"/>
    <w:rsid w:val="00FF5C34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E3E6F6"/>
  <w15:chartTrackingRefBased/>
  <w15:docId w15:val="{DFA4B6F2-F113-43B1-A02B-7E47ACC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8C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8CD"/>
    <w:pPr>
      <w:keepNext/>
      <w:keepLines/>
      <w:spacing w:before="240" w:after="0" w:line="240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ststyle">
    <w:name w:val="Test style"/>
    <w:uiPriority w:val="99"/>
    <w:rsid w:val="00FF5C3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108CD"/>
    <w:rPr>
      <w:rFonts w:eastAsiaTheme="majorEastAsia" w:cstheme="majorBidi"/>
      <w:color w:val="2F5496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A12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27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27B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27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3B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B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BA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B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BA5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E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9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17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9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61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213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88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CPAMServiceSpec</b:Tag>
    <b:SourceType>InternetSite</b:SourceType>
    <b:Guid>{7B077CF1-88DD-4830-853A-1AD17D986A9A}</b:Guid>
    <b:URL>https://tas.health.nz/assets/Publications/Pharmacy-Documents/Services/CPAMS/Documentation/CPAM-Service-Specification-September-2013-FINAL.pdf</b:URL>
    <b:Title>Community Pharmacy Anti-Coagulation Management Services Service Specification</b:Title>
    <b:RefOrder>1</b:RefOrder>
  </b:Source>
  <b:Source>
    <b:Tag>Sta</b:Tag>
    <b:SourceType>InternetSite</b:SourceType>
    <b:Guid>{20ECF5E3-5646-4B33-B3BC-46566CA3BADC}</b:Guid>
    <b:Title>Standing orders for the management of warfarin</b:Title>
    <b:URL>https://tas.health.nz/assets/Publications/Pharmacy-Documents/Services/CPAMS/Documentation/CPAMS-standing-orders-V2.2-October-2013-FINAL.pdf</b:URL>
    <b:RefOrder>2</b:RefOrder>
  </b:Source>
  <b:Source>
    <b:Tag>Sta1</b:Tag>
    <b:SourceType>InternetSite</b:SourceType>
    <b:Guid>{37F471BA-9152-48CE-87B6-32D54C2F5A6B}</b:Guid>
    <b:Title>Standard operating procedure for community pharmacy anticoagulation management (CPAM) services</b:Title>
    <b:URL>https://tas.health.nz/assets/Publications/Pharmacy-Documents/Services/CPAMS/Documentation/CPAMS-Standard-Operating-Procedure-V1.3-FINAL.pdf</b:URL>
    <b:RefOrder>3</b:RefOrder>
  </b:Source>
  <b:Source>
    <b:Tag>Coa</b:Tag>
    <b:SourceType>InternetSite</b:SourceType>
    <b:Guid>{B6170E98-D568-4FBC-907A-5CF862B45D12}</b:Guid>
    <b:Title>CoaguChek XS Plus System Operator’s Manual</b:Title>
    <b:URL>https://diagnostics.roche.com/content/dam/diagnostics/us/en/resource-center/CoaguChek-XS-Plus-Operators-Manual.pdf</b:URL>
    <b:RefOrder>4</b:RefOrder>
  </b:Source>
  <b:Source>
    <b:Tag>Coa1</b:Tag>
    <b:SourceType>InternetSite</b:SourceType>
    <b:Guid>{2A017097-DCDD-4779-B221-8C630EB1D84B}</b:Guid>
    <b:Title>CoaguChek XS Plus</b:Title>
    <b:URL>https://www.youtube.com/watch?v=7OWsByNo9Bc</b:URL>
    <b:RefOrder>5</b:RefOrder>
  </b:Source>
  <b:Source>
    <b:Tag>INROnline</b:Tag>
    <b:SourceType>InternetSite</b:SourceType>
    <b:Guid>{8CF7D149-0BA7-451A-AD08-5EEC6ECE3E90}</b:Guid>
    <b:URL>http://inronline.net/covid-19-information-for-pharmacists/</b:URL>
    <b:Title>INROnline – COVID-19 information for pharmacists</b:Title>
    <b:RefOrder>6</b:RefOrder>
  </b:Source>
  <b:Source>
    <b:Tag>COV</b:Tag>
    <b:SourceType>InternetSite</b:SourceType>
    <b:Guid>{FF5A1C15-E8FF-46B1-A2A8-73551342FCED}</b:Guid>
    <b:Title>COVID-19 Interim guide for PPE selection to protect primary and community health and disability care workers</b:Title>
    <b:URL>https://www.health.govt.nz/system/files/documents/pages/hp7716_-_ppe_use_in_community_healthcare_settings_v2_3dec.pdf</b:URL>
    <b:RefOrder>7</b:RefOrder>
  </b:Source>
</b:Sources>
</file>

<file path=customXml/itemProps1.xml><?xml version="1.0" encoding="utf-8"?>
<ds:datastoreItem xmlns:ds="http://schemas.openxmlformats.org/officeDocument/2006/customXml" ds:itemID="{C7260B5F-34E2-4296-859A-09F7E8D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Zheng</dc:creator>
  <cp:keywords/>
  <dc:description/>
  <cp:lastModifiedBy>Mandy Gyles</cp:lastModifiedBy>
  <cp:revision>2</cp:revision>
  <cp:lastPrinted>2022-01-26T19:49:00Z</cp:lastPrinted>
  <dcterms:created xsi:type="dcterms:W3CDTF">2022-02-04T03:35:00Z</dcterms:created>
  <dcterms:modified xsi:type="dcterms:W3CDTF">2022-02-04T03:35:00Z</dcterms:modified>
</cp:coreProperties>
</file>