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3522" w14:textId="59F7B11F" w:rsidR="00A627CB" w:rsidRPr="002E3F42" w:rsidRDefault="004E2FAB" w:rsidP="00BE5DA0">
      <w:pPr>
        <w:pStyle w:val="Title"/>
        <w:spacing w:before="1440"/>
        <w:ind w:right="403"/>
        <w:rPr>
          <w:color w:val="auto"/>
        </w:rPr>
      </w:pPr>
      <w:bookmarkStart w:id="0" w:name="_Toc54657572"/>
      <w:bookmarkStart w:id="1" w:name="_Toc54694481"/>
      <w:bookmarkStart w:id="2" w:name="_Toc54705679"/>
      <w:bookmarkStart w:id="3" w:name="_Toc54773379"/>
      <w:bookmarkStart w:id="4" w:name="_Toc54793938"/>
      <w:bookmarkStart w:id="5" w:name="_Toc54794789"/>
      <w:bookmarkStart w:id="6" w:name="_Toc90411181"/>
      <w:r w:rsidRPr="002E3F42">
        <w:rPr>
          <w:color w:val="auto"/>
        </w:rPr>
        <w:t xml:space="preserve">Aotearoa </w:t>
      </w:r>
      <w:r w:rsidR="00A11ECE" w:rsidRPr="002E3F42">
        <w:rPr>
          <w:color w:val="auto"/>
        </w:rPr>
        <w:t xml:space="preserve">New Zealand’s </w:t>
      </w:r>
      <w:r w:rsidR="00A62367" w:rsidRPr="002E3F42">
        <w:rPr>
          <w:color w:val="auto"/>
        </w:rPr>
        <w:br/>
      </w:r>
      <w:r w:rsidR="00A11ECE" w:rsidRPr="002E3F42">
        <w:rPr>
          <w:color w:val="auto"/>
        </w:rPr>
        <w:t xml:space="preserve">COVID-19 Surveillance </w:t>
      </w:r>
      <w:r w:rsidR="00715AE4" w:rsidRPr="002E3F42">
        <w:rPr>
          <w:color w:val="auto"/>
        </w:rPr>
        <w:t>Strategy</w:t>
      </w:r>
      <w:bookmarkEnd w:id="0"/>
      <w:bookmarkEnd w:id="1"/>
      <w:bookmarkEnd w:id="2"/>
      <w:bookmarkEnd w:id="3"/>
      <w:bookmarkEnd w:id="4"/>
      <w:bookmarkEnd w:id="5"/>
      <w:bookmarkEnd w:id="6"/>
    </w:p>
    <w:p w14:paraId="43B58159" w14:textId="69692B1E" w:rsidR="00B65A65" w:rsidRPr="00363B40" w:rsidRDefault="004E3583" w:rsidP="00363B40">
      <w:pPr>
        <w:ind w:right="402"/>
        <w:rPr>
          <w:b/>
          <w:bCs/>
          <w:sz w:val="28"/>
          <w:szCs w:val="28"/>
        </w:rPr>
      </w:pPr>
      <w:r>
        <w:rPr>
          <w:b/>
          <w:bCs/>
          <w:sz w:val="28"/>
          <w:szCs w:val="28"/>
        </w:rPr>
        <w:t>Effective December</w:t>
      </w:r>
      <w:r w:rsidR="005C504A" w:rsidRPr="0065477B">
        <w:rPr>
          <w:b/>
          <w:bCs/>
          <w:sz w:val="28"/>
          <w:szCs w:val="28"/>
        </w:rPr>
        <w:t xml:space="preserve"> 2021</w:t>
      </w:r>
    </w:p>
    <w:tbl>
      <w:tblPr>
        <w:tblStyle w:val="TableGrid"/>
        <w:tblW w:w="0" w:type="auto"/>
        <w:tblLook w:val="04A0" w:firstRow="1" w:lastRow="0" w:firstColumn="1" w:lastColumn="0" w:noHBand="0" w:noVBand="1"/>
      </w:tblPr>
      <w:tblGrid>
        <w:gridCol w:w="4879"/>
        <w:gridCol w:w="4880"/>
      </w:tblGrid>
      <w:tr w:rsidR="00363B40" w:rsidRPr="00C477DF" w14:paraId="38659F43" w14:textId="77777777" w:rsidTr="007A6088">
        <w:tc>
          <w:tcPr>
            <w:tcW w:w="4879" w:type="dxa"/>
          </w:tcPr>
          <w:p w14:paraId="4F892ADC" w14:textId="77777777" w:rsidR="00363B40" w:rsidRPr="00363B40" w:rsidRDefault="00363B40" w:rsidP="007A6088">
            <w:pPr>
              <w:rPr>
                <w:rFonts w:cs="Segoe UI"/>
              </w:rPr>
            </w:pPr>
            <w:r w:rsidRPr="00363B40">
              <w:rPr>
                <w:rFonts w:cs="Segoe UI"/>
              </w:rPr>
              <w:t>Previous versions</w:t>
            </w:r>
          </w:p>
        </w:tc>
        <w:tc>
          <w:tcPr>
            <w:tcW w:w="4880" w:type="dxa"/>
          </w:tcPr>
          <w:p w14:paraId="5C3E1183" w14:textId="77777777" w:rsidR="00363B40" w:rsidRPr="00363B40" w:rsidRDefault="00363B40" w:rsidP="007A6088">
            <w:pPr>
              <w:rPr>
                <w:rFonts w:cs="Segoe UI"/>
              </w:rPr>
            </w:pPr>
            <w:r w:rsidRPr="00363B40">
              <w:rPr>
                <w:rFonts w:cs="Segoe UI"/>
              </w:rPr>
              <w:t>July – December 2021</w:t>
            </w:r>
          </w:p>
          <w:p w14:paraId="5432B564" w14:textId="5DEBC189" w:rsidR="00363B40" w:rsidRPr="00363B40" w:rsidRDefault="00363B40" w:rsidP="007A6088">
            <w:pPr>
              <w:rPr>
                <w:rFonts w:cs="Segoe UI"/>
              </w:rPr>
            </w:pPr>
            <w:r w:rsidRPr="00363B40">
              <w:rPr>
                <w:rFonts w:cs="Segoe UI"/>
              </w:rPr>
              <w:t>Januar</w:t>
            </w:r>
            <w:r w:rsidR="002F77D2">
              <w:rPr>
                <w:rFonts w:cs="Segoe UI"/>
              </w:rPr>
              <w:t>y</w:t>
            </w:r>
            <w:r w:rsidRPr="00363B40">
              <w:rPr>
                <w:rFonts w:cs="Segoe UI"/>
              </w:rPr>
              <w:t xml:space="preserve"> – June 2021</w:t>
            </w:r>
          </w:p>
        </w:tc>
      </w:tr>
    </w:tbl>
    <w:p w14:paraId="209F8DCD" w14:textId="0AE65EF1" w:rsidR="00630317" w:rsidRPr="0065477B" w:rsidRDefault="00630317" w:rsidP="00FA1AA4">
      <w:pPr>
        <w:pStyle w:val="TOCHeading"/>
        <w:ind w:right="402"/>
        <w:rPr>
          <w:rFonts w:ascii="Segoe UI" w:eastAsia="Times New Roman" w:hAnsi="Segoe UI" w:cs="Times New Roman"/>
          <w:color w:val="auto"/>
          <w:sz w:val="21"/>
          <w:szCs w:val="20"/>
          <w:lang w:val="en-NZ" w:eastAsia="en-GB"/>
        </w:rPr>
      </w:pPr>
      <w:r w:rsidRPr="0065477B">
        <w:rPr>
          <w:rFonts w:ascii="Segoe UI" w:eastAsia="Times New Roman" w:hAnsi="Segoe UI" w:cs="Times New Roman"/>
          <w:color w:val="auto"/>
          <w:sz w:val="21"/>
          <w:szCs w:val="20"/>
          <w:lang w:val="en-NZ" w:eastAsia="en-GB"/>
        </w:rPr>
        <w:br w:type="page"/>
      </w:r>
    </w:p>
    <w:sdt>
      <w:sdtPr>
        <w:rPr>
          <w:rFonts w:ascii="Segoe UI" w:eastAsia="Times New Roman" w:hAnsi="Segoe UI" w:cs="Segoe UI"/>
          <w:b/>
          <w:bCs/>
          <w:color w:val="auto"/>
          <w:sz w:val="21"/>
          <w:szCs w:val="20"/>
          <w:lang w:val="en-NZ" w:eastAsia="en-GB"/>
        </w:rPr>
        <w:id w:val="-1804930307"/>
        <w:docPartObj>
          <w:docPartGallery w:val="Table of Contents"/>
          <w:docPartUnique/>
        </w:docPartObj>
      </w:sdtPr>
      <w:sdtEndPr>
        <w:rPr>
          <w:rFonts w:cs="Times New Roman"/>
          <w:noProof/>
        </w:rPr>
      </w:sdtEndPr>
      <w:sdtContent>
        <w:p w14:paraId="4A89B6DC" w14:textId="3CC1C82F" w:rsidR="00FA1AA4" w:rsidRPr="002E3F42" w:rsidRDefault="00A11ECE" w:rsidP="00FA1AA4">
          <w:pPr>
            <w:pStyle w:val="TOCHeading"/>
            <w:ind w:right="402"/>
            <w:rPr>
              <w:rFonts w:ascii="Segoe UI" w:hAnsi="Segoe UI" w:cs="Segoe UI"/>
              <w:b/>
              <w:bCs/>
              <w:color w:val="auto"/>
            </w:rPr>
          </w:pPr>
          <w:r w:rsidRPr="002E3F42">
            <w:rPr>
              <w:rFonts w:ascii="Segoe UI" w:hAnsi="Segoe UI" w:cs="Segoe UI"/>
              <w:b/>
              <w:bCs/>
              <w:color w:val="auto"/>
            </w:rPr>
            <w:t>Contents</w:t>
          </w:r>
        </w:p>
        <w:p w14:paraId="7129754F" w14:textId="77777777" w:rsidR="00DA75E2" w:rsidRPr="00DA75E2" w:rsidRDefault="00DA75E2" w:rsidP="00DA75E2">
          <w:pPr>
            <w:rPr>
              <w:lang w:val="en-US" w:eastAsia="en-US"/>
            </w:rPr>
          </w:pPr>
        </w:p>
        <w:p w14:paraId="233C9466" w14:textId="29BEC242" w:rsidR="002171AA" w:rsidRDefault="00A11ECE">
          <w:pPr>
            <w:pStyle w:val="TOC1"/>
            <w:rPr>
              <w:rFonts w:asciiTheme="minorHAnsi" w:eastAsiaTheme="minorEastAsia" w:hAnsiTheme="minorHAnsi" w:cstheme="minorBidi"/>
              <w:noProof/>
              <w:sz w:val="22"/>
              <w:szCs w:val="22"/>
              <w:lang w:eastAsia="en-NZ"/>
            </w:rPr>
          </w:pPr>
          <w:r w:rsidRPr="0065477B">
            <w:fldChar w:fldCharType="begin"/>
          </w:r>
          <w:r w:rsidRPr="0065477B">
            <w:instrText xml:space="preserve"> TOC \o "1-3" \h \z \u </w:instrText>
          </w:r>
          <w:r w:rsidRPr="0065477B">
            <w:fldChar w:fldCharType="separate"/>
          </w:r>
          <w:hyperlink w:anchor="_Toc90411181" w:history="1">
            <w:r w:rsidR="002171AA" w:rsidRPr="00EF74DF">
              <w:rPr>
                <w:rStyle w:val="Hyperlink"/>
                <w:noProof/>
              </w:rPr>
              <w:t>Aotearoa New Zealand’s  COVID-19 Surveillance Strategy</w:t>
            </w:r>
            <w:r w:rsidR="002171AA">
              <w:rPr>
                <w:noProof/>
                <w:webHidden/>
              </w:rPr>
              <w:tab/>
            </w:r>
            <w:r w:rsidR="002171AA">
              <w:rPr>
                <w:noProof/>
                <w:webHidden/>
              </w:rPr>
              <w:fldChar w:fldCharType="begin"/>
            </w:r>
            <w:r w:rsidR="002171AA">
              <w:rPr>
                <w:noProof/>
                <w:webHidden/>
              </w:rPr>
              <w:instrText xml:space="preserve"> PAGEREF _Toc90411181 \h </w:instrText>
            </w:r>
            <w:r w:rsidR="002171AA">
              <w:rPr>
                <w:noProof/>
                <w:webHidden/>
              </w:rPr>
            </w:r>
            <w:r w:rsidR="002171AA">
              <w:rPr>
                <w:noProof/>
                <w:webHidden/>
              </w:rPr>
              <w:fldChar w:fldCharType="separate"/>
            </w:r>
            <w:r w:rsidR="00CB3EB2">
              <w:rPr>
                <w:noProof/>
                <w:webHidden/>
              </w:rPr>
              <w:t>1</w:t>
            </w:r>
            <w:r w:rsidR="002171AA">
              <w:rPr>
                <w:noProof/>
                <w:webHidden/>
              </w:rPr>
              <w:fldChar w:fldCharType="end"/>
            </w:r>
          </w:hyperlink>
        </w:p>
        <w:p w14:paraId="6615E3BF" w14:textId="206EB554" w:rsidR="002171AA" w:rsidRDefault="00B108D1">
          <w:pPr>
            <w:pStyle w:val="TOC2"/>
            <w:rPr>
              <w:rFonts w:asciiTheme="minorHAnsi" w:eastAsiaTheme="minorEastAsia" w:hAnsiTheme="minorHAnsi" w:cstheme="minorBidi"/>
              <w:noProof/>
              <w:sz w:val="22"/>
              <w:szCs w:val="22"/>
              <w:lang w:eastAsia="en-NZ"/>
            </w:rPr>
          </w:pPr>
          <w:hyperlink w:anchor="_Toc90411182" w:history="1">
            <w:r w:rsidR="002171AA" w:rsidRPr="00EF74DF">
              <w:rPr>
                <w:rStyle w:val="Hyperlink"/>
                <w:b/>
                <w:bCs/>
                <w:noProof/>
              </w:rPr>
              <w:t>Purpose</w:t>
            </w:r>
            <w:r w:rsidR="002171AA">
              <w:rPr>
                <w:noProof/>
                <w:webHidden/>
              </w:rPr>
              <w:tab/>
            </w:r>
            <w:r w:rsidR="002171AA">
              <w:rPr>
                <w:noProof/>
                <w:webHidden/>
              </w:rPr>
              <w:fldChar w:fldCharType="begin"/>
            </w:r>
            <w:r w:rsidR="002171AA">
              <w:rPr>
                <w:noProof/>
                <w:webHidden/>
              </w:rPr>
              <w:instrText xml:space="preserve"> PAGEREF _Toc90411182 \h </w:instrText>
            </w:r>
            <w:r w:rsidR="002171AA">
              <w:rPr>
                <w:noProof/>
                <w:webHidden/>
              </w:rPr>
            </w:r>
            <w:r w:rsidR="002171AA">
              <w:rPr>
                <w:noProof/>
                <w:webHidden/>
              </w:rPr>
              <w:fldChar w:fldCharType="separate"/>
            </w:r>
            <w:r w:rsidR="00CB3EB2">
              <w:rPr>
                <w:noProof/>
                <w:webHidden/>
              </w:rPr>
              <w:t>3</w:t>
            </w:r>
            <w:r w:rsidR="002171AA">
              <w:rPr>
                <w:noProof/>
                <w:webHidden/>
              </w:rPr>
              <w:fldChar w:fldCharType="end"/>
            </w:r>
          </w:hyperlink>
        </w:p>
        <w:p w14:paraId="70CEF64B" w14:textId="768E0CD9" w:rsidR="002171AA" w:rsidRDefault="00B108D1">
          <w:pPr>
            <w:pStyle w:val="TOC2"/>
            <w:rPr>
              <w:rFonts w:asciiTheme="minorHAnsi" w:eastAsiaTheme="minorEastAsia" w:hAnsiTheme="minorHAnsi" w:cstheme="minorBidi"/>
              <w:noProof/>
              <w:sz w:val="22"/>
              <w:szCs w:val="22"/>
              <w:lang w:eastAsia="en-NZ"/>
            </w:rPr>
          </w:pPr>
          <w:hyperlink w:anchor="_Toc90411183" w:history="1">
            <w:r w:rsidR="002171AA" w:rsidRPr="00EF74DF">
              <w:rPr>
                <w:rStyle w:val="Hyperlink"/>
                <w:b/>
                <w:bCs/>
                <w:noProof/>
              </w:rPr>
              <w:t>Background</w:t>
            </w:r>
            <w:r w:rsidR="002171AA">
              <w:rPr>
                <w:noProof/>
                <w:webHidden/>
              </w:rPr>
              <w:tab/>
            </w:r>
            <w:r w:rsidR="002171AA">
              <w:rPr>
                <w:noProof/>
                <w:webHidden/>
              </w:rPr>
              <w:fldChar w:fldCharType="begin"/>
            </w:r>
            <w:r w:rsidR="002171AA">
              <w:rPr>
                <w:noProof/>
                <w:webHidden/>
              </w:rPr>
              <w:instrText xml:space="preserve"> PAGEREF _Toc90411183 \h </w:instrText>
            </w:r>
            <w:r w:rsidR="002171AA">
              <w:rPr>
                <w:noProof/>
                <w:webHidden/>
              </w:rPr>
            </w:r>
            <w:r w:rsidR="002171AA">
              <w:rPr>
                <w:noProof/>
                <w:webHidden/>
              </w:rPr>
              <w:fldChar w:fldCharType="separate"/>
            </w:r>
            <w:r w:rsidR="00CB3EB2">
              <w:rPr>
                <w:noProof/>
                <w:webHidden/>
              </w:rPr>
              <w:t>4</w:t>
            </w:r>
            <w:r w:rsidR="002171AA">
              <w:rPr>
                <w:noProof/>
                <w:webHidden/>
              </w:rPr>
              <w:fldChar w:fldCharType="end"/>
            </w:r>
          </w:hyperlink>
        </w:p>
        <w:p w14:paraId="4ECB8844" w14:textId="26065904" w:rsidR="002171AA" w:rsidRDefault="00B108D1">
          <w:pPr>
            <w:pStyle w:val="TOC2"/>
            <w:rPr>
              <w:rFonts w:asciiTheme="minorHAnsi" w:eastAsiaTheme="minorEastAsia" w:hAnsiTheme="minorHAnsi" w:cstheme="minorBidi"/>
              <w:noProof/>
              <w:sz w:val="22"/>
              <w:szCs w:val="22"/>
              <w:lang w:eastAsia="en-NZ"/>
            </w:rPr>
          </w:pPr>
          <w:hyperlink w:anchor="_Toc90411184" w:history="1">
            <w:r w:rsidR="002171AA" w:rsidRPr="00EF74DF">
              <w:rPr>
                <w:rStyle w:val="Hyperlink"/>
                <w:b/>
                <w:bCs/>
                <w:noProof/>
              </w:rPr>
              <w:t>Surveillance Objectives</w:t>
            </w:r>
            <w:r w:rsidR="002171AA">
              <w:rPr>
                <w:noProof/>
                <w:webHidden/>
              </w:rPr>
              <w:tab/>
            </w:r>
            <w:r w:rsidR="002171AA">
              <w:rPr>
                <w:noProof/>
                <w:webHidden/>
              </w:rPr>
              <w:fldChar w:fldCharType="begin"/>
            </w:r>
            <w:r w:rsidR="002171AA">
              <w:rPr>
                <w:noProof/>
                <w:webHidden/>
              </w:rPr>
              <w:instrText xml:space="preserve"> PAGEREF _Toc90411184 \h </w:instrText>
            </w:r>
            <w:r w:rsidR="002171AA">
              <w:rPr>
                <w:noProof/>
                <w:webHidden/>
              </w:rPr>
            </w:r>
            <w:r w:rsidR="002171AA">
              <w:rPr>
                <w:noProof/>
                <w:webHidden/>
              </w:rPr>
              <w:fldChar w:fldCharType="separate"/>
            </w:r>
            <w:r w:rsidR="00CB3EB2">
              <w:rPr>
                <w:noProof/>
                <w:webHidden/>
              </w:rPr>
              <w:t>5</w:t>
            </w:r>
            <w:r w:rsidR="002171AA">
              <w:rPr>
                <w:noProof/>
                <w:webHidden/>
              </w:rPr>
              <w:fldChar w:fldCharType="end"/>
            </w:r>
          </w:hyperlink>
        </w:p>
        <w:p w14:paraId="71377DA1" w14:textId="5E116A30" w:rsidR="002171AA" w:rsidRDefault="00B108D1">
          <w:pPr>
            <w:pStyle w:val="TOC2"/>
            <w:rPr>
              <w:rFonts w:asciiTheme="minorHAnsi" w:eastAsiaTheme="minorEastAsia" w:hAnsiTheme="minorHAnsi" w:cstheme="minorBidi"/>
              <w:noProof/>
              <w:sz w:val="22"/>
              <w:szCs w:val="22"/>
              <w:lang w:eastAsia="en-NZ"/>
            </w:rPr>
          </w:pPr>
          <w:hyperlink w:anchor="_Toc90411185" w:history="1">
            <w:r w:rsidR="002171AA" w:rsidRPr="00EF74DF">
              <w:rPr>
                <w:rStyle w:val="Hyperlink"/>
                <w:b/>
                <w:bCs/>
                <w:noProof/>
              </w:rPr>
              <w:t>Te Tiriti o Waitangi and Equity Obligations</w:t>
            </w:r>
            <w:r w:rsidR="002171AA">
              <w:rPr>
                <w:noProof/>
                <w:webHidden/>
              </w:rPr>
              <w:tab/>
            </w:r>
            <w:r w:rsidR="002171AA">
              <w:rPr>
                <w:noProof/>
                <w:webHidden/>
              </w:rPr>
              <w:fldChar w:fldCharType="begin"/>
            </w:r>
            <w:r w:rsidR="002171AA">
              <w:rPr>
                <w:noProof/>
                <w:webHidden/>
              </w:rPr>
              <w:instrText xml:space="preserve"> PAGEREF _Toc90411185 \h </w:instrText>
            </w:r>
            <w:r w:rsidR="002171AA">
              <w:rPr>
                <w:noProof/>
                <w:webHidden/>
              </w:rPr>
            </w:r>
            <w:r w:rsidR="002171AA">
              <w:rPr>
                <w:noProof/>
                <w:webHidden/>
              </w:rPr>
              <w:fldChar w:fldCharType="separate"/>
            </w:r>
            <w:r w:rsidR="00CB3EB2">
              <w:rPr>
                <w:noProof/>
                <w:webHidden/>
              </w:rPr>
              <w:t>8</w:t>
            </w:r>
            <w:r w:rsidR="002171AA">
              <w:rPr>
                <w:noProof/>
                <w:webHidden/>
              </w:rPr>
              <w:fldChar w:fldCharType="end"/>
            </w:r>
          </w:hyperlink>
        </w:p>
        <w:p w14:paraId="78DB7D06" w14:textId="37E70EDB" w:rsidR="002171AA" w:rsidRDefault="00B108D1">
          <w:pPr>
            <w:pStyle w:val="TOC3"/>
            <w:rPr>
              <w:rFonts w:asciiTheme="minorHAnsi" w:eastAsiaTheme="minorEastAsia" w:hAnsiTheme="minorHAnsi" w:cstheme="minorBidi"/>
              <w:noProof/>
              <w:sz w:val="22"/>
              <w:szCs w:val="22"/>
              <w:lang w:eastAsia="en-NZ"/>
            </w:rPr>
          </w:pPr>
          <w:hyperlink w:anchor="_Toc90411186" w:history="1">
            <w:r w:rsidR="002171AA" w:rsidRPr="00EF74DF">
              <w:rPr>
                <w:rStyle w:val="Hyperlink"/>
                <w:noProof/>
              </w:rPr>
              <w:t>Principles for surveillance in the context of Te Tiriti o Waitangi</w:t>
            </w:r>
            <w:r w:rsidR="002171AA">
              <w:rPr>
                <w:noProof/>
                <w:webHidden/>
              </w:rPr>
              <w:tab/>
            </w:r>
            <w:r w:rsidR="002171AA">
              <w:rPr>
                <w:noProof/>
                <w:webHidden/>
              </w:rPr>
              <w:fldChar w:fldCharType="begin"/>
            </w:r>
            <w:r w:rsidR="002171AA">
              <w:rPr>
                <w:noProof/>
                <w:webHidden/>
              </w:rPr>
              <w:instrText xml:space="preserve"> PAGEREF _Toc90411186 \h </w:instrText>
            </w:r>
            <w:r w:rsidR="002171AA">
              <w:rPr>
                <w:noProof/>
                <w:webHidden/>
              </w:rPr>
            </w:r>
            <w:r w:rsidR="002171AA">
              <w:rPr>
                <w:noProof/>
                <w:webHidden/>
              </w:rPr>
              <w:fldChar w:fldCharType="separate"/>
            </w:r>
            <w:r w:rsidR="00CB3EB2">
              <w:rPr>
                <w:noProof/>
                <w:webHidden/>
              </w:rPr>
              <w:t>8</w:t>
            </w:r>
            <w:r w:rsidR="002171AA">
              <w:rPr>
                <w:noProof/>
                <w:webHidden/>
              </w:rPr>
              <w:fldChar w:fldCharType="end"/>
            </w:r>
          </w:hyperlink>
        </w:p>
        <w:p w14:paraId="175852FB" w14:textId="29DE8561" w:rsidR="002171AA" w:rsidRDefault="00B108D1">
          <w:pPr>
            <w:pStyle w:val="TOC3"/>
            <w:rPr>
              <w:rFonts w:asciiTheme="minorHAnsi" w:eastAsiaTheme="minorEastAsia" w:hAnsiTheme="minorHAnsi" w:cstheme="minorBidi"/>
              <w:noProof/>
              <w:sz w:val="22"/>
              <w:szCs w:val="22"/>
              <w:lang w:eastAsia="en-NZ"/>
            </w:rPr>
          </w:pPr>
          <w:hyperlink w:anchor="_Toc90411187" w:history="1">
            <w:r w:rsidR="002171AA" w:rsidRPr="00EF74DF">
              <w:rPr>
                <w:rStyle w:val="Hyperlink"/>
                <w:noProof/>
              </w:rPr>
              <w:t>Community Engagement</w:t>
            </w:r>
            <w:r w:rsidR="002171AA">
              <w:rPr>
                <w:noProof/>
                <w:webHidden/>
              </w:rPr>
              <w:tab/>
            </w:r>
            <w:r w:rsidR="002171AA">
              <w:rPr>
                <w:noProof/>
                <w:webHidden/>
              </w:rPr>
              <w:fldChar w:fldCharType="begin"/>
            </w:r>
            <w:r w:rsidR="002171AA">
              <w:rPr>
                <w:noProof/>
                <w:webHidden/>
              </w:rPr>
              <w:instrText xml:space="preserve"> PAGEREF _Toc90411187 \h </w:instrText>
            </w:r>
            <w:r w:rsidR="002171AA">
              <w:rPr>
                <w:noProof/>
                <w:webHidden/>
              </w:rPr>
            </w:r>
            <w:r w:rsidR="002171AA">
              <w:rPr>
                <w:noProof/>
                <w:webHidden/>
              </w:rPr>
              <w:fldChar w:fldCharType="separate"/>
            </w:r>
            <w:r w:rsidR="00CB3EB2">
              <w:rPr>
                <w:noProof/>
                <w:webHidden/>
              </w:rPr>
              <w:t>9</w:t>
            </w:r>
            <w:r w:rsidR="002171AA">
              <w:rPr>
                <w:noProof/>
                <w:webHidden/>
              </w:rPr>
              <w:fldChar w:fldCharType="end"/>
            </w:r>
          </w:hyperlink>
        </w:p>
        <w:p w14:paraId="32742E24" w14:textId="67151B04" w:rsidR="002171AA" w:rsidRDefault="00B108D1">
          <w:pPr>
            <w:pStyle w:val="TOC3"/>
            <w:rPr>
              <w:rFonts w:asciiTheme="minorHAnsi" w:eastAsiaTheme="minorEastAsia" w:hAnsiTheme="minorHAnsi" w:cstheme="minorBidi"/>
              <w:noProof/>
              <w:sz w:val="22"/>
              <w:szCs w:val="22"/>
              <w:lang w:eastAsia="en-NZ"/>
            </w:rPr>
          </w:pPr>
          <w:hyperlink w:anchor="_Toc90411188" w:history="1">
            <w:r w:rsidR="002171AA" w:rsidRPr="00EF74DF">
              <w:rPr>
                <w:rStyle w:val="Hyperlink"/>
                <w:noProof/>
              </w:rPr>
              <w:t>Pacific Peoples in the Surveillance Strategy</w:t>
            </w:r>
            <w:r w:rsidR="002171AA">
              <w:rPr>
                <w:noProof/>
                <w:webHidden/>
              </w:rPr>
              <w:tab/>
            </w:r>
            <w:r w:rsidR="002171AA">
              <w:rPr>
                <w:noProof/>
                <w:webHidden/>
              </w:rPr>
              <w:fldChar w:fldCharType="begin"/>
            </w:r>
            <w:r w:rsidR="002171AA">
              <w:rPr>
                <w:noProof/>
                <w:webHidden/>
              </w:rPr>
              <w:instrText xml:space="preserve"> PAGEREF _Toc90411188 \h </w:instrText>
            </w:r>
            <w:r w:rsidR="002171AA">
              <w:rPr>
                <w:noProof/>
                <w:webHidden/>
              </w:rPr>
            </w:r>
            <w:r w:rsidR="002171AA">
              <w:rPr>
                <w:noProof/>
                <w:webHidden/>
              </w:rPr>
              <w:fldChar w:fldCharType="separate"/>
            </w:r>
            <w:r w:rsidR="00CB3EB2">
              <w:rPr>
                <w:noProof/>
                <w:webHidden/>
              </w:rPr>
              <w:t>9</w:t>
            </w:r>
            <w:r w:rsidR="002171AA">
              <w:rPr>
                <w:noProof/>
                <w:webHidden/>
              </w:rPr>
              <w:fldChar w:fldCharType="end"/>
            </w:r>
          </w:hyperlink>
        </w:p>
        <w:p w14:paraId="2E1AF571" w14:textId="17C4A677" w:rsidR="002171AA" w:rsidRDefault="00B108D1">
          <w:pPr>
            <w:pStyle w:val="TOC3"/>
            <w:rPr>
              <w:rFonts w:asciiTheme="minorHAnsi" w:eastAsiaTheme="minorEastAsia" w:hAnsiTheme="minorHAnsi" w:cstheme="minorBidi"/>
              <w:noProof/>
              <w:sz w:val="22"/>
              <w:szCs w:val="22"/>
              <w:lang w:eastAsia="en-NZ"/>
            </w:rPr>
          </w:pPr>
          <w:hyperlink w:anchor="_Toc90411189" w:history="1">
            <w:r w:rsidR="002171AA" w:rsidRPr="00EF74DF">
              <w:rPr>
                <w:rStyle w:val="Hyperlink"/>
                <w:noProof/>
              </w:rPr>
              <w:t>Disabled Communities in the Surveillance Strategy</w:t>
            </w:r>
            <w:r w:rsidR="002171AA">
              <w:rPr>
                <w:noProof/>
                <w:webHidden/>
              </w:rPr>
              <w:tab/>
            </w:r>
            <w:r w:rsidR="002171AA">
              <w:rPr>
                <w:noProof/>
                <w:webHidden/>
              </w:rPr>
              <w:fldChar w:fldCharType="begin"/>
            </w:r>
            <w:r w:rsidR="002171AA">
              <w:rPr>
                <w:noProof/>
                <w:webHidden/>
              </w:rPr>
              <w:instrText xml:space="preserve"> PAGEREF _Toc90411189 \h </w:instrText>
            </w:r>
            <w:r w:rsidR="002171AA">
              <w:rPr>
                <w:noProof/>
                <w:webHidden/>
              </w:rPr>
            </w:r>
            <w:r w:rsidR="002171AA">
              <w:rPr>
                <w:noProof/>
                <w:webHidden/>
              </w:rPr>
              <w:fldChar w:fldCharType="separate"/>
            </w:r>
            <w:r w:rsidR="00CB3EB2">
              <w:rPr>
                <w:noProof/>
                <w:webHidden/>
              </w:rPr>
              <w:t>10</w:t>
            </w:r>
            <w:r w:rsidR="002171AA">
              <w:rPr>
                <w:noProof/>
                <w:webHidden/>
              </w:rPr>
              <w:fldChar w:fldCharType="end"/>
            </w:r>
          </w:hyperlink>
        </w:p>
        <w:p w14:paraId="5B46CC23" w14:textId="2F1612EB" w:rsidR="002171AA" w:rsidRDefault="00B108D1">
          <w:pPr>
            <w:pStyle w:val="TOC3"/>
            <w:rPr>
              <w:rFonts w:asciiTheme="minorHAnsi" w:eastAsiaTheme="minorEastAsia" w:hAnsiTheme="minorHAnsi" w:cstheme="minorBidi"/>
              <w:noProof/>
              <w:sz w:val="22"/>
              <w:szCs w:val="22"/>
              <w:lang w:eastAsia="en-NZ"/>
            </w:rPr>
          </w:pPr>
          <w:hyperlink w:anchor="_Toc90411190" w:history="1">
            <w:r w:rsidR="002171AA" w:rsidRPr="00EF74DF">
              <w:rPr>
                <w:rStyle w:val="Hyperlink"/>
                <w:noProof/>
              </w:rPr>
              <w:t>Other Vulnerable Populations in the Surveillance Strategy</w:t>
            </w:r>
            <w:r w:rsidR="002171AA">
              <w:rPr>
                <w:noProof/>
                <w:webHidden/>
              </w:rPr>
              <w:tab/>
            </w:r>
            <w:r w:rsidR="002171AA">
              <w:rPr>
                <w:noProof/>
                <w:webHidden/>
              </w:rPr>
              <w:fldChar w:fldCharType="begin"/>
            </w:r>
            <w:r w:rsidR="002171AA">
              <w:rPr>
                <w:noProof/>
                <w:webHidden/>
              </w:rPr>
              <w:instrText xml:space="preserve"> PAGEREF _Toc90411190 \h </w:instrText>
            </w:r>
            <w:r w:rsidR="002171AA">
              <w:rPr>
                <w:noProof/>
                <w:webHidden/>
              </w:rPr>
            </w:r>
            <w:r w:rsidR="002171AA">
              <w:rPr>
                <w:noProof/>
                <w:webHidden/>
              </w:rPr>
              <w:fldChar w:fldCharType="separate"/>
            </w:r>
            <w:r w:rsidR="00CB3EB2">
              <w:rPr>
                <w:noProof/>
                <w:webHidden/>
              </w:rPr>
              <w:t>10</w:t>
            </w:r>
            <w:r w:rsidR="002171AA">
              <w:rPr>
                <w:noProof/>
                <w:webHidden/>
              </w:rPr>
              <w:fldChar w:fldCharType="end"/>
            </w:r>
          </w:hyperlink>
        </w:p>
        <w:p w14:paraId="46123D9F" w14:textId="4F0E3F88" w:rsidR="002171AA" w:rsidRDefault="00B108D1">
          <w:pPr>
            <w:pStyle w:val="TOC2"/>
            <w:rPr>
              <w:rFonts w:asciiTheme="minorHAnsi" w:eastAsiaTheme="minorEastAsia" w:hAnsiTheme="minorHAnsi" w:cstheme="minorBidi"/>
              <w:noProof/>
              <w:sz w:val="22"/>
              <w:szCs w:val="22"/>
              <w:lang w:eastAsia="en-NZ"/>
            </w:rPr>
          </w:pPr>
          <w:hyperlink w:anchor="_Toc90411191" w:history="1">
            <w:r w:rsidR="002171AA" w:rsidRPr="00EF74DF">
              <w:rPr>
                <w:rStyle w:val="Hyperlink"/>
                <w:b/>
                <w:bCs/>
                <w:noProof/>
              </w:rPr>
              <w:t>Disease Surveillance Approach</w:t>
            </w:r>
            <w:r w:rsidR="002171AA">
              <w:rPr>
                <w:noProof/>
                <w:webHidden/>
              </w:rPr>
              <w:tab/>
            </w:r>
            <w:r w:rsidR="002171AA">
              <w:rPr>
                <w:noProof/>
                <w:webHidden/>
              </w:rPr>
              <w:fldChar w:fldCharType="begin"/>
            </w:r>
            <w:r w:rsidR="002171AA">
              <w:rPr>
                <w:noProof/>
                <w:webHidden/>
              </w:rPr>
              <w:instrText xml:space="preserve"> PAGEREF _Toc90411191 \h </w:instrText>
            </w:r>
            <w:r w:rsidR="002171AA">
              <w:rPr>
                <w:noProof/>
                <w:webHidden/>
              </w:rPr>
            </w:r>
            <w:r w:rsidR="002171AA">
              <w:rPr>
                <w:noProof/>
                <w:webHidden/>
              </w:rPr>
              <w:fldChar w:fldCharType="separate"/>
            </w:r>
            <w:r w:rsidR="00CB3EB2">
              <w:rPr>
                <w:noProof/>
                <w:webHidden/>
              </w:rPr>
              <w:t>10</w:t>
            </w:r>
            <w:r w:rsidR="002171AA">
              <w:rPr>
                <w:noProof/>
                <w:webHidden/>
              </w:rPr>
              <w:fldChar w:fldCharType="end"/>
            </w:r>
          </w:hyperlink>
        </w:p>
        <w:p w14:paraId="44D2CD9C" w14:textId="7CA8A80A" w:rsidR="002171AA" w:rsidRDefault="00B108D1">
          <w:pPr>
            <w:pStyle w:val="TOC2"/>
            <w:rPr>
              <w:rFonts w:asciiTheme="minorHAnsi" w:eastAsiaTheme="minorEastAsia" w:hAnsiTheme="minorHAnsi" w:cstheme="minorBidi"/>
              <w:noProof/>
              <w:sz w:val="22"/>
              <w:szCs w:val="22"/>
              <w:lang w:eastAsia="en-NZ"/>
            </w:rPr>
          </w:pPr>
          <w:hyperlink w:anchor="_Toc90411192" w:history="1">
            <w:r w:rsidR="002171AA" w:rsidRPr="00EF74DF">
              <w:rPr>
                <w:rStyle w:val="Hyperlink"/>
                <w:b/>
                <w:bCs/>
                <w:noProof/>
              </w:rPr>
              <w:t>Surveillance Systems</w:t>
            </w:r>
            <w:r w:rsidR="002171AA">
              <w:rPr>
                <w:noProof/>
                <w:webHidden/>
              </w:rPr>
              <w:tab/>
            </w:r>
            <w:r w:rsidR="002171AA">
              <w:rPr>
                <w:noProof/>
                <w:webHidden/>
              </w:rPr>
              <w:fldChar w:fldCharType="begin"/>
            </w:r>
            <w:r w:rsidR="002171AA">
              <w:rPr>
                <w:noProof/>
                <w:webHidden/>
              </w:rPr>
              <w:instrText xml:space="preserve"> PAGEREF _Toc90411192 \h </w:instrText>
            </w:r>
            <w:r w:rsidR="002171AA">
              <w:rPr>
                <w:noProof/>
                <w:webHidden/>
              </w:rPr>
            </w:r>
            <w:r w:rsidR="002171AA">
              <w:rPr>
                <w:noProof/>
                <w:webHidden/>
              </w:rPr>
              <w:fldChar w:fldCharType="separate"/>
            </w:r>
            <w:r w:rsidR="00CB3EB2">
              <w:rPr>
                <w:noProof/>
                <w:webHidden/>
              </w:rPr>
              <w:t>11</w:t>
            </w:r>
            <w:r w:rsidR="002171AA">
              <w:rPr>
                <w:noProof/>
                <w:webHidden/>
              </w:rPr>
              <w:fldChar w:fldCharType="end"/>
            </w:r>
          </w:hyperlink>
        </w:p>
        <w:p w14:paraId="6626B322" w14:textId="503B0B75" w:rsidR="002171AA" w:rsidRDefault="00B108D1">
          <w:pPr>
            <w:pStyle w:val="TOC3"/>
            <w:rPr>
              <w:rFonts w:asciiTheme="minorHAnsi" w:eastAsiaTheme="minorEastAsia" w:hAnsiTheme="minorHAnsi" w:cstheme="minorBidi"/>
              <w:noProof/>
              <w:sz w:val="22"/>
              <w:szCs w:val="22"/>
              <w:lang w:eastAsia="en-NZ"/>
            </w:rPr>
          </w:pPr>
          <w:hyperlink w:anchor="_Toc90411193" w:history="1">
            <w:r w:rsidR="002171AA" w:rsidRPr="00EF74DF">
              <w:rPr>
                <w:rStyle w:val="Hyperlink"/>
                <w:noProof/>
              </w:rPr>
              <w:t>Routine Surveillance Systems</w:t>
            </w:r>
            <w:r w:rsidR="002171AA">
              <w:rPr>
                <w:noProof/>
                <w:webHidden/>
              </w:rPr>
              <w:tab/>
            </w:r>
            <w:r w:rsidR="002171AA">
              <w:rPr>
                <w:noProof/>
                <w:webHidden/>
              </w:rPr>
              <w:fldChar w:fldCharType="begin"/>
            </w:r>
            <w:r w:rsidR="002171AA">
              <w:rPr>
                <w:noProof/>
                <w:webHidden/>
              </w:rPr>
              <w:instrText xml:space="preserve"> PAGEREF _Toc90411193 \h </w:instrText>
            </w:r>
            <w:r w:rsidR="002171AA">
              <w:rPr>
                <w:noProof/>
                <w:webHidden/>
              </w:rPr>
            </w:r>
            <w:r w:rsidR="002171AA">
              <w:rPr>
                <w:noProof/>
                <w:webHidden/>
              </w:rPr>
              <w:fldChar w:fldCharType="separate"/>
            </w:r>
            <w:r w:rsidR="00CB3EB2">
              <w:rPr>
                <w:noProof/>
                <w:webHidden/>
              </w:rPr>
              <w:t>11</w:t>
            </w:r>
            <w:r w:rsidR="002171AA">
              <w:rPr>
                <w:noProof/>
                <w:webHidden/>
              </w:rPr>
              <w:fldChar w:fldCharType="end"/>
            </w:r>
          </w:hyperlink>
        </w:p>
        <w:p w14:paraId="75B31AE8" w14:textId="43832F1F" w:rsidR="002171AA" w:rsidRDefault="00B108D1">
          <w:pPr>
            <w:pStyle w:val="TOC3"/>
            <w:rPr>
              <w:rFonts w:asciiTheme="minorHAnsi" w:eastAsiaTheme="minorEastAsia" w:hAnsiTheme="minorHAnsi" w:cstheme="minorBidi"/>
              <w:noProof/>
              <w:sz w:val="22"/>
              <w:szCs w:val="22"/>
              <w:lang w:eastAsia="en-NZ"/>
            </w:rPr>
          </w:pPr>
          <w:hyperlink w:anchor="_Toc90411194" w:history="1">
            <w:r w:rsidR="002171AA" w:rsidRPr="00EF74DF">
              <w:rPr>
                <w:rStyle w:val="Hyperlink"/>
                <w:noProof/>
              </w:rPr>
              <w:t>Border and international surveillance</w:t>
            </w:r>
            <w:r w:rsidR="002171AA">
              <w:rPr>
                <w:noProof/>
                <w:webHidden/>
              </w:rPr>
              <w:tab/>
            </w:r>
            <w:r w:rsidR="002171AA">
              <w:rPr>
                <w:noProof/>
                <w:webHidden/>
              </w:rPr>
              <w:fldChar w:fldCharType="begin"/>
            </w:r>
            <w:r w:rsidR="002171AA">
              <w:rPr>
                <w:noProof/>
                <w:webHidden/>
              </w:rPr>
              <w:instrText xml:space="preserve"> PAGEREF _Toc90411194 \h </w:instrText>
            </w:r>
            <w:r w:rsidR="002171AA">
              <w:rPr>
                <w:noProof/>
                <w:webHidden/>
              </w:rPr>
            </w:r>
            <w:r w:rsidR="002171AA">
              <w:rPr>
                <w:noProof/>
                <w:webHidden/>
              </w:rPr>
              <w:fldChar w:fldCharType="separate"/>
            </w:r>
            <w:r w:rsidR="00CB3EB2">
              <w:rPr>
                <w:noProof/>
                <w:webHidden/>
              </w:rPr>
              <w:t>12</w:t>
            </w:r>
            <w:r w:rsidR="002171AA">
              <w:rPr>
                <w:noProof/>
                <w:webHidden/>
              </w:rPr>
              <w:fldChar w:fldCharType="end"/>
            </w:r>
          </w:hyperlink>
        </w:p>
        <w:p w14:paraId="731C2446" w14:textId="76887AA6" w:rsidR="002171AA" w:rsidRDefault="00B108D1">
          <w:pPr>
            <w:pStyle w:val="TOC3"/>
            <w:rPr>
              <w:rFonts w:asciiTheme="minorHAnsi" w:eastAsiaTheme="minorEastAsia" w:hAnsiTheme="minorHAnsi" w:cstheme="minorBidi"/>
              <w:noProof/>
              <w:sz w:val="22"/>
              <w:szCs w:val="22"/>
              <w:lang w:eastAsia="en-NZ"/>
            </w:rPr>
          </w:pPr>
          <w:hyperlink w:anchor="_Toc90411195" w:history="1">
            <w:r w:rsidR="002171AA" w:rsidRPr="00EF74DF">
              <w:rPr>
                <w:rStyle w:val="Hyperlink"/>
                <w:noProof/>
              </w:rPr>
              <w:t>Syndromic and sentinel surveillance</w:t>
            </w:r>
            <w:r w:rsidR="002171AA">
              <w:rPr>
                <w:noProof/>
                <w:webHidden/>
              </w:rPr>
              <w:tab/>
            </w:r>
            <w:r w:rsidR="002171AA">
              <w:rPr>
                <w:noProof/>
                <w:webHidden/>
              </w:rPr>
              <w:fldChar w:fldCharType="begin"/>
            </w:r>
            <w:r w:rsidR="002171AA">
              <w:rPr>
                <w:noProof/>
                <w:webHidden/>
              </w:rPr>
              <w:instrText xml:space="preserve"> PAGEREF _Toc90411195 \h </w:instrText>
            </w:r>
            <w:r w:rsidR="002171AA">
              <w:rPr>
                <w:noProof/>
                <w:webHidden/>
              </w:rPr>
            </w:r>
            <w:r w:rsidR="002171AA">
              <w:rPr>
                <w:noProof/>
                <w:webHidden/>
              </w:rPr>
              <w:fldChar w:fldCharType="separate"/>
            </w:r>
            <w:r w:rsidR="00CB3EB2">
              <w:rPr>
                <w:noProof/>
                <w:webHidden/>
              </w:rPr>
              <w:t>12</w:t>
            </w:r>
            <w:r w:rsidR="002171AA">
              <w:rPr>
                <w:noProof/>
                <w:webHidden/>
              </w:rPr>
              <w:fldChar w:fldCharType="end"/>
            </w:r>
          </w:hyperlink>
        </w:p>
        <w:p w14:paraId="19A88426" w14:textId="6E291052" w:rsidR="002171AA" w:rsidRDefault="00B108D1">
          <w:pPr>
            <w:pStyle w:val="TOC3"/>
            <w:rPr>
              <w:rFonts w:asciiTheme="minorHAnsi" w:eastAsiaTheme="minorEastAsia" w:hAnsiTheme="minorHAnsi" w:cstheme="minorBidi"/>
              <w:noProof/>
              <w:sz w:val="22"/>
              <w:szCs w:val="22"/>
              <w:lang w:eastAsia="en-NZ"/>
            </w:rPr>
          </w:pPr>
          <w:hyperlink w:anchor="_Toc90411196" w:history="1">
            <w:r w:rsidR="002171AA" w:rsidRPr="00EF74DF">
              <w:rPr>
                <w:rStyle w:val="Hyperlink"/>
                <w:noProof/>
              </w:rPr>
              <w:t>Enhanced surveillance of outbreaks and clusters</w:t>
            </w:r>
            <w:r w:rsidR="002171AA">
              <w:rPr>
                <w:noProof/>
                <w:webHidden/>
              </w:rPr>
              <w:tab/>
            </w:r>
            <w:r w:rsidR="002171AA">
              <w:rPr>
                <w:noProof/>
                <w:webHidden/>
              </w:rPr>
              <w:fldChar w:fldCharType="begin"/>
            </w:r>
            <w:r w:rsidR="002171AA">
              <w:rPr>
                <w:noProof/>
                <w:webHidden/>
              </w:rPr>
              <w:instrText xml:space="preserve"> PAGEREF _Toc90411196 \h </w:instrText>
            </w:r>
            <w:r w:rsidR="002171AA">
              <w:rPr>
                <w:noProof/>
                <w:webHidden/>
              </w:rPr>
            </w:r>
            <w:r w:rsidR="002171AA">
              <w:rPr>
                <w:noProof/>
                <w:webHidden/>
              </w:rPr>
              <w:fldChar w:fldCharType="separate"/>
            </w:r>
            <w:r w:rsidR="00CB3EB2">
              <w:rPr>
                <w:noProof/>
                <w:webHidden/>
              </w:rPr>
              <w:t>13</w:t>
            </w:r>
            <w:r w:rsidR="002171AA">
              <w:rPr>
                <w:noProof/>
                <w:webHidden/>
              </w:rPr>
              <w:fldChar w:fldCharType="end"/>
            </w:r>
          </w:hyperlink>
        </w:p>
        <w:p w14:paraId="70E25CE0" w14:textId="6ED3AA3B" w:rsidR="002171AA" w:rsidRDefault="00B108D1">
          <w:pPr>
            <w:pStyle w:val="TOC3"/>
            <w:rPr>
              <w:rFonts w:asciiTheme="minorHAnsi" w:eastAsiaTheme="minorEastAsia" w:hAnsiTheme="minorHAnsi" w:cstheme="minorBidi"/>
              <w:noProof/>
              <w:sz w:val="22"/>
              <w:szCs w:val="22"/>
              <w:lang w:eastAsia="en-NZ"/>
            </w:rPr>
          </w:pPr>
          <w:hyperlink w:anchor="_Toc90411197" w:history="1">
            <w:r w:rsidR="002171AA" w:rsidRPr="00EF74DF">
              <w:rPr>
                <w:rStyle w:val="Hyperlink"/>
                <w:noProof/>
              </w:rPr>
              <w:t>Viral genomic sequence surveillance</w:t>
            </w:r>
            <w:r w:rsidR="002171AA">
              <w:rPr>
                <w:noProof/>
                <w:webHidden/>
              </w:rPr>
              <w:tab/>
            </w:r>
            <w:r w:rsidR="002171AA">
              <w:rPr>
                <w:noProof/>
                <w:webHidden/>
              </w:rPr>
              <w:fldChar w:fldCharType="begin"/>
            </w:r>
            <w:r w:rsidR="002171AA">
              <w:rPr>
                <w:noProof/>
                <w:webHidden/>
              </w:rPr>
              <w:instrText xml:space="preserve"> PAGEREF _Toc90411197 \h </w:instrText>
            </w:r>
            <w:r w:rsidR="002171AA">
              <w:rPr>
                <w:noProof/>
                <w:webHidden/>
              </w:rPr>
            </w:r>
            <w:r w:rsidR="002171AA">
              <w:rPr>
                <w:noProof/>
                <w:webHidden/>
              </w:rPr>
              <w:fldChar w:fldCharType="separate"/>
            </w:r>
            <w:r w:rsidR="00CB3EB2">
              <w:rPr>
                <w:noProof/>
                <w:webHidden/>
              </w:rPr>
              <w:t>14</w:t>
            </w:r>
            <w:r w:rsidR="002171AA">
              <w:rPr>
                <w:noProof/>
                <w:webHidden/>
              </w:rPr>
              <w:fldChar w:fldCharType="end"/>
            </w:r>
          </w:hyperlink>
        </w:p>
        <w:p w14:paraId="3711EA9F" w14:textId="4D04874E" w:rsidR="002171AA" w:rsidRDefault="00B108D1">
          <w:pPr>
            <w:pStyle w:val="TOC3"/>
            <w:rPr>
              <w:rFonts w:asciiTheme="minorHAnsi" w:eastAsiaTheme="minorEastAsia" w:hAnsiTheme="minorHAnsi" w:cstheme="minorBidi"/>
              <w:noProof/>
              <w:sz w:val="22"/>
              <w:szCs w:val="22"/>
              <w:lang w:eastAsia="en-NZ"/>
            </w:rPr>
          </w:pPr>
          <w:hyperlink w:anchor="_Toc90411198" w:history="1">
            <w:r w:rsidR="002171AA" w:rsidRPr="00EF74DF">
              <w:rPr>
                <w:rStyle w:val="Hyperlink"/>
                <w:noProof/>
              </w:rPr>
              <w:t>Wastewater surveillance</w:t>
            </w:r>
            <w:r w:rsidR="002171AA">
              <w:rPr>
                <w:noProof/>
                <w:webHidden/>
              </w:rPr>
              <w:tab/>
            </w:r>
            <w:r w:rsidR="002171AA">
              <w:rPr>
                <w:noProof/>
                <w:webHidden/>
              </w:rPr>
              <w:fldChar w:fldCharType="begin"/>
            </w:r>
            <w:r w:rsidR="002171AA">
              <w:rPr>
                <w:noProof/>
                <w:webHidden/>
              </w:rPr>
              <w:instrText xml:space="preserve"> PAGEREF _Toc90411198 \h </w:instrText>
            </w:r>
            <w:r w:rsidR="002171AA">
              <w:rPr>
                <w:noProof/>
                <w:webHidden/>
              </w:rPr>
            </w:r>
            <w:r w:rsidR="002171AA">
              <w:rPr>
                <w:noProof/>
                <w:webHidden/>
              </w:rPr>
              <w:fldChar w:fldCharType="separate"/>
            </w:r>
            <w:r w:rsidR="00CB3EB2">
              <w:rPr>
                <w:noProof/>
                <w:webHidden/>
              </w:rPr>
              <w:t>14</w:t>
            </w:r>
            <w:r w:rsidR="002171AA">
              <w:rPr>
                <w:noProof/>
                <w:webHidden/>
              </w:rPr>
              <w:fldChar w:fldCharType="end"/>
            </w:r>
          </w:hyperlink>
        </w:p>
        <w:p w14:paraId="4562A94F" w14:textId="22C0B95B" w:rsidR="002171AA" w:rsidRDefault="00B108D1">
          <w:pPr>
            <w:pStyle w:val="TOC3"/>
            <w:rPr>
              <w:rFonts w:asciiTheme="minorHAnsi" w:eastAsiaTheme="minorEastAsia" w:hAnsiTheme="minorHAnsi" w:cstheme="minorBidi"/>
              <w:noProof/>
              <w:sz w:val="22"/>
              <w:szCs w:val="22"/>
              <w:lang w:eastAsia="en-NZ"/>
            </w:rPr>
          </w:pPr>
          <w:hyperlink w:anchor="_Toc90411199" w:history="1">
            <w:r w:rsidR="002171AA" w:rsidRPr="00EF74DF">
              <w:rPr>
                <w:rStyle w:val="Hyperlink"/>
                <w:noProof/>
              </w:rPr>
              <w:t>Seroprevalence surveillance</w:t>
            </w:r>
            <w:r w:rsidR="002171AA">
              <w:rPr>
                <w:noProof/>
                <w:webHidden/>
              </w:rPr>
              <w:tab/>
            </w:r>
            <w:r w:rsidR="002171AA">
              <w:rPr>
                <w:noProof/>
                <w:webHidden/>
              </w:rPr>
              <w:fldChar w:fldCharType="begin"/>
            </w:r>
            <w:r w:rsidR="002171AA">
              <w:rPr>
                <w:noProof/>
                <w:webHidden/>
              </w:rPr>
              <w:instrText xml:space="preserve"> PAGEREF _Toc90411199 \h </w:instrText>
            </w:r>
            <w:r w:rsidR="002171AA">
              <w:rPr>
                <w:noProof/>
                <w:webHidden/>
              </w:rPr>
            </w:r>
            <w:r w:rsidR="002171AA">
              <w:rPr>
                <w:noProof/>
                <w:webHidden/>
              </w:rPr>
              <w:fldChar w:fldCharType="separate"/>
            </w:r>
            <w:r w:rsidR="00CB3EB2">
              <w:rPr>
                <w:noProof/>
                <w:webHidden/>
              </w:rPr>
              <w:t>14</w:t>
            </w:r>
            <w:r w:rsidR="002171AA">
              <w:rPr>
                <w:noProof/>
                <w:webHidden/>
              </w:rPr>
              <w:fldChar w:fldCharType="end"/>
            </w:r>
          </w:hyperlink>
        </w:p>
        <w:p w14:paraId="7506037A" w14:textId="7742A295" w:rsidR="002171AA" w:rsidRDefault="00B108D1">
          <w:pPr>
            <w:pStyle w:val="TOC3"/>
            <w:rPr>
              <w:rFonts w:asciiTheme="minorHAnsi" w:eastAsiaTheme="minorEastAsia" w:hAnsiTheme="minorHAnsi" w:cstheme="minorBidi"/>
              <w:noProof/>
              <w:sz w:val="22"/>
              <w:szCs w:val="22"/>
              <w:lang w:eastAsia="en-NZ"/>
            </w:rPr>
          </w:pPr>
          <w:hyperlink w:anchor="_Toc90411200" w:history="1">
            <w:r w:rsidR="002171AA" w:rsidRPr="00EF74DF">
              <w:rPr>
                <w:rStyle w:val="Hyperlink"/>
                <w:noProof/>
              </w:rPr>
              <w:t>Behavioural risk factor and community surveillance</w:t>
            </w:r>
            <w:r w:rsidR="002171AA">
              <w:rPr>
                <w:noProof/>
                <w:webHidden/>
              </w:rPr>
              <w:tab/>
            </w:r>
            <w:r w:rsidR="002171AA">
              <w:rPr>
                <w:noProof/>
                <w:webHidden/>
              </w:rPr>
              <w:fldChar w:fldCharType="begin"/>
            </w:r>
            <w:r w:rsidR="002171AA">
              <w:rPr>
                <w:noProof/>
                <w:webHidden/>
              </w:rPr>
              <w:instrText xml:space="preserve"> PAGEREF _Toc90411200 \h </w:instrText>
            </w:r>
            <w:r w:rsidR="002171AA">
              <w:rPr>
                <w:noProof/>
                <w:webHidden/>
              </w:rPr>
            </w:r>
            <w:r w:rsidR="002171AA">
              <w:rPr>
                <w:noProof/>
                <w:webHidden/>
              </w:rPr>
              <w:fldChar w:fldCharType="separate"/>
            </w:r>
            <w:r w:rsidR="00CB3EB2">
              <w:rPr>
                <w:noProof/>
                <w:webHidden/>
              </w:rPr>
              <w:t>15</w:t>
            </w:r>
            <w:r w:rsidR="002171AA">
              <w:rPr>
                <w:noProof/>
                <w:webHidden/>
              </w:rPr>
              <w:fldChar w:fldCharType="end"/>
            </w:r>
          </w:hyperlink>
        </w:p>
        <w:p w14:paraId="02C05FFA" w14:textId="675DEFB1" w:rsidR="002171AA" w:rsidRDefault="00B108D1">
          <w:pPr>
            <w:pStyle w:val="TOC3"/>
            <w:rPr>
              <w:rFonts w:asciiTheme="minorHAnsi" w:eastAsiaTheme="minorEastAsia" w:hAnsiTheme="minorHAnsi" w:cstheme="minorBidi"/>
              <w:noProof/>
              <w:sz w:val="22"/>
              <w:szCs w:val="22"/>
              <w:lang w:eastAsia="en-NZ"/>
            </w:rPr>
          </w:pPr>
          <w:hyperlink w:anchor="_Toc90411201" w:history="1">
            <w:r w:rsidR="002171AA" w:rsidRPr="00EF74DF">
              <w:rPr>
                <w:rStyle w:val="Hyperlink"/>
                <w:noProof/>
              </w:rPr>
              <w:t>Structural and population risk factors surveillance</w:t>
            </w:r>
            <w:r w:rsidR="002171AA">
              <w:rPr>
                <w:noProof/>
                <w:webHidden/>
              </w:rPr>
              <w:tab/>
            </w:r>
            <w:r w:rsidR="002171AA">
              <w:rPr>
                <w:noProof/>
                <w:webHidden/>
              </w:rPr>
              <w:fldChar w:fldCharType="begin"/>
            </w:r>
            <w:r w:rsidR="002171AA">
              <w:rPr>
                <w:noProof/>
                <w:webHidden/>
              </w:rPr>
              <w:instrText xml:space="preserve"> PAGEREF _Toc90411201 \h </w:instrText>
            </w:r>
            <w:r w:rsidR="002171AA">
              <w:rPr>
                <w:noProof/>
                <w:webHidden/>
              </w:rPr>
            </w:r>
            <w:r w:rsidR="002171AA">
              <w:rPr>
                <w:noProof/>
                <w:webHidden/>
              </w:rPr>
              <w:fldChar w:fldCharType="separate"/>
            </w:r>
            <w:r w:rsidR="00CB3EB2">
              <w:rPr>
                <w:noProof/>
                <w:webHidden/>
              </w:rPr>
              <w:t>16</w:t>
            </w:r>
            <w:r w:rsidR="002171AA">
              <w:rPr>
                <w:noProof/>
                <w:webHidden/>
              </w:rPr>
              <w:fldChar w:fldCharType="end"/>
            </w:r>
          </w:hyperlink>
        </w:p>
        <w:p w14:paraId="292EA8A7" w14:textId="2699BDCF" w:rsidR="002171AA" w:rsidRDefault="00B108D1">
          <w:pPr>
            <w:pStyle w:val="TOC2"/>
            <w:rPr>
              <w:rFonts w:asciiTheme="minorHAnsi" w:eastAsiaTheme="minorEastAsia" w:hAnsiTheme="minorHAnsi" w:cstheme="minorBidi"/>
              <w:noProof/>
              <w:sz w:val="22"/>
              <w:szCs w:val="22"/>
              <w:lang w:eastAsia="en-NZ"/>
            </w:rPr>
          </w:pPr>
          <w:hyperlink w:anchor="_Toc90411202" w:history="1">
            <w:r w:rsidR="002171AA" w:rsidRPr="00EF74DF">
              <w:rPr>
                <w:rStyle w:val="Hyperlink"/>
                <w:b/>
                <w:bCs/>
                <w:noProof/>
              </w:rPr>
              <w:t>Key outputs of the surveillance system</w:t>
            </w:r>
            <w:r w:rsidR="002171AA">
              <w:rPr>
                <w:noProof/>
                <w:webHidden/>
              </w:rPr>
              <w:tab/>
            </w:r>
            <w:r w:rsidR="002171AA">
              <w:rPr>
                <w:noProof/>
                <w:webHidden/>
              </w:rPr>
              <w:fldChar w:fldCharType="begin"/>
            </w:r>
            <w:r w:rsidR="002171AA">
              <w:rPr>
                <w:noProof/>
                <w:webHidden/>
              </w:rPr>
              <w:instrText xml:space="preserve"> PAGEREF _Toc90411202 \h </w:instrText>
            </w:r>
            <w:r w:rsidR="002171AA">
              <w:rPr>
                <w:noProof/>
                <w:webHidden/>
              </w:rPr>
            </w:r>
            <w:r w:rsidR="002171AA">
              <w:rPr>
                <w:noProof/>
                <w:webHidden/>
              </w:rPr>
              <w:fldChar w:fldCharType="separate"/>
            </w:r>
            <w:r w:rsidR="00CB3EB2">
              <w:rPr>
                <w:noProof/>
                <w:webHidden/>
              </w:rPr>
              <w:t>16</w:t>
            </w:r>
            <w:r w:rsidR="002171AA">
              <w:rPr>
                <w:noProof/>
                <w:webHidden/>
              </w:rPr>
              <w:fldChar w:fldCharType="end"/>
            </w:r>
          </w:hyperlink>
        </w:p>
        <w:p w14:paraId="7E08D64C" w14:textId="4C34BD63" w:rsidR="002171AA" w:rsidRDefault="00B108D1">
          <w:pPr>
            <w:pStyle w:val="TOC2"/>
            <w:rPr>
              <w:rFonts w:asciiTheme="minorHAnsi" w:eastAsiaTheme="minorEastAsia" w:hAnsiTheme="minorHAnsi" w:cstheme="minorBidi"/>
              <w:noProof/>
              <w:sz w:val="22"/>
              <w:szCs w:val="22"/>
              <w:lang w:eastAsia="en-NZ"/>
            </w:rPr>
          </w:pPr>
          <w:hyperlink w:anchor="_Toc90411203" w:history="1">
            <w:r w:rsidR="002171AA" w:rsidRPr="00EF74DF">
              <w:rPr>
                <w:rStyle w:val="Hyperlink"/>
                <w:b/>
                <w:bCs/>
                <w:noProof/>
              </w:rPr>
              <w:t>Surveillance Indicators</w:t>
            </w:r>
            <w:r w:rsidR="002171AA">
              <w:rPr>
                <w:noProof/>
                <w:webHidden/>
              </w:rPr>
              <w:tab/>
            </w:r>
            <w:r w:rsidR="002171AA">
              <w:rPr>
                <w:noProof/>
                <w:webHidden/>
              </w:rPr>
              <w:fldChar w:fldCharType="begin"/>
            </w:r>
            <w:r w:rsidR="002171AA">
              <w:rPr>
                <w:noProof/>
                <w:webHidden/>
              </w:rPr>
              <w:instrText xml:space="preserve"> PAGEREF _Toc90411203 \h </w:instrText>
            </w:r>
            <w:r w:rsidR="002171AA">
              <w:rPr>
                <w:noProof/>
                <w:webHidden/>
              </w:rPr>
            </w:r>
            <w:r w:rsidR="002171AA">
              <w:rPr>
                <w:noProof/>
                <w:webHidden/>
              </w:rPr>
              <w:fldChar w:fldCharType="separate"/>
            </w:r>
            <w:r w:rsidR="00CB3EB2">
              <w:rPr>
                <w:noProof/>
                <w:webHidden/>
              </w:rPr>
              <w:t>17</w:t>
            </w:r>
            <w:r w:rsidR="002171AA">
              <w:rPr>
                <w:noProof/>
                <w:webHidden/>
              </w:rPr>
              <w:fldChar w:fldCharType="end"/>
            </w:r>
          </w:hyperlink>
        </w:p>
        <w:p w14:paraId="34122B54" w14:textId="57EC2B18" w:rsidR="002171AA" w:rsidRDefault="00B108D1">
          <w:pPr>
            <w:pStyle w:val="TOC2"/>
            <w:rPr>
              <w:rFonts w:asciiTheme="minorHAnsi" w:eastAsiaTheme="minorEastAsia" w:hAnsiTheme="minorHAnsi" w:cstheme="minorBidi"/>
              <w:noProof/>
              <w:sz w:val="22"/>
              <w:szCs w:val="22"/>
              <w:lang w:eastAsia="en-NZ"/>
            </w:rPr>
          </w:pPr>
          <w:hyperlink w:anchor="_Toc90411204" w:history="1">
            <w:r w:rsidR="002171AA" w:rsidRPr="00EF74DF">
              <w:rPr>
                <w:rStyle w:val="Hyperlink"/>
                <w:b/>
                <w:bCs/>
                <w:noProof/>
              </w:rPr>
              <w:t>Population Risk and High-Risk Settings</w:t>
            </w:r>
            <w:r w:rsidR="002171AA">
              <w:rPr>
                <w:noProof/>
                <w:webHidden/>
              </w:rPr>
              <w:tab/>
            </w:r>
            <w:r w:rsidR="002171AA">
              <w:rPr>
                <w:noProof/>
                <w:webHidden/>
              </w:rPr>
              <w:fldChar w:fldCharType="begin"/>
            </w:r>
            <w:r w:rsidR="002171AA">
              <w:rPr>
                <w:noProof/>
                <w:webHidden/>
              </w:rPr>
              <w:instrText xml:space="preserve"> PAGEREF _Toc90411204 \h </w:instrText>
            </w:r>
            <w:r w:rsidR="002171AA">
              <w:rPr>
                <w:noProof/>
                <w:webHidden/>
              </w:rPr>
            </w:r>
            <w:r w:rsidR="002171AA">
              <w:rPr>
                <w:noProof/>
                <w:webHidden/>
              </w:rPr>
              <w:fldChar w:fldCharType="separate"/>
            </w:r>
            <w:r w:rsidR="00CB3EB2">
              <w:rPr>
                <w:noProof/>
                <w:webHidden/>
              </w:rPr>
              <w:t>18</w:t>
            </w:r>
            <w:r w:rsidR="002171AA">
              <w:rPr>
                <w:noProof/>
                <w:webHidden/>
              </w:rPr>
              <w:fldChar w:fldCharType="end"/>
            </w:r>
          </w:hyperlink>
        </w:p>
        <w:p w14:paraId="381509F6" w14:textId="5AFDA391" w:rsidR="002171AA" w:rsidRDefault="00B108D1">
          <w:pPr>
            <w:pStyle w:val="TOC3"/>
            <w:rPr>
              <w:rFonts w:asciiTheme="minorHAnsi" w:eastAsiaTheme="minorEastAsia" w:hAnsiTheme="minorHAnsi" w:cstheme="minorBidi"/>
              <w:noProof/>
              <w:sz w:val="22"/>
              <w:szCs w:val="22"/>
              <w:lang w:eastAsia="en-NZ"/>
            </w:rPr>
          </w:pPr>
          <w:hyperlink w:anchor="_Toc90411205" w:history="1">
            <w:r w:rsidR="002171AA" w:rsidRPr="00EF74DF">
              <w:rPr>
                <w:rStyle w:val="Hyperlink"/>
                <w:noProof/>
              </w:rPr>
              <w:t>Defining structural, population and community risks</w:t>
            </w:r>
            <w:r w:rsidR="002171AA">
              <w:rPr>
                <w:noProof/>
                <w:webHidden/>
              </w:rPr>
              <w:tab/>
            </w:r>
            <w:r w:rsidR="002171AA">
              <w:rPr>
                <w:noProof/>
                <w:webHidden/>
              </w:rPr>
              <w:fldChar w:fldCharType="begin"/>
            </w:r>
            <w:r w:rsidR="002171AA">
              <w:rPr>
                <w:noProof/>
                <w:webHidden/>
              </w:rPr>
              <w:instrText xml:space="preserve"> PAGEREF _Toc90411205 \h </w:instrText>
            </w:r>
            <w:r w:rsidR="002171AA">
              <w:rPr>
                <w:noProof/>
                <w:webHidden/>
              </w:rPr>
            </w:r>
            <w:r w:rsidR="002171AA">
              <w:rPr>
                <w:noProof/>
                <w:webHidden/>
              </w:rPr>
              <w:fldChar w:fldCharType="separate"/>
            </w:r>
            <w:r w:rsidR="00CB3EB2">
              <w:rPr>
                <w:noProof/>
                <w:webHidden/>
              </w:rPr>
              <w:t>18</w:t>
            </w:r>
            <w:r w:rsidR="002171AA">
              <w:rPr>
                <w:noProof/>
                <w:webHidden/>
              </w:rPr>
              <w:fldChar w:fldCharType="end"/>
            </w:r>
          </w:hyperlink>
        </w:p>
        <w:p w14:paraId="1A2BF10B" w14:textId="6AD63996" w:rsidR="002171AA" w:rsidRDefault="00B108D1">
          <w:pPr>
            <w:pStyle w:val="TOC3"/>
            <w:rPr>
              <w:rFonts w:asciiTheme="minorHAnsi" w:eastAsiaTheme="minorEastAsia" w:hAnsiTheme="minorHAnsi" w:cstheme="minorBidi"/>
              <w:noProof/>
              <w:sz w:val="22"/>
              <w:szCs w:val="22"/>
              <w:lang w:eastAsia="en-NZ"/>
            </w:rPr>
          </w:pPr>
          <w:hyperlink w:anchor="_Toc90411206" w:history="1">
            <w:r w:rsidR="002171AA" w:rsidRPr="00EF74DF">
              <w:rPr>
                <w:rStyle w:val="Hyperlink"/>
                <w:noProof/>
              </w:rPr>
              <w:t>Factors that determine risk of exposure, transmission, and poorer outcomes</w:t>
            </w:r>
            <w:r w:rsidR="002171AA">
              <w:rPr>
                <w:noProof/>
                <w:webHidden/>
              </w:rPr>
              <w:tab/>
            </w:r>
            <w:r w:rsidR="002171AA">
              <w:rPr>
                <w:noProof/>
                <w:webHidden/>
              </w:rPr>
              <w:fldChar w:fldCharType="begin"/>
            </w:r>
            <w:r w:rsidR="002171AA">
              <w:rPr>
                <w:noProof/>
                <w:webHidden/>
              </w:rPr>
              <w:instrText xml:space="preserve"> PAGEREF _Toc90411206 \h </w:instrText>
            </w:r>
            <w:r w:rsidR="002171AA">
              <w:rPr>
                <w:noProof/>
                <w:webHidden/>
              </w:rPr>
            </w:r>
            <w:r w:rsidR="002171AA">
              <w:rPr>
                <w:noProof/>
                <w:webHidden/>
              </w:rPr>
              <w:fldChar w:fldCharType="separate"/>
            </w:r>
            <w:r w:rsidR="00CB3EB2">
              <w:rPr>
                <w:noProof/>
                <w:webHidden/>
              </w:rPr>
              <w:t>19</w:t>
            </w:r>
            <w:r w:rsidR="002171AA">
              <w:rPr>
                <w:noProof/>
                <w:webHidden/>
              </w:rPr>
              <w:fldChar w:fldCharType="end"/>
            </w:r>
          </w:hyperlink>
        </w:p>
        <w:p w14:paraId="22CB0233" w14:textId="47DF85EB" w:rsidR="002171AA" w:rsidRDefault="00B108D1">
          <w:pPr>
            <w:pStyle w:val="TOC3"/>
            <w:rPr>
              <w:rFonts w:asciiTheme="minorHAnsi" w:eastAsiaTheme="minorEastAsia" w:hAnsiTheme="minorHAnsi" w:cstheme="minorBidi"/>
              <w:noProof/>
              <w:sz w:val="22"/>
              <w:szCs w:val="22"/>
              <w:lang w:eastAsia="en-NZ"/>
            </w:rPr>
          </w:pPr>
          <w:hyperlink w:anchor="_Toc90411207" w:history="1">
            <w:r w:rsidR="002171AA" w:rsidRPr="00EF74DF">
              <w:rPr>
                <w:rStyle w:val="Hyperlink"/>
                <w:noProof/>
              </w:rPr>
              <w:t>Method for monitoring structural, population and community risk factors against COVID-19 specific risk</w:t>
            </w:r>
            <w:r w:rsidR="002171AA">
              <w:rPr>
                <w:noProof/>
                <w:webHidden/>
              </w:rPr>
              <w:tab/>
            </w:r>
            <w:r w:rsidR="002171AA">
              <w:rPr>
                <w:noProof/>
                <w:webHidden/>
              </w:rPr>
              <w:fldChar w:fldCharType="begin"/>
            </w:r>
            <w:r w:rsidR="002171AA">
              <w:rPr>
                <w:noProof/>
                <w:webHidden/>
              </w:rPr>
              <w:instrText xml:space="preserve"> PAGEREF _Toc90411207 \h </w:instrText>
            </w:r>
            <w:r w:rsidR="002171AA">
              <w:rPr>
                <w:noProof/>
                <w:webHidden/>
              </w:rPr>
            </w:r>
            <w:r w:rsidR="002171AA">
              <w:rPr>
                <w:noProof/>
                <w:webHidden/>
              </w:rPr>
              <w:fldChar w:fldCharType="separate"/>
            </w:r>
            <w:r w:rsidR="00CB3EB2">
              <w:rPr>
                <w:noProof/>
                <w:webHidden/>
              </w:rPr>
              <w:t>22</w:t>
            </w:r>
            <w:r w:rsidR="002171AA">
              <w:rPr>
                <w:noProof/>
                <w:webHidden/>
              </w:rPr>
              <w:fldChar w:fldCharType="end"/>
            </w:r>
          </w:hyperlink>
        </w:p>
        <w:p w14:paraId="612011C7" w14:textId="4B8271A5" w:rsidR="002171AA" w:rsidRDefault="00B108D1">
          <w:pPr>
            <w:pStyle w:val="TOC2"/>
            <w:rPr>
              <w:rFonts w:asciiTheme="minorHAnsi" w:eastAsiaTheme="minorEastAsia" w:hAnsiTheme="minorHAnsi" w:cstheme="minorBidi"/>
              <w:noProof/>
              <w:sz w:val="22"/>
              <w:szCs w:val="22"/>
              <w:lang w:eastAsia="en-NZ"/>
            </w:rPr>
          </w:pPr>
          <w:hyperlink w:anchor="_Toc90411208" w:history="1">
            <w:r w:rsidR="002171AA" w:rsidRPr="00EF74DF">
              <w:rPr>
                <w:rStyle w:val="Hyperlink"/>
                <w:b/>
                <w:bCs/>
                <w:noProof/>
              </w:rPr>
              <w:t>Roles and Responsibilities</w:t>
            </w:r>
            <w:r w:rsidR="002171AA">
              <w:rPr>
                <w:noProof/>
                <w:webHidden/>
              </w:rPr>
              <w:tab/>
            </w:r>
            <w:r w:rsidR="002171AA">
              <w:rPr>
                <w:noProof/>
                <w:webHidden/>
              </w:rPr>
              <w:fldChar w:fldCharType="begin"/>
            </w:r>
            <w:r w:rsidR="002171AA">
              <w:rPr>
                <w:noProof/>
                <w:webHidden/>
              </w:rPr>
              <w:instrText xml:space="preserve"> PAGEREF _Toc90411208 \h </w:instrText>
            </w:r>
            <w:r w:rsidR="002171AA">
              <w:rPr>
                <w:noProof/>
                <w:webHidden/>
              </w:rPr>
            </w:r>
            <w:r w:rsidR="002171AA">
              <w:rPr>
                <w:noProof/>
                <w:webHidden/>
              </w:rPr>
              <w:fldChar w:fldCharType="separate"/>
            </w:r>
            <w:r w:rsidR="00CB3EB2">
              <w:rPr>
                <w:noProof/>
                <w:webHidden/>
              </w:rPr>
              <w:t>23</w:t>
            </w:r>
            <w:r w:rsidR="002171AA">
              <w:rPr>
                <w:noProof/>
                <w:webHidden/>
              </w:rPr>
              <w:fldChar w:fldCharType="end"/>
            </w:r>
          </w:hyperlink>
        </w:p>
        <w:p w14:paraId="2656E26D" w14:textId="70F99025" w:rsidR="002171AA" w:rsidRDefault="00B108D1">
          <w:pPr>
            <w:pStyle w:val="TOC3"/>
            <w:rPr>
              <w:rFonts w:asciiTheme="minorHAnsi" w:eastAsiaTheme="minorEastAsia" w:hAnsiTheme="minorHAnsi" w:cstheme="minorBidi"/>
              <w:noProof/>
              <w:sz w:val="22"/>
              <w:szCs w:val="22"/>
              <w:lang w:eastAsia="en-NZ"/>
            </w:rPr>
          </w:pPr>
          <w:hyperlink w:anchor="_Toc90411209" w:history="1">
            <w:r w:rsidR="002171AA" w:rsidRPr="00EF74DF">
              <w:rPr>
                <w:rStyle w:val="Hyperlink"/>
                <w:noProof/>
              </w:rPr>
              <w:t>The Ministry of Health</w:t>
            </w:r>
            <w:r w:rsidR="002171AA">
              <w:rPr>
                <w:noProof/>
                <w:webHidden/>
              </w:rPr>
              <w:tab/>
            </w:r>
            <w:r w:rsidR="002171AA">
              <w:rPr>
                <w:noProof/>
                <w:webHidden/>
              </w:rPr>
              <w:fldChar w:fldCharType="begin"/>
            </w:r>
            <w:r w:rsidR="002171AA">
              <w:rPr>
                <w:noProof/>
                <w:webHidden/>
              </w:rPr>
              <w:instrText xml:space="preserve"> PAGEREF _Toc90411209 \h </w:instrText>
            </w:r>
            <w:r w:rsidR="002171AA">
              <w:rPr>
                <w:noProof/>
                <w:webHidden/>
              </w:rPr>
            </w:r>
            <w:r w:rsidR="002171AA">
              <w:rPr>
                <w:noProof/>
                <w:webHidden/>
              </w:rPr>
              <w:fldChar w:fldCharType="separate"/>
            </w:r>
            <w:r w:rsidR="00CB3EB2">
              <w:rPr>
                <w:noProof/>
                <w:webHidden/>
              </w:rPr>
              <w:t>23</w:t>
            </w:r>
            <w:r w:rsidR="002171AA">
              <w:rPr>
                <w:noProof/>
                <w:webHidden/>
              </w:rPr>
              <w:fldChar w:fldCharType="end"/>
            </w:r>
          </w:hyperlink>
        </w:p>
        <w:p w14:paraId="6E392EFC" w14:textId="13C08663" w:rsidR="002171AA" w:rsidRDefault="00B108D1">
          <w:pPr>
            <w:pStyle w:val="TOC3"/>
            <w:rPr>
              <w:rFonts w:asciiTheme="minorHAnsi" w:eastAsiaTheme="minorEastAsia" w:hAnsiTheme="minorHAnsi" w:cstheme="minorBidi"/>
              <w:noProof/>
              <w:sz w:val="22"/>
              <w:szCs w:val="22"/>
              <w:lang w:eastAsia="en-NZ"/>
            </w:rPr>
          </w:pPr>
          <w:hyperlink w:anchor="_Toc90411210" w:history="1">
            <w:r w:rsidR="002171AA" w:rsidRPr="00EF74DF">
              <w:rPr>
                <w:rStyle w:val="Hyperlink"/>
                <w:noProof/>
              </w:rPr>
              <w:t>District Health Boards and Public Health Units</w:t>
            </w:r>
            <w:r w:rsidR="002171AA">
              <w:rPr>
                <w:noProof/>
                <w:webHidden/>
              </w:rPr>
              <w:tab/>
            </w:r>
            <w:r w:rsidR="002171AA">
              <w:rPr>
                <w:noProof/>
                <w:webHidden/>
              </w:rPr>
              <w:fldChar w:fldCharType="begin"/>
            </w:r>
            <w:r w:rsidR="002171AA">
              <w:rPr>
                <w:noProof/>
                <w:webHidden/>
              </w:rPr>
              <w:instrText xml:space="preserve"> PAGEREF _Toc90411210 \h </w:instrText>
            </w:r>
            <w:r w:rsidR="002171AA">
              <w:rPr>
                <w:noProof/>
                <w:webHidden/>
              </w:rPr>
            </w:r>
            <w:r w:rsidR="002171AA">
              <w:rPr>
                <w:noProof/>
                <w:webHidden/>
              </w:rPr>
              <w:fldChar w:fldCharType="separate"/>
            </w:r>
            <w:r w:rsidR="00CB3EB2">
              <w:rPr>
                <w:noProof/>
                <w:webHidden/>
              </w:rPr>
              <w:t>24</w:t>
            </w:r>
            <w:r w:rsidR="002171AA">
              <w:rPr>
                <w:noProof/>
                <w:webHidden/>
              </w:rPr>
              <w:fldChar w:fldCharType="end"/>
            </w:r>
          </w:hyperlink>
        </w:p>
        <w:p w14:paraId="22CC6D03" w14:textId="282FEB5F" w:rsidR="002171AA" w:rsidRDefault="00B108D1">
          <w:pPr>
            <w:pStyle w:val="TOC3"/>
            <w:rPr>
              <w:rFonts w:asciiTheme="minorHAnsi" w:eastAsiaTheme="minorEastAsia" w:hAnsiTheme="minorHAnsi" w:cstheme="minorBidi"/>
              <w:noProof/>
              <w:sz w:val="22"/>
              <w:szCs w:val="22"/>
              <w:lang w:eastAsia="en-NZ"/>
            </w:rPr>
          </w:pPr>
          <w:hyperlink w:anchor="_Toc90411211" w:history="1">
            <w:r w:rsidR="002171AA" w:rsidRPr="00EF74DF">
              <w:rPr>
                <w:rStyle w:val="Hyperlink"/>
                <w:noProof/>
              </w:rPr>
              <w:t>Primary Health Organisations</w:t>
            </w:r>
            <w:r w:rsidR="002171AA">
              <w:rPr>
                <w:noProof/>
                <w:webHidden/>
              </w:rPr>
              <w:tab/>
            </w:r>
            <w:r w:rsidR="002171AA">
              <w:rPr>
                <w:noProof/>
                <w:webHidden/>
              </w:rPr>
              <w:fldChar w:fldCharType="begin"/>
            </w:r>
            <w:r w:rsidR="002171AA">
              <w:rPr>
                <w:noProof/>
                <w:webHidden/>
              </w:rPr>
              <w:instrText xml:space="preserve"> PAGEREF _Toc90411211 \h </w:instrText>
            </w:r>
            <w:r w:rsidR="002171AA">
              <w:rPr>
                <w:noProof/>
                <w:webHidden/>
              </w:rPr>
            </w:r>
            <w:r w:rsidR="002171AA">
              <w:rPr>
                <w:noProof/>
                <w:webHidden/>
              </w:rPr>
              <w:fldChar w:fldCharType="separate"/>
            </w:r>
            <w:r w:rsidR="00CB3EB2">
              <w:rPr>
                <w:noProof/>
                <w:webHidden/>
              </w:rPr>
              <w:t>24</w:t>
            </w:r>
            <w:r w:rsidR="002171AA">
              <w:rPr>
                <w:noProof/>
                <w:webHidden/>
              </w:rPr>
              <w:fldChar w:fldCharType="end"/>
            </w:r>
          </w:hyperlink>
        </w:p>
        <w:p w14:paraId="177EE27C" w14:textId="3C3FB046" w:rsidR="002171AA" w:rsidRDefault="00B108D1">
          <w:pPr>
            <w:pStyle w:val="TOC3"/>
            <w:rPr>
              <w:rFonts w:asciiTheme="minorHAnsi" w:eastAsiaTheme="minorEastAsia" w:hAnsiTheme="minorHAnsi" w:cstheme="minorBidi"/>
              <w:noProof/>
              <w:sz w:val="22"/>
              <w:szCs w:val="22"/>
              <w:lang w:eastAsia="en-NZ"/>
            </w:rPr>
          </w:pPr>
          <w:hyperlink w:anchor="_Toc90411212" w:history="1">
            <w:r w:rsidR="002171AA" w:rsidRPr="00EF74DF">
              <w:rPr>
                <w:rStyle w:val="Hyperlink"/>
                <w:noProof/>
              </w:rPr>
              <w:t>Institute of Environmental Science and Research (ESR)</w:t>
            </w:r>
            <w:r w:rsidR="002171AA">
              <w:rPr>
                <w:noProof/>
                <w:webHidden/>
              </w:rPr>
              <w:tab/>
            </w:r>
            <w:r w:rsidR="002171AA">
              <w:rPr>
                <w:noProof/>
                <w:webHidden/>
              </w:rPr>
              <w:fldChar w:fldCharType="begin"/>
            </w:r>
            <w:r w:rsidR="002171AA">
              <w:rPr>
                <w:noProof/>
                <w:webHidden/>
              </w:rPr>
              <w:instrText xml:space="preserve"> PAGEREF _Toc90411212 \h </w:instrText>
            </w:r>
            <w:r w:rsidR="002171AA">
              <w:rPr>
                <w:noProof/>
                <w:webHidden/>
              </w:rPr>
            </w:r>
            <w:r w:rsidR="002171AA">
              <w:rPr>
                <w:noProof/>
                <w:webHidden/>
              </w:rPr>
              <w:fldChar w:fldCharType="separate"/>
            </w:r>
            <w:r w:rsidR="00CB3EB2">
              <w:rPr>
                <w:noProof/>
                <w:webHidden/>
              </w:rPr>
              <w:t>24</w:t>
            </w:r>
            <w:r w:rsidR="002171AA">
              <w:rPr>
                <w:noProof/>
                <w:webHidden/>
              </w:rPr>
              <w:fldChar w:fldCharType="end"/>
            </w:r>
          </w:hyperlink>
        </w:p>
        <w:p w14:paraId="79C37314" w14:textId="0AEEA4F1" w:rsidR="002171AA" w:rsidRDefault="00B108D1">
          <w:pPr>
            <w:pStyle w:val="TOC3"/>
            <w:rPr>
              <w:rFonts w:asciiTheme="minorHAnsi" w:eastAsiaTheme="minorEastAsia" w:hAnsiTheme="minorHAnsi" w:cstheme="minorBidi"/>
              <w:noProof/>
              <w:sz w:val="22"/>
              <w:szCs w:val="22"/>
              <w:lang w:eastAsia="en-NZ"/>
            </w:rPr>
          </w:pPr>
          <w:hyperlink w:anchor="_Toc90411213" w:history="1">
            <w:r w:rsidR="002171AA" w:rsidRPr="00EF74DF">
              <w:rPr>
                <w:rStyle w:val="Hyperlink"/>
                <w:noProof/>
              </w:rPr>
              <w:t>Diagnostic Laboratories</w:t>
            </w:r>
            <w:r w:rsidR="002171AA">
              <w:rPr>
                <w:noProof/>
                <w:webHidden/>
              </w:rPr>
              <w:tab/>
            </w:r>
            <w:r w:rsidR="002171AA">
              <w:rPr>
                <w:noProof/>
                <w:webHidden/>
              </w:rPr>
              <w:fldChar w:fldCharType="begin"/>
            </w:r>
            <w:r w:rsidR="002171AA">
              <w:rPr>
                <w:noProof/>
                <w:webHidden/>
              </w:rPr>
              <w:instrText xml:space="preserve"> PAGEREF _Toc90411213 \h </w:instrText>
            </w:r>
            <w:r w:rsidR="002171AA">
              <w:rPr>
                <w:noProof/>
                <w:webHidden/>
              </w:rPr>
            </w:r>
            <w:r w:rsidR="002171AA">
              <w:rPr>
                <w:noProof/>
                <w:webHidden/>
              </w:rPr>
              <w:fldChar w:fldCharType="separate"/>
            </w:r>
            <w:r w:rsidR="00CB3EB2">
              <w:rPr>
                <w:noProof/>
                <w:webHidden/>
              </w:rPr>
              <w:t>24</w:t>
            </w:r>
            <w:r w:rsidR="002171AA">
              <w:rPr>
                <w:noProof/>
                <w:webHidden/>
              </w:rPr>
              <w:fldChar w:fldCharType="end"/>
            </w:r>
          </w:hyperlink>
        </w:p>
        <w:p w14:paraId="5A22C3C5" w14:textId="5CDABCD9" w:rsidR="002171AA" w:rsidRDefault="00B108D1">
          <w:pPr>
            <w:pStyle w:val="TOC3"/>
            <w:rPr>
              <w:rFonts w:asciiTheme="minorHAnsi" w:eastAsiaTheme="minorEastAsia" w:hAnsiTheme="minorHAnsi" w:cstheme="minorBidi"/>
              <w:noProof/>
              <w:sz w:val="22"/>
              <w:szCs w:val="22"/>
              <w:lang w:eastAsia="en-NZ"/>
            </w:rPr>
          </w:pPr>
          <w:hyperlink w:anchor="_Toc90411214" w:history="1">
            <w:r w:rsidR="002171AA" w:rsidRPr="00EF74DF">
              <w:rPr>
                <w:rStyle w:val="Hyperlink"/>
                <w:noProof/>
              </w:rPr>
              <w:t>Other Government Agencies</w:t>
            </w:r>
            <w:r w:rsidR="002171AA">
              <w:rPr>
                <w:noProof/>
                <w:webHidden/>
              </w:rPr>
              <w:tab/>
            </w:r>
            <w:r w:rsidR="002171AA">
              <w:rPr>
                <w:noProof/>
                <w:webHidden/>
              </w:rPr>
              <w:fldChar w:fldCharType="begin"/>
            </w:r>
            <w:r w:rsidR="002171AA">
              <w:rPr>
                <w:noProof/>
                <w:webHidden/>
              </w:rPr>
              <w:instrText xml:space="preserve"> PAGEREF _Toc90411214 \h </w:instrText>
            </w:r>
            <w:r w:rsidR="002171AA">
              <w:rPr>
                <w:noProof/>
                <w:webHidden/>
              </w:rPr>
            </w:r>
            <w:r w:rsidR="002171AA">
              <w:rPr>
                <w:noProof/>
                <w:webHidden/>
              </w:rPr>
              <w:fldChar w:fldCharType="separate"/>
            </w:r>
            <w:r w:rsidR="00CB3EB2">
              <w:rPr>
                <w:noProof/>
                <w:webHidden/>
              </w:rPr>
              <w:t>24</w:t>
            </w:r>
            <w:r w:rsidR="002171AA">
              <w:rPr>
                <w:noProof/>
                <w:webHidden/>
              </w:rPr>
              <w:fldChar w:fldCharType="end"/>
            </w:r>
          </w:hyperlink>
        </w:p>
        <w:p w14:paraId="02BD4000" w14:textId="635837EA" w:rsidR="002171AA" w:rsidRDefault="00B108D1">
          <w:pPr>
            <w:pStyle w:val="TOC3"/>
            <w:rPr>
              <w:rFonts w:asciiTheme="minorHAnsi" w:eastAsiaTheme="minorEastAsia" w:hAnsiTheme="minorHAnsi" w:cstheme="minorBidi"/>
              <w:noProof/>
              <w:sz w:val="22"/>
              <w:szCs w:val="22"/>
              <w:lang w:eastAsia="en-NZ"/>
            </w:rPr>
          </w:pPr>
          <w:hyperlink w:anchor="_Toc90411215" w:history="1">
            <w:r w:rsidR="002171AA" w:rsidRPr="00EF74DF">
              <w:rPr>
                <w:rStyle w:val="Hyperlink"/>
                <w:noProof/>
              </w:rPr>
              <w:t>Community Groups and Non-Governmental Providers</w:t>
            </w:r>
            <w:r w:rsidR="002171AA">
              <w:rPr>
                <w:noProof/>
                <w:webHidden/>
              </w:rPr>
              <w:tab/>
            </w:r>
            <w:r w:rsidR="002171AA">
              <w:rPr>
                <w:noProof/>
                <w:webHidden/>
              </w:rPr>
              <w:fldChar w:fldCharType="begin"/>
            </w:r>
            <w:r w:rsidR="002171AA">
              <w:rPr>
                <w:noProof/>
                <w:webHidden/>
              </w:rPr>
              <w:instrText xml:space="preserve"> PAGEREF _Toc90411215 \h </w:instrText>
            </w:r>
            <w:r w:rsidR="002171AA">
              <w:rPr>
                <w:noProof/>
                <w:webHidden/>
              </w:rPr>
            </w:r>
            <w:r w:rsidR="002171AA">
              <w:rPr>
                <w:noProof/>
                <w:webHidden/>
              </w:rPr>
              <w:fldChar w:fldCharType="separate"/>
            </w:r>
            <w:r w:rsidR="00CB3EB2">
              <w:rPr>
                <w:noProof/>
                <w:webHidden/>
              </w:rPr>
              <w:t>25</w:t>
            </w:r>
            <w:r w:rsidR="002171AA">
              <w:rPr>
                <w:noProof/>
                <w:webHidden/>
              </w:rPr>
              <w:fldChar w:fldCharType="end"/>
            </w:r>
          </w:hyperlink>
        </w:p>
        <w:p w14:paraId="314CF4E7" w14:textId="44E72835" w:rsidR="002171AA" w:rsidRDefault="00B108D1">
          <w:pPr>
            <w:pStyle w:val="TOC2"/>
            <w:rPr>
              <w:rFonts w:asciiTheme="minorHAnsi" w:eastAsiaTheme="minorEastAsia" w:hAnsiTheme="minorHAnsi" w:cstheme="minorBidi"/>
              <w:noProof/>
              <w:sz w:val="22"/>
              <w:szCs w:val="22"/>
              <w:lang w:eastAsia="en-NZ"/>
            </w:rPr>
          </w:pPr>
          <w:hyperlink w:anchor="_Toc90411216" w:history="1">
            <w:r w:rsidR="002171AA" w:rsidRPr="00EF74DF">
              <w:rPr>
                <w:rStyle w:val="Hyperlink"/>
                <w:b/>
                <w:bCs/>
                <w:noProof/>
              </w:rPr>
              <w:t>Appendices</w:t>
            </w:r>
            <w:r w:rsidR="002171AA">
              <w:rPr>
                <w:noProof/>
                <w:webHidden/>
              </w:rPr>
              <w:tab/>
            </w:r>
            <w:r w:rsidR="002171AA">
              <w:rPr>
                <w:noProof/>
                <w:webHidden/>
              </w:rPr>
              <w:fldChar w:fldCharType="begin"/>
            </w:r>
            <w:r w:rsidR="002171AA">
              <w:rPr>
                <w:noProof/>
                <w:webHidden/>
              </w:rPr>
              <w:instrText xml:space="preserve"> PAGEREF _Toc90411216 \h </w:instrText>
            </w:r>
            <w:r w:rsidR="002171AA">
              <w:rPr>
                <w:noProof/>
                <w:webHidden/>
              </w:rPr>
            </w:r>
            <w:r w:rsidR="002171AA">
              <w:rPr>
                <w:noProof/>
                <w:webHidden/>
              </w:rPr>
              <w:fldChar w:fldCharType="separate"/>
            </w:r>
            <w:r w:rsidR="00CB3EB2">
              <w:rPr>
                <w:noProof/>
                <w:webHidden/>
              </w:rPr>
              <w:t>26</w:t>
            </w:r>
            <w:r w:rsidR="002171AA">
              <w:rPr>
                <w:noProof/>
                <w:webHidden/>
              </w:rPr>
              <w:fldChar w:fldCharType="end"/>
            </w:r>
          </w:hyperlink>
        </w:p>
        <w:p w14:paraId="705BFE89" w14:textId="21BB11E9" w:rsidR="002171AA" w:rsidRDefault="00B108D1">
          <w:pPr>
            <w:pStyle w:val="TOC3"/>
            <w:rPr>
              <w:rFonts w:asciiTheme="minorHAnsi" w:eastAsiaTheme="minorEastAsia" w:hAnsiTheme="minorHAnsi" w:cstheme="minorBidi"/>
              <w:noProof/>
              <w:sz w:val="22"/>
              <w:szCs w:val="22"/>
              <w:lang w:eastAsia="en-NZ"/>
            </w:rPr>
          </w:pPr>
          <w:hyperlink w:anchor="_Toc90411217" w:history="1">
            <w:r w:rsidR="002171AA" w:rsidRPr="00EF74DF">
              <w:rPr>
                <w:rStyle w:val="Hyperlink"/>
                <w:noProof/>
              </w:rPr>
              <w:t>Appendix 1</w:t>
            </w:r>
            <w:r w:rsidR="002171AA">
              <w:rPr>
                <w:noProof/>
                <w:webHidden/>
              </w:rPr>
              <w:tab/>
            </w:r>
            <w:r w:rsidR="002171AA">
              <w:rPr>
                <w:noProof/>
                <w:webHidden/>
              </w:rPr>
              <w:fldChar w:fldCharType="begin"/>
            </w:r>
            <w:r w:rsidR="002171AA">
              <w:rPr>
                <w:noProof/>
                <w:webHidden/>
              </w:rPr>
              <w:instrText xml:space="preserve"> PAGEREF _Toc90411217 \h </w:instrText>
            </w:r>
            <w:r w:rsidR="002171AA">
              <w:rPr>
                <w:noProof/>
                <w:webHidden/>
              </w:rPr>
            </w:r>
            <w:r w:rsidR="002171AA">
              <w:rPr>
                <w:noProof/>
                <w:webHidden/>
              </w:rPr>
              <w:fldChar w:fldCharType="separate"/>
            </w:r>
            <w:r w:rsidR="00CB3EB2">
              <w:rPr>
                <w:noProof/>
                <w:webHidden/>
              </w:rPr>
              <w:t>26</w:t>
            </w:r>
            <w:r w:rsidR="002171AA">
              <w:rPr>
                <w:noProof/>
                <w:webHidden/>
              </w:rPr>
              <w:fldChar w:fldCharType="end"/>
            </w:r>
          </w:hyperlink>
        </w:p>
        <w:p w14:paraId="1440BC97" w14:textId="55AC1A00" w:rsidR="002171AA" w:rsidRDefault="00B108D1">
          <w:pPr>
            <w:pStyle w:val="TOC3"/>
            <w:rPr>
              <w:rFonts w:asciiTheme="minorHAnsi" w:eastAsiaTheme="minorEastAsia" w:hAnsiTheme="minorHAnsi" w:cstheme="minorBidi"/>
              <w:noProof/>
              <w:sz w:val="22"/>
              <w:szCs w:val="22"/>
              <w:lang w:eastAsia="en-NZ"/>
            </w:rPr>
          </w:pPr>
          <w:hyperlink w:anchor="_Toc90411218" w:history="1">
            <w:r w:rsidR="002171AA" w:rsidRPr="00EF74DF">
              <w:rPr>
                <w:rStyle w:val="Hyperlink"/>
                <w:noProof/>
              </w:rPr>
              <w:t>Appendix 2</w:t>
            </w:r>
            <w:r w:rsidR="002171AA">
              <w:rPr>
                <w:noProof/>
                <w:webHidden/>
              </w:rPr>
              <w:tab/>
            </w:r>
            <w:r w:rsidR="002171AA">
              <w:rPr>
                <w:noProof/>
                <w:webHidden/>
              </w:rPr>
              <w:fldChar w:fldCharType="begin"/>
            </w:r>
            <w:r w:rsidR="002171AA">
              <w:rPr>
                <w:noProof/>
                <w:webHidden/>
              </w:rPr>
              <w:instrText xml:space="preserve"> PAGEREF _Toc90411218 \h </w:instrText>
            </w:r>
            <w:r w:rsidR="002171AA">
              <w:rPr>
                <w:noProof/>
                <w:webHidden/>
              </w:rPr>
            </w:r>
            <w:r w:rsidR="002171AA">
              <w:rPr>
                <w:noProof/>
                <w:webHidden/>
              </w:rPr>
              <w:fldChar w:fldCharType="separate"/>
            </w:r>
            <w:r w:rsidR="00CB3EB2">
              <w:rPr>
                <w:noProof/>
                <w:webHidden/>
              </w:rPr>
              <w:t>27</w:t>
            </w:r>
            <w:r w:rsidR="002171AA">
              <w:rPr>
                <w:noProof/>
                <w:webHidden/>
              </w:rPr>
              <w:fldChar w:fldCharType="end"/>
            </w:r>
          </w:hyperlink>
        </w:p>
        <w:p w14:paraId="1565D392" w14:textId="128FB936" w:rsidR="00FA1AA4" w:rsidRPr="0065477B" w:rsidRDefault="00A11ECE" w:rsidP="00FA1AA4">
          <w:pPr>
            <w:ind w:right="402"/>
          </w:pPr>
          <w:r w:rsidRPr="0065477B">
            <w:rPr>
              <w:b/>
              <w:bCs/>
              <w:noProof/>
            </w:rPr>
            <w:fldChar w:fldCharType="end"/>
          </w:r>
        </w:p>
      </w:sdtContent>
    </w:sdt>
    <w:p w14:paraId="43A245A2" w14:textId="77777777" w:rsidR="003959B1" w:rsidRDefault="003959B1" w:rsidP="003959B1"/>
    <w:p w14:paraId="3AB392F3" w14:textId="3448BD78" w:rsidR="00D40F75" w:rsidRPr="003959B1" w:rsidRDefault="00D40F75" w:rsidP="003959B1">
      <w:pPr>
        <w:sectPr w:rsidR="00D40F75" w:rsidRPr="003959B1" w:rsidSect="00BF4E8D">
          <w:headerReference w:type="default" r:id="rId11"/>
          <w:footerReference w:type="even" r:id="rId12"/>
          <w:footerReference w:type="default" r:id="rId13"/>
          <w:headerReference w:type="first" r:id="rId14"/>
          <w:pgSz w:w="11907" w:h="16834" w:code="9"/>
          <w:pgMar w:top="1418" w:right="1134" w:bottom="567" w:left="720" w:header="284" w:footer="425" w:gutter="284"/>
          <w:pgNumType w:start="1"/>
          <w:cols w:space="720"/>
          <w:titlePg/>
          <w:docGrid w:linePitch="286"/>
        </w:sectPr>
      </w:pPr>
    </w:p>
    <w:p w14:paraId="7D083D7A" w14:textId="77777777" w:rsidR="0001081D" w:rsidRPr="002E3F42" w:rsidRDefault="0001081D" w:rsidP="0001081D">
      <w:pPr>
        <w:pStyle w:val="Heading2"/>
        <w:rPr>
          <w:b/>
          <w:bCs/>
        </w:rPr>
      </w:pPr>
      <w:bookmarkStart w:id="7" w:name="_Toc90411182"/>
      <w:bookmarkStart w:id="8" w:name="_Hlk89805350"/>
      <w:r w:rsidRPr="002E3F42">
        <w:rPr>
          <w:b/>
          <w:bCs/>
        </w:rPr>
        <w:lastRenderedPageBreak/>
        <w:t>Purpose</w:t>
      </w:r>
      <w:bookmarkEnd w:id="7"/>
    </w:p>
    <w:p w14:paraId="402B61A3" w14:textId="706423FA" w:rsidR="0001081D" w:rsidRPr="0010564E" w:rsidRDefault="0001081D" w:rsidP="0001081D">
      <w:pPr>
        <w:rPr>
          <w:rStyle w:val="normaltextrun"/>
          <w:rFonts w:cs="Segoe UI"/>
          <w:sz w:val="22"/>
          <w:szCs w:val="22"/>
          <w:shd w:val="clear" w:color="auto" w:fill="FFFFFF"/>
        </w:rPr>
      </w:pPr>
      <w:r w:rsidRPr="0010564E">
        <w:rPr>
          <w:rStyle w:val="normaltextrun"/>
          <w:rFonts w:cs="Segoe UI"/>
          <w:sz w:val="22"/>
          <w:szCs w:val="22"/>
          <w:shd w:val="clear" w:color="auto" w:fill="FFFFFF"/>
        </w:rPr>
        <w:t xml:space="preserve">Aotearoa New Zealand has moved from an Elimination Strategy to a minimisation and protection strategy as part of the COVID-19 Protection Framework. This change of approach means that the surveillance strategy that has been in place to-date needs to be reviewed and updated. </w:t>
      </w:r>
      <w:r w:rsidRPr="0010564E">
        <w:rPr>
          <w:rStyle w:val="normaltextrun"/>
          <w:rFonts w:cs="Segoe UI"/>
          <w:sz w:val="22"/>
          <w:szCs w:val="22"/>
        </w:rPr>
        <w:t xml:space="preserve">This update reflects the change in orientation of surveillance to include the impact of COVID-19 on communities and the health system. </w:t>
      </w:r>
      <w:r w:rsidRPr="0010564E">
        <w:rPr>
          <w:rStyle w:val="normaltextrun"/>
          <w:rFonts w:cs="Segoe UI"/>
          <w:sz w:val="22"/>
          <w:szCs w:val="22"/>
          <w:shd w:val="clear" w:color="auto" w:fill="FFFFFF"/>
        </w:rPr>
        <w:t> </w:t>
      </w:r>
    </w:p>
    <w:p w14:paraId="5B4D8ED8" w14:textId="5CA083A3" w:rsidR="0001081D" w:rsidRPr="0010564E" w:rsidRDefault="0001081D" w:rsidP="0001081D">
      <w:pPr>
        <w:rPr>
          <w:rFonts w:cs="Segoe UI"/>
          <w:sz w:val="22"/>
          <w:szCs w:val="22"/>
        </w:rPr>
      </w:pPr>
      <w:r w:rsidRPr="0010564E">
        <w:rPr>
          <w:rFonts w:cs="Segoe UI"/>
          <w:sz w:val="22"/>
          <w:szCs w:val="22"/>
        </w:rPr>
        <w:t>Th</w:t>
      </w:r>
      <w:r w:rsidR="007A6088">
        <w:rPr>
          <w:rFonts w:cs="Segoe UI"/>
          <w:sz w:val="22"/>
          <w:szCs w:val="22"/>
        </w:rPr>
        <w:t xml:space="preserve">e purpose of this </w:t>
      </w:r>
      <w:r w:rsidRPr="0010564E">
        <w:rPr>
          <w:rFonts w:cs="Segoe UI"/>
          <w:sz w:val="22"/>
          <w:szCs w:val="22"/>
        </w:rPr>
        <w:t xml:space="preserve">updated COVID-19 Surveillance Strategy </w:t>
      </w:r>
      <w:r w:rsidR="007A6088">
        <w:rPr>
          <w:rFonts w:cs="Segoe UI"/>
          <w:sz w:val="22"/>
          <w:szCs w:val="22"/>
        </w:rPr>
        <w:t xml:space="preserve">is to </w:t>
      </w:r>
      <w:r w:rsidRPr="0010564E">
        <w:rPr>
          <w:rFonts w:cs="Segoe UI"/>
          <w:sz w:val="22"/>
          <w:szCs w:val="22"/>
          <w:shd w:val="clear" w:color="auto" w:fill="FFFFFF"/>
        </w:rPr>
        <w:t>identif</w:t>
      </w:r>
      <w:r w:rsidR="007A6088">
        <w:rPr>
          <w:rFonts w:cs="Segoe UI"/>
          <w:sz w:val="22"/>
          <w:szCs w:val="22"/>
          <w:shd w:val="clear" w:color="auto" w:fill="FFFFFF"/>
        </w:rPr>
        <w:t>y</w:t>
      </w:r>
      <w:r w:rsidRPr="0010564E">
        <w:rPr>
          <w:rFonts w:cs="Segoe UI"/>
          <w:sz w:val="22"/>
          <w:szCs w:val="22"/>
          <w:shd w:val="clear" w:color="auto" w:fill="FFFFFF"/>
        </w:rPr>
        <w:t xml:space="preserve"> the information needed to inform and monitor the pandemic response </w:t>
      </w:r>
      <w:r w:rsidR="007A6088">
        <w:rPr>
          <w:rFonts w:cs="Segoe UI"/>
          <w:sz w:val="22"/>
          <w:szCs w:val="22"/>
          <w:shd w:val="clear" w:color="auto" w:fill="FFFFFF"/>
        </w:rPr>
        <w:t xml:space="preserve">in Aotearoa New Zealand </w:t>
      </w:r>
      <w:r w:rsidRPr="0010564E">
        <w:rPr>
          <w:rFonts w:cs="Segoe UI"/>
          <w:sz w:val="22"/>
          <w:szCs w:val="22"/>
          <w:shd w:val="clear" w:color="auto" w:fill="FFFFFF"/>
        </w:rPr>
        <w:t xml:space="preserve">as part of the </w:t>
      </w:r>
      <w:r w:rsidR="007A6088">
        <w:rPr>
          <w:rFonts w:cs="Segoe UI"/>
          <w:sz w:val="22"/>
          <w:szCs w:val="22"/>
          <w:shd w:val="clear" w:color="auto" w:fill="FFFFFF"/>
        </w:rPr>
        <w:t xml:space="preserve">new </w:t>
      </w:r>
      <w:r w:rsidRPr="0010564E">
        <w:rPr>
          <w:rFonts w:cs="Segoe UI"/>
          <w:sz w:val="22"/>
          <w:szCs w:val="22"/>
          <w:shd w:val="clear" w:color="auto" w:fill="FFFFFF"/>
        </w:rPr>
        <w:t>COVID-19 Protection Framework (CPF). </w:t>
      </w:r>
      <w:r w:rsidRPr="0010564E">
        <w:rPr>
          <w:rFonts w:cs="Segoe UI"/>
          <w:sz w:val="22"/>
          <w:szCs w:val="22"/>
        </w:rPr>
        <w:t>P</w:t>
      </w:r>
      <w:r w:rsidRPr="0010564E">
        <w:rPr>
          <w:rFonts w:cs="Segoe UI"/>
          <w:sz w:val="22"/>
          <w:szCs w:val="22"/>
          <w:shd w:val="clear" w:color="auto" w:fill="FFFFFF"/>
        </w:rPr>
        <w:t xml:space="preserve">riority areas have been outlined for monitoring and measuring the ongoing pattern of COVID-19 disease occurrence and tracking the potential for disease in the population in order to effectively investigate, control, and prevent disease burden and wider impacts. Furthermore, it will monitor the impact of decisions taken </w:t>
      </w:r>
      <w:r w:rsidRPr="0010564E">
        <w:rPr>
          <w:rFonts w:cs="Segoe UI"/>
          <w:sz w:val="22"/>
          <w:szCs w:val="22"/>
        </w:rPr>
        <w:t xml:space="preserve">on disease trends and virus transmission dynamics. </w:t>
      </w:r>
    </w:p>
    <w:p w14:paraId="496DCC22" w14:textId="77777777" w:rsidR="0001081D" w:rsidRPr="0010564E" w:rsidRDefault="0001081D" w:rsidP="0001081D">
      <w:pPr>
        <w:rPr>
          <w:rFonts w:cs="Segoe UI"/>
          <w:sz w:val="22"/>
          <w:szCs w:val="22"/>
        </w:rPr>
      </w:pPr>
      <w:r w:rsidRPr="0010564E">
        <w:rPr>
          <w:rFonts w:cs="Segoe UI"/>
          <w:sz w:val="22"/>
          <w:szCs w:val="22"/>
        </w:rPr>
        <w:t>The following indicates where surveillance is placed within the broader COVID-19 public health response.</w:t>
      </w:r>
      <w:r w:rsidRPr="0010564E">
        <w:rPr>
          <w:rFonts w:cs="Segoe UI"/>
          <w:noProof/>
          <w:sz w:val="22"/>
          <w:szCs w:val="22"/>
        </w:rPr>
        <w:t xml:space="preserve"> </w:t>
      </w:r>
    </w:p>
    <w:p w14:paraId="143D2220" w14:textId="77777777" w:rsidR="0001081D" w:rsidRDefault="0001081D" w:rsidP="0001081D">
      <w:pPr>
        <w:rPr>
          <w:rFonts w:cs="Segoe UI"/>
        </w:rPr>
      </w:pPr>
      <w:r w:rsidRPr="00C477DF">
        <w:rPr>
          <w:rFonts w:cs="Segoe UI"/>
          <w:noProof/>
        </w:rPr>
        <w:drawing>
          <wp:anchor distT="0" distB="0" distL="114300" distR="114300" simplePos="0" relativeHeight="251658240" behindDoc="0" locked="0" layoutInCell="1" allowOverlap="1" wp14:anchorId="6CE2B7E5" wp14:editId="30254069">
            <wp:simplePos x="0" y="0"/>
            <wp:positionH relativeFrom="margin">
              <wp:posOffset>46990</wp:posOffset>
            </wp:positionH>
            <wp:positionV relativeFrom="paragraph">
              <wp:posOffset>202565</wp:posOffset>
            </wp:positionV>
            <wp:extent cx="6050280" cy="4658995"/>
            <wp:effectExtent l="0" t="0" r="7620" b="8255"/>
            <wp:wrapThrough wrapText="bothSides">
              <wp:wrapPolygon edited="0">
                <wp:start x="0" y="0"/>
                <wp:lineTo x="0" y="21550"/>
                <wp:lineTo x="21559" y="21550"/>
                <wp:lineTo x="2155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50280" cy="46589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F7E543" w14:textId="70EC3C1C" w:rsidR="0001081D" w:rsidRPr="0010564E" w:rsidRDefault="0001081D" w:rsidP="0001081D">
      <w:pPr>
        <w:rPr>
          <w:rStyle w:val="normaltextrun"/>
          <w:rFonts w:cs="Segoe UI"/>
          <w:sz w:val="22"/>
          <w:szCs w:val="22"/>
          <w:shd w:val="clear" w:color="auto" w:fill="FFFFFF"/>
        </w:rPr>
      </w:pPr>
      <w:bookmarkStart w:id="9" w:name="_Toc89799467"/>
      <w:r w:rsidRPr="0010564E">
        <w:rPr>
          <w:rStyle w:val="normaltextrun"/>
          <w:rFonts w:cs="Segoe UI"/>
          <w:sz w:val="22"/>
          <w:szCs w:val="22"/>
          <w:shd w:val="clear" w:color="auto" w:fill="FFFFFF"/>
        </w:rPr>
        <w:t xml:space="preserve">The surveillance strategy is intended to be a nation-wide strategy, including equity considerations; and guiding the actions of all parties, </w:t>
      </w:r>
      <w:r w:rsidR="00895110">
        <w:rPr>
          <w:rStyle w:val="normaltextrun"/>
          <w:rFonts w:cs="Segoe UI"/>
          <w:sz w:val="22"/>
          <w:szCs w:val="22"/>
          <w:shd w:val="clear" w:color="auto" w:fill="FFFFFF"/>
        </w:rPr>
        <w:t>including</w:t>
      </w:r>
      <w:r w:rsidRPr="0010564E">
        <w:rPr>
          <w:rStyle w:val="normaltextrun"/>
          <w:rFonts w:cs="Segoe UI"/>
          <w:sz w:val="22"/>
          <w:szCs w:val="22"/>
          <w:shd w:val="clear" w:color="auto" w:fill="FFFFFF"/>
        </w:rPr>
        <w:t xml:space="preserve"> the Ministry of Health, other central government agencies, District Health Boards (DHB), Public Health Units (PHU), health service providers, iwi, and community leaders. </w:t>
      </w:r>
    </w:p>
    <w:p w14:paraId="20E6420D" w14:textId="0D398AFC" w:rsidR="005F6C3F" w:rsidRDefault="005F6C3F" w:rsidP="0001081D">
      <w:pPr>
        <w:rPr>
          <w:rStyle w:val="normaltextrun"/>
          <w:rFonts w:cs="Segoe UI"/>
          <w:shd w:val="clear" w:color="auto" w:fill="FFFFFF"/>
        </w:rPr>
      </w:pPr>
    </w:p>
    <w:p w14:paraId="5A23207E" w14:textId="1B00CC87" w:rsidR="0001081D" w:rsidRPr="002C3DE0" w:rsidRDefault="0001081D" w:rsidP="0001081D">
      <w:pPr>
        <w:rPr>
          <w:rStyle w:val="normaltextrun"/>
          <w:rFonts w:cs="Segoe UI"/>
          <w:sz w:val="22"/>
          <w:szCs w:val="22"/>
          <w:shd w:val="clear" w:color="auto" w:fill="FFFFFF"/>
        </w:rPr>
      </w:pPr>
      <w:r w:rsidRPr="002C3DE0">
        <w:rPr>
          <w:rStyle w:val="normaltextrun"/>
          <w:rFonts w:cs="Segoe UI"/>
          <w:sz w:val="22"/>
          <w:szCs w:val="22"/>
          <w:shd w:val="clear" w:color="auto" w:fill="FFFFFF"/>
        </w:rPr>
        <w:t xml:space="preserve">This </w:t>
      </w:r>
      <w:r w:rsidR="007A6088" w:rsidRPr="002C3DE0">
        <w:rPr>
          <w:rStyle w:val="normaltextrun"/>
          <w:rFonts w:cs="Segoe UI"/>
          <w:sz w:val="22"/>
          <w:szCs w:val="22"/>
          <w:shd w:val="clear" w:color="auto" w:fill="FFFFFF"/>
        </w:rPr>
        <w:t xml:space="preserve">nationwide </w:t>
      </w:r>
      <w:r w:rsidRPr="002C3DE0">
        <w:rPr>
          <w:rStyle w:val="normaltextrun"/>
          <w:rFonts w:cs="Segoe UI"/>
          <w:sz w:val="22"/>
          <w:szCs w:val="22"/>
          <w:shd w:val="clear" w:color="auto" w:fill="FFFFFF"/>
        </w:rPr>
        <w:t xml:space="preserve">strategy provides clear guidance </w:t>
      </w:r>
      <w:r w:rsidR="007A6088" w:rsidRPr="002C3DE0">
        <w:rPr>
          <w:rStyle w:val="normaltextrun"/>
          <w:rFonts w:cs="Segoe UI"/>
          <w:sz w:val="22"/>
          <w:szCs w:val="22"/>
          <w:shd w:val="clear" w:color="auto" w:fill="FFFFFF"/>
        </w:rPr>
        <w:t>for</w:t>
      </w:r>
      <w:r w:rsidR="009C220D" w:rsidRPr="002C3DE0">
        <w:rPr>
          <w:rStyle w:val="normaltextrun"/>
          <w:rFonts w:cs="Segoe UI"/>
          <w:sz w:val="22"/>
          <w:szCs w:val="22"/>
          <w:shd w:val="clear" w:color="auto" w:fill="FFFFFF"/>
        </w:rPr>
        <w:t xml:space="preserve"> </w:t>
      </w:r>
      <w:r w:rsidRPr="002C3DE0">
        <w:rPr>
          <w:rStyle w:val="normaltextrun"/>
          <w:rFonts w:cs="Segoe UI"/>
          <w:sz w:val="22"/>
          <w:szCs w:val="22"/>
          <w:shd w:val="clear" w:color="auto" w:fill="FFFFFF"/>
        </w:rPr>
        <w:t>COVID-19</w:t>
      </w:r>
      <w:r w:rsidR="009C220D" w:rsidRPr="002C3DE0">
        <w:rPr>
          <w:rStyle w:val="normaltextrun"/>
          <w:rFonts w:cs="Segoe UI"/>
          <w:sz w:val="22"/>
          <w:szCs w:val="22"/>
          <w:shd w:val="clear" w:color="auto" w:fill="FFFFFF"/>
        </w:rPr>
        <w:t xml:space="preserve"> </w:t>
      </w:r>
      <w:r w:rsidRPr="002C3DE0">
        <w:rPr>
          <w:rStyle w:val="normaltextrun"/>
          <w:rFonts w:cs="Segoe UI"/>
          <w:sz w:val="22"/>
          <w:szCs w:val="22"/>
          <w:shd w:val="clear" w:color="auto" w:fill="FFFFFF"/>
        </w:rPr>
        <w:t>surveillance</w:t>
      </w:r>
      <w:r w:rsidR="009C220D" w:rsidRPr="002C3DE0">
        <w:rPr>
          <w:rStyle w:val="normaltextrun"/>
          <w:rFonts w:cs="Segoe UI"/>
          <w:sz w:val="22"/>
          <w:szCs w:val="22"/>
          <w:shd w:val="clear" w:color="auto" w:fill="FFFFFF"/>
        </w:rPr>
        <w:t xml:space="preserve"> </w:t>
      </w:r>
      <w:r w:rsidR="007A6088" w:rsidRPr="002C3DE0">
        <w:rPr>
          <w:rStyle w:val="normaltextrun"/>
          <w:rFonts w:cs="Segoe UI"/>
          <w:sz w:val="22"/>
          <w:szCs w:val="22"/>
          <w:shd w:val="clear" w:color="auto" w:fill="FFFFFF"/>
        </w:rPr>
        <w:t>under</w:t>
      </w:r>
      <w:r w:rsidR="009C220D" w:rsidRPr="002C3DE0">
        <w:rPr>
          <w:rStyle w:val="normaltextrun"/>
          <w:rFonts w:cs="Segoe UI"/>
          <w:sz w:val="22"/>
          <w:szCs w:val="22"/>
          <w:shd w:val="clear" w:color="auto" w:fill="FFFFFF"/>
        </w:rPr>
        <w:t xml:space="preserve"> </w:t>
      </w:r>
      <w:r w:rsidRPr="002C3DE0">
        <w:rPr>
          <w:rStyle w:val="normaltextrun"/>
          <w:rFonts w:cs="Segoe UI"/>
          <w:sz w:val="22"/>
          <w:szCs w:val="22"/>
          <w:shd w:val="clear" w:color="auto" w:fill="FFFFFF"/>
        </w:rPr>
        <w:t>a</w:t>
      </w:r>
      <w:r w:rsidR="009C220D" w:rsidRPr="002C3DE0">
        <w:rPr>
          <w:rStyle w:val="normaltextrun"/>
          <w:rFonts w:cs="Segoe UI"/>
          <w:sz w:val="22"/>
          <w:szCs w:val="22"/>
          <w:shd w:val="clear" w:color="auto" w:fill="FFFFFF"/>
        </w:rPr>
        <w:t xml:space="preserve"> </w:t>
      </w:r>
      <w:r w:rsidRPr="002C3DE0">
        <w:rPr>
          <w:rStyle w:val="normaltextrun"/>
          <w:rFonts w:cs="Segoe UI"/>
          <w:sz w:val="22"/>
          <w:szCs w:val="22"/>
          <w:shd w:val="clear" w:color="auto" w:fill="FFFFFF"/>
        </w:rPr>
        <w:t>Minimisation</w:t>
      </w:r>
      <w:r w:rsidRPr="002C3DE0">
        <w:rPr>
          <w:rStyle w:val="normaltextrun"/>
          <w:rFonts w:cs="Segoe UI"/>
          <w:sz w:val="22"/>
          <w:szCs w:val="22"/>
          <w:shd w:val="clear" w:color="auto" w:fill="FFFFFF"/>
          <w:vertAlign w:val="superscript"/>
        </w:rPr>
        <w:footnoteReference w:id="2"/>
      </w:r>
      <w:r w:rsidRPr="002C3DE0">
        <w:rPr>
          <w:rStyle w:val="normaltextrun"/>
          <w:rFonts w:cs="Segoe UI"/>
          <w:sz w:val="22"/>
          <w:szCs w:val="22"/>
          <w:shd w:val="clear" w:color="auto" w:fill="FFFFFF"/>
          <w:vertAlign w:val="superscript"/>
        </w:rPr>
        <w:t> </w:t>
      </w:r>
      <w:r w:rsidRPr="002C3DE0">
        <w:rPr>
          <w:rStyle w:val="normaltextrun"/>
          <w:rFonts w:cs="Segoe UI"/>
          <w:sz w:val="22"/>
          <w:szCs w:val="22"/>
          <w:shd w:val="clear" w:color="auto" w:fill="FFFFFF"/>
        </w:rPr>
        <w:t>and Protection</w:t>
      </w:r>
      <w:r w:rsidRPr="002C3DE0">
        <w:rPr>
          <w:rStyle w:val="normaltextrun"/>
          <w:rFonts w:cs="Segoe UI"/>
          <w:sz w:val="22"/>
          <w:szCs w:val="22"/>
          <w:shd w:val="clear" w:color="auto" w:fill="FFFFFF"/>
          <w:vertAlign w:val="superscript"/>
        </w:rPr>
        <w:footnoteReference w:id="3"/>
      </w:r>
      <w:r w:rsidR="009C220D" w:rsidRPr="002C3DE0">
        <w:rPr>
          <w:rStyle w:val="normaltextrun"/>
          <w:rFonts w:cs="Segoe UI"/>
          <w:sz w:val="22"/>
          <w:szCs w:val="22"/>
          <w:shd w:val="clear" w:color="auto" w:fill="FFFFFF"/>
        </w:rPr>
        <w:t xml:space="preserve"> </w:t>
      </w:r>
      <w:r w:rsidRPr="002C3DE0">
        <w:rPr>
          <w:rStyle w:val="normaltextrun"/>
          <w:rFonts w:cs="Segoe UI"/>
          <w:sz w:val="22"/>
          <w:szCs w:val="22"/>
          <w:shd w:val="clear" w:color="auto" w:fill="FFFFFF"/>
        </w:rPr>
        <w:t>Strategy (of which the</w:t>
      </w:r>
      <w:r w:rsidR="009C220D" w:rsidRPr="002C3DE0">
        <w:rPr>
          <w:rStyle w:val="normaltextrun"/>
          <w:rFonts w:cs="Segoe UI"/>
          <w:sz w:val="22"/>
          <w:szCs w:val="22"/>
          <w:shd w:val="clear" w:color="auto" w:fill="FFFFFF"/>
        </w:rPr>
        <w:t xml:space="preserve"> </w:t>
      </w:r>
      <w:hyperlink r:id="rId16" w:tgtFrame="_blank" w:history="1">
        <w:r w:rsidRPr="002C3DE0">
          <w:rPr>
            <w:rStyle w:val="normaltextrun"/>
            <w:rFonts w:cs="Segoe UI"/>
            <w:sz w:val="22"/>
            <w:szCs w:val="22"/>
            <w:shd w:val="clear" w:color="auto" w:fill="FFFFFF"/>
          </w:rPr>
          <w:t>COVID-19</w:t>
        </w:r>
        <w:r w:rsidR="009C220D" w:rsidRPr="002C3DE0">
          <w:rPr>
            <w:rStyle w:val="normaltextrun"/>
            <w:rFonts w:cs="Segoe UI"/>
            <w:sz w:val="22"/>
            <w:szCs w:val="22"/>
            <w:shd w:val="clear" w:color="auto" w:fill="FFFFFF"/>
          </w:rPr>
          <w:t xml:space="preserve"> </w:t>
        </w:r>
        <w:r w:rsidRPr="002C3DE0">
          <w:rPr>
            <w:rStyle w:val="normaltextrun"/>
            <w:rFonts w:cs="Segoe UI"/>
            <w:sz w:val="22"/>
            <w:szCs w:val="22"/>
            <w:shd w:val="clear" w:color="auto" w:fill="FFFFFF"/>
          </w:rPr>
          <w:t>Protection Framework</w:t>
        </w:r>
      </w:hyperlink>
      <w:r w:rsidR="009C220D" w:rsidRPr="002C3DE0">
        <w:rPr>
          <w:rStyle w:val="normaltextrun"/>
          <w:rFonts w:cs="Segoe UI"/>
          <w:sz w:val="22"/>
          <w:szCs w:val="22"/>
          <w:shd w:val="clear" w:color="auto" w:fill="FFFFFF"/>
        </w:rPr>
        <w:t xml:space="preserve"> </w:t>
      </w:r>
      <w:r w:rsidRPr="002C3DE0">
        <w:rPr>
          <w:rStyle w:val="normaltextrun"/>
          <w:rFonts w:cs="Segoe UI"/>
          <w:sz w:val="22"/>
          <w:szCs w:val="22"/>
          <w:shd w:val="clear" w:color="auto" w:fill="FFFFFF"/>
        </w:rPr>
        <w:t>will be part).</w:t>
      </w:r>
      <w:r w:rsidRPr="002C3DE0">
        <w:rPr>
          <w:rStyle w:val="normaltextrun"/>
          <w:rFonts w:cs="Segoe UI"/>
          <w:sz w:val="22"/>
          <w:szCs w:val="22"/>
          <w:shd w:val="clear" w:color="auto" w:fill="FFFFFF"/>
          <w:vertAlign w:val="superscript"/>
        </w:rPr>
        <w:footnoteReference w:id="4"/>
      </w:r>
      <w:r w:rsidRPr="002C3DE0">
        <w:rPr>
          <w:rStyle w:val="normaltextrun"/>
          <w:rFonts w:cs="Segoe UI"/>
          <w:sz w:val="22"/>
          <w:szCs w:val="22"/>
          <w:shd w:val="clear" w:color="auto" w:fill="FFFFFF"/>
          <w:vertAlign w:val="superscript"/>
        </w:rPr>
        <w:t> </w:t>
      </w:r>
      <w:r w:rsidRPr="002C3DE0">
        <w:rPr>
          <w:rStyle w:val="normaltextrun"/>
          <w:rFonts w:cs="Segoe UI"/>
          <w:sz w:val="22"/>
          <w:szCs w:val="22"/>
          <w:shd w:val="clear" w:color="auto" w:fill="FFFFFF"/>
        </w:rPr>
        <w:t xml:space="preserve"> </w:t>
      </w:r>
      <w:r w:rsidR="00D632E1" w:rsidRPr="002C3DE0">
        <w:rPr>
          <w:rStyle w:val="normaltextrun"/>
          <w:rFonts w:cs="Segoe UI"/>
          <w:sz w:val="22"/>
          <w:szCs w:val="22"/>
          <w:shd w:val="clear" w:color="auto" w:fill="FFFFFF"/>
        </w:rPr>
        <w:t>T</w:t>
      </w:r>
      <w:r w:rsidRPr="002C3DE0">
        <w:rPr>
          <w:rStyle w:val="normaltextrun"/>
          <w:rFonts w:cs="Segoe UI"/>
          <w:sz w:val="22"/>
          <w:szCs w:val="22"/>
          <w:shd w:val="clear" w:color="auto" w:fill="FFFFFF"/>
        </w:rPr>
        <w:t xml:space="preserve">he COVID-19 Protection Framework, also known as traffic lights, </w:t>
      </w:r>
      <w:r w:rsidR="00D632E1" w:rsidRPr="002C3DE0">
        <w:rPr>
          <w:rStyle w:val="normaltextrun"/>
          <w:rFonts w:cs="Segoe UI"/>
          <w:sz w:val="22"/>
          <w:szCs w:val="22"/>
          <w:shd w:val="clear" w:color="auto" w:fill="FFFFFF"/>
        </w:rPr>
        <w:t xml:space="preserve">commenced </w:t>
      </w:r>
      <w:r w:rsidRPr="002C3DE0">
        <w:rPr>
          <w:rStyle w:val="normaltextrun"/>
          <w:rFonts w:cs="Segoe UI"/>
          <w:sz w:val="22"/>
          <w:szCs w:val="22"/>
          <w:shd w:val="clear" w:color="auto" w:fill="FFFFFF"/>
        </w:rPr>
        <w:t>on 3 December 2021</w:t>
      </w:r>
      <w:r w:rsidR="00D632E1" w:rsidRPr="002C3DE0">
        <w:rPr>
          <w:rStyle w:val="normaltextrun"/>
          <w:rFonts w:cs="Segoe UI"/>
          <w:sz w:val="22"/>
          <w:szCs w:val="22"/>
          <w:shd w:val="clear" w:color="auto" w:fill="FFFFFF"/>
        </w:rPr>
        <w:t xml:space="preserve"> and</w:t>
      </w:r>
      <w:r w:rsidRPr="002C3DE0">
        <w:rPr>
          <w:rStyle w:val="normaltextrun"/>
          <w:rFonts w:cs="Segoe UI"/>
          <w:sz w:val="22"/>
          <w:szCs w:val="22"/>
          <w:shd w:val="clear" w:color="auto" w:fill="FFFFFF"/>
        </w:rPr>
        <w:t xml:space="preserve"> minimises the impact of COVID-19 through 3 settings — red, orange, and green.</w:t>
      </w:r>
    </w:p>
    <w:p w14:paraId="72FDA6FF" w14:textId="395E9208" w:rsidR="00EC3698" w:rsidRPr="002C3DE0" w:rsidRDefault="00FC1F8C" w:rsidP="0001081D">
      <w:pPr>
        <w:rPr>
          <w:rStyle w:val="normaltextrun"/>
          <w:rFonts w:cs="Segoe UI"/>
          <w:sz w:val="22"/>
          <w:szCs w:val="22"/>
          <w:shd w:val="clear" w:color="auto" w:fill="FFFFFF"/>
        </w:rPr>
      </w:pPr>
      <w:r>
        <w:rPr>
          <w:rStyle w:val="normaltextrun"/>
          <w:rFonts w:cs="Segoe UI"/>
          <w:sz w:val="22"/>
          <w:szCs w:val="22"/>
          <w:shd w:val="clear" w:color="auto" w:fill="FFFFFF"/>
        </w:rPr>
        <w:t>The objective of m</w:t>
      </w:r>
      <w:r w:rsidR="0001081D" w:rsidRPr="002C3DE0">
        <w:rPr>
          <w:rStyle w:val="normaltextrun"/>
          <w:rFonts w:cs="Segoe UI"/>
          <w:sz w:val="22"/>
          <w:szCs w:val="22"/>
          <w:shd w:val="clear" w:color="auto" w:fill="FFFFFF"/>
        </w:rPr>
        <w:t>inimisation</w:t>
      </w:r>
      <w:r>
        <w:rPr>
          <w:rStyle w:val="normaltextrun"/>
          <w:rFonts w:cs="Segoe UI"/>
          <w:sz w:val="22"/>
          <w:szCs w:val="22"/>
          <w:shd w:val="clear" w:color="auto" w:fill="FFFFFF"/>
        </w:rPr>
        <w:t xml:space="preserve"> is to contain </w:t>
      </w:r>
      <w:r w:rsidR="0001081D" w:rsidRPr="002C3DE0">
        <w:rPr>
          <w:rStyle w:val="normaltextrun"/>
          <w:rFonts w:cs="Segoe UI"/>
          <w:sz w:val="22"/>
          <w:szCs w:val="22"/>
          <w:shd w:val="clear" w:color="auto" w:fill="FFFFFF"/>
        </w:rPr>
        <w:t>the spread of COVID-19 and hospitalisations at as low a level as possible. Outbreaks in high-risk settings will be contained and controlled, and if practical, stamped out. There will likely be some level of cases in the community on an ongoing basis.</w:t>
      </w:r>
      <w:r w:rsidR="00D32EC5" w:rsidRPr="002C3DE0">
        <w:rPr>
          <w:rStyle w:val="normaltextrun"/>
          <w:rFonts w:cs="Segoe UI"/>
          <w:sz w:val="22"/>
          <w:szCs w:val="22"/>
          <w:shd w:val="clear" w:color="auto" w:fill="FFFFFF"/>
        </w:rPr>
        <w:t xml:space="preserve"> There is a priority to </w:t>
      </w:r>
      <w:r w:rsidR="0001081D" w:rsidRPr="002C3DE0">
        <w:rPr>
          <w:rStyle w:val="normaltextrun"/>
          <w:rFonts w:cs="Segoe UI"/>
          <w:sz w:val="22"/>
          <w:szCs w:val="22"/>
          <w:shd w:val="clear" w:color="auto" w:fill="FFFFFF"/>
        </w:rPr>
        <w:t>monitor and measur</w:t>
      </w:r>
      <w:r w:rsidR="00D32EC5" w:rsidRPr="002C3DE0">
        <w:rPr>
          <w:rStyle w:val="normaltextrun"/>
          <w:rFonts w:cs="Segoe UI"/>
          <w:sz w:val="22"/>
          <w:szCs w:val="22"/>
          <w:shd w:val="clear" w:color="auto" w:fill="FFFFFF"/>
        </w:rPr>
        <w:t>e</w:t>
      </w:r>
      <w:r w:rsidR="0001081D" w:rsidRPr="002C3DE0">
        <w:rPr>
          <w:rStyle w:val="normaltextrun"/>
          <w:rFonts w:cs="Segoe UI"/>
          <w:sz w:val="22"/>
          <w:szCs w:val="22"/>
          <w:shd w:val="clear" w:color="auto" w:fill="FFFFFF"/>
        </w:rPr>
        <w:t xml:space="preserve"> risk </w:t>
      </w:r>
      <w:r w:rsidR="00D32EC5" w:rsidRPr="002C3DE0">
        <w:rPr>
          <w:rStyle w:val="normaltextrun"/>
          <w:rFonts w:cs="Segoe UI"/>
          <w:sz w:val="22"/>
          <w:szCs w:val="22"/>
          <w:shd w:val="clear" w:color="auto" w:fill="FFFFFF"/>
        </w:rPr>
        <w:t>to</w:t>
      </w:r>
      <w:r w:rsidR="0001081D" w:rsidRPr="002C3DE0">
        <w:rPr>
          <w:rStyle w:val="normaltextrun"/>
          <w:rFonts w:cs="Segoe UI"/>
          <w:sz w:val="22"/>
          <w:szCs w:val="22"/>
          <w:shd w:val="clear" w:color="auto" w:fill="FFFFFF"/>
        </w:rPr>
        <w:t xml:space="preserve"> vulnerab</w:t>
      </w:r>
      <w:r w:rsidR="00D32EC5" w:rsidRPr="002C3DE0">
        <w:rPr>
          <w:rStyle w:val="normaltextrun"/>
          <w:rFonts w:cs="Segoe UI"/>
          <w:sz w:val="22"/>
          <w:szCs w:val="22"/>
          <w:shd w:val="clear" w:color="auto" w:fill="FFFFFF"/>
        </w:rPr>
        <w:t xml:space="preserve">le populations </w:t>
      </w:r>
      <w:r w:rsidR="0001081D" w:rsidRPr="002C3DE0">
        <w:rPr>
          <w:rStyle w:val="normaltextrun"/>
          <w:rFonts w:cs="Segoe UI"/>
          <w:sz w:val="22"/>
          <w:szCs w:val="22"/>
          <w:shd w:val="clear" w:color="auto" w:fill="FFFFFF"/>
        </w:rPr>
        <w:t xml:space="preserve">in </w:t>
      </w:r>
      <w:r w:rsidR="00D32EC5" w:rsidRPr="002C3DE0">
        <w:rPr>
          <w:rStyle w:val="normaltextrun"/>
          <w:rFonts w:cs="Segoe UI"/>
          <w:sz w:val="22"/>
          <w:szCs w:val="22"/>
          <w:shd w:val="clear" w:color="auto" w:fill="FFFFFF"/>
        </w:rPr>
        <w:t xml:space="preserve">such </w:t>
      </w:r>
      <w:r w:rsidR="0001081D" w:rsidRPr="002C3DE0">
        <w:rPr>
          <w:rStyle w:val="normaltextrun"/>
          <w:rFonts w:cs="Segoe UI"/>
          <w:sz w:val="22"/>
          <w:szCs w:val="22"/>
          <w:shd w:val="clear" w:color="auto" w:fill="FFFFFF"/>
        </w:rPr>
        <w:t xml:space="preserve">a situation. </w:t>
      </w:r>
    </w:p>
    <w:p w14:paraId="08891F40" w14:textId="606F47AE" w:rsidR="00EC3698" w:rsidRPr="002C3DE0" w:rsidRDefault="00EC3698" w:rsidP="00EC3698">
      <w:pPr>
        <w:rPr>
          <w:rStyle w:val="normaltextrun"/>
          <w:rFonts w:cs="Segoe UI"/>
          <w:sz w:val="22"/>
          <w:szCs w:val="22"/>
          <w:shd w:val="clear" w:color="auto" w:fill="FFFFFF"/>
        </w:rPr>
      </w:pPr>
      <w:r w:rsidRPr="002C3DE0">
        <w:rPr>
          <w:rStyle w:val="normaltextrun"/>
          <w:rFonts w:cs="Segoe UI"/>
          <w:sz w:val="22"/>
          <w:szCs w:val="22"/>
          <w:shd w:val="clear" w:color="auto" w:fill="FFFFFF"/>
        </w:rPr>
        <w:t xml:space="preserve">The system should be seen as part of wider surveillance </w:t>
      </w:r>
      <w:r w:rsidR="00EC7A98" w:rsidRPr="002C3DE0">
        <w:rPr>
          <w:rStyle w:val="normaltextrun"/>
          <w:rFonts w:cs="Segoe UI"/>
          <w:sz w:val="22"/>
          <w:szCs w:val="22"/>
          <w:shd w:val="clear" w:color="auto" w:fill="FFFFFF"/>
        </w:rPr>
        <w:t>activities and</w:t>
      </w:r>
      <w:r w:rsidRPr="002C3DE0">
        <w:rPr>
          <w:rStyle w:val="normaltextrun"/>
          <w:rFonts w:cs="Segoe UI"/>
          <w:sz w:val="22"/>
          <w:szCs w:val="22"/>
          <w:shd w:val="clear" w:color="auto" w:fill="FFFFFF"/>
        </w:rPr>
        <w:t xml:space="preserve"> will allow for integrated surveillance of COVID-19, influenza and other respiratory pathogens that are likely to co-circulate in the population. The surveillance system will also enable monitoring of vaccine effectiveness, which may require ad hoc studies possibly embedded within it. </w:t>
      </w:r>
    </w:p>
    <w:p w14:paraId="59D5BB95" w14:textId="6F87B54C" w:rsidR="00BD6A9A" w:rsidRPr="002C3DE0" w:rsidRDefault="0001081D" w:rsidP="002C3DE0">
      <w:pPr>
        <w:spacing w:after="240"/>
        <w:rPr>
          <w:rStyle w:val="normaltextrun"/>
          <w:rFonts w:cs="Segoe UI"/>
          <w:sz w:val="22"/>
          <w:szCs w:val="22"/>
          <w:shd w:val="clear" w:color="auto" w:fill="FFFFFF"/>
        </w:rPr>
      </w:pPr>
      <w:r w:rsidRPr="002C3DE0">
        <w:rPr>
          <w:rStyle w:val="normaltextrun"/>
          <w:rFonts w:cs="Segoe UI"/>
          <w:sz w:val="22"/>
          <w:szCs w:val="22"/>
          <w:shd w:val="clear" w:color="auto" w:fill="FFFFFF"/>
        </w:rPr>
        <w:t xml:space="preserve">The strategy will also be reviewed </w:t>
      </w:r>
      <w:r w:rsidR="009C220D" w:rsidRPr="002C3DE0">
        <w:rPr>
          <w:rStyle w:val="normaltextrun"/>
          <w:rFonts w:cs="Segoe UI"/>
          <w:sz w:val="22"/>
          <w:szCs w:val="22"/>
          <w:shd w:val="clear" w:color="auto" w:fill="FFFFFF"/>
        </w:rPr>
        <w:t xml:space="preserve">and updated </w:t>
      </w:r>
      <w:bookmarkEnd w:id="8"/>
      <w:bookmarkEnd w:id="9"/>
      <w:r w:rsidR="00D32EC5" w:rsidRPr="002C3DE0">
        <w:rPr>
          <w:rStyle w:val="normaltextrun"/>
          <w:rFonts w:cs="Segoe UI"/>
          <w:sz w:val="22"/>
          <w:szCs w:val="22"/>
          <w:shd w:val="clear" w:color="auto" w:fill="FFFFFF"/>
        </w:rPr>
        <w:t xml:space="preserve">regularly. </w:t>
      </w:r>
    </w:p>
    <w:p w14:paraId="074A547A" w14:textId="77777777" w:rsidR="004A16E9" w:rsidRPr="002C3DE0" w:rsidRDefault="004A16E9" w:rsidP="004A16E9">
      <w:pPr>
        <w:pStyle w:val="Heading2"/>
        <w:spacing w:before="0"/>
        <w:ind w:right="260"/>
        <w:rPr>
          <w:b/>
          <w:bCs/>
          <w:color w:val="auto"/>
        </w:rPr>
      </w:pPr>
      <w:bookmarkStart w:id="10" w:name="_Toc90411183"/>
      <w:r w:rsidRPr="002C3DE0">
        <w:rPr>
          <w:b/>
          <w:bCs/>
          <w:color w:val="auto"/>
        </w:rPr>
        <w:t>Background</w:t>
      </w:r>
      <w:bookmarkEnd w:id="10"/>
    </w:p>
    <w:p w14:paraId="49978005" w14:textId="67E30F3D" w:rsidR="004A16E9" w:rsidRPr="00616C8D" w:rsidRDefault="004A16E9" w:rsidP="00616C8D">
      <w:pPr>
        <w:rPr>
          <w:sz w:val="22"/>
          <w:szCs w:val="22"/>
        </w:rPr>
      </w:pPr>
      <w:r w:rsidRPr="00616C8D">
        <w:rPr>
          <w:sz w:val="22"/>
          <w:szCs w:val="22"/>
        </w:rPr>
        <w:t xml:space="preserve">The Elimination Strategy successfully mitigated the burden of COVID-19 since the start of the COVID-19 pandemic in Aotearoa New Zealand. The use of strong public health measures, such as Alert Level 3 and 4 lockdowns when needed, has allowed the country to keep cases, hospitalisations, and death rates very low by international standards. This approach was determined necessary for responding to COVID-19 prior to vaccines being widely available.   </w:t>
      </w:r>
    </w:p>
    <w:p w14:paraId="54172664" w14:textId="4BD67A64" w:rsidR="004A16E9" w:rsidRPr="00C90A24" w:rsidRDefault="004A16E9" w:rsidP="00616C8D">
      <w:pPr>
        <w:rPr>
          <w:sz w:val="22"/>
          <w:szCs w:val="22"/>
        </w:rPr>
      </w:pPr>
      <w:r w:rsidRPr="00616C8D">
        <w:rPr>
          <w:sz w:val="22"/>
          <w:szCs w:val="22"/>
        </w:rPr>
        <w:t>On 18 October 2021, Cabinet agreed to shift away from an elimination strategy for responding to COVID-19 to a “minimisation and protection” approach based on the protection vaccines provide an</w:t>
      </w:r>
      <w:r w:rsidRPr="00C90A24">
        <w:rPr>
          <w:sz w:val="22"/>
          <w:szCs w:val="22"/>
        </w:rPr>
        <w:t>d the challenges containing the delta variant.</w:t>
      </w:r>
      <w:r w:rsidRPr="00C90A24">
        <w:rPr>
          <w:sz w:val="22"/>
          <w:szCs w:val="22"/>
          <w:vertAlign w:val="superscript"/>
        </w:rPr>
        <w:footnoteReference w:id="5"/>
      </w:r>
      <w:r w:rsidRPr="00C90A24">
        <w:rPr>
          <w:sz w:val="22"/>
          <w:szCs w:val="22"/>
          <w:vertAlign w:val="superscript"/>
        </w:rPr>
        <w:t xml:space="preserve"> </w:t>
      </w:r>
      <w:r w:rsidRPr="00C90A24">
        <w:rPr>
          <w:sz w:val="22"/>
          <w:szCs w:val="22"/>
        </w:rPr>
        <w:t>Maintaining the Elimination Strategy from 21 March 2020 – 18 October 2021, delayed COVID-19 spre</w:t>
      </w:r>
      <w:r w:rsidR="00587C5F" w:rsidRPr="00C90A24">
        <w:rPr>
          <w:sz w:val="22"/>
          <w:szCs w:val="22"/>
        </w:rPr>
        <w:t xml:space="preserve">ad </w:t>
      </w:r>
      <w:r w:rsidRPr="00C90A24">
        <w:rPr>
          <w:sz w:val="22"/>
          <w:szCs w:val="22"/>
        </w:rPr>
        <w:t xml:space="preserve">within Aotearoa New Zealand. This provided time to increase vaccination rates and prepare for living with the virus through minimising the impact and protecting communities. </w:t>
      </w:r>
    </w:p>
    <w:p w14:paraId="1728BDB8" w14:textId="50819ED8" w:rsidR="004A16E9" w:rsidRPr="00C90A24" w:rsidRDefault="00C90A24" w:rsidP="00616C8D">
      <w:pPr>
        <w:rPr>
          <w:sz w:val="22"/>
          <w:szCs w:val="22"/>
        </w:rPr>
      </w:pPr>
      <w:r w:rsidRPr="00C90A24">
        <w:rPr>
          <w:rFonts w:cs="Segoe UI"/>
          <w:color w:val="242424"/>
          <w:sz w:val="22"/>
          <w:szCs w:val="22"/>
          <w:shd w:val="clear" w:color="auto" w:fill="FFFFFF"/>
        </w:rPr>
        <w:t xml:space="preserve">The country is now entering that next phase as we exceed 90 percent vaccination rates across the country. </w:t>
      </w:r>
      <w:r w:rsidR="004A16E9" w:rsidRPr="00C90A24">
        <w:rPr>
          <w:sz w:val="22"/>
          <w:szCs w:val="22"/>
        </w:rPr>
        <w:t xml:space="preserve">However, some sub-populations have lower rates of vaccine uptake; and some vulnerable groups are at higher risk of severe outcomes, for example, those with pre-existing conditions and/or immunocompromised. </w:t>
      </w:r>
      <w:r w:rsidR="00EC3698" w:rsidRPr="00C90A24">
        <w:rPr>
          <w:sz w:val="22"/>
          <w:szCs w:val="22"/>
        </w:rPr>
        <w:t xml:space="preserve">Equity and vulnerability are priority issues for surveillance going forward. </w:t>
      </w:r>
    </w:p>
    <w:p w14:paraId="11030B32" w14:textId="0120AF22" w:rsidR="004A16E9" w:rsidRPr="00616C8D" w:rsidRDefault="004A16E9" w:rsidP="00616C8D">
      <w:pPr>
        <w:rPr>
          <w:sz w:val="22"/>
          <w:szCs w:val="22"/>
        </w:rPr>
      </w:pPr>
      <w:r w:rsidRPr="00C90A24">
        <w:rPr>
          <w:sz w:val="22"/>
          <w:szCs w:val="22"/>
        </w:rPr>
        <w:t>Vaccin</w:t>
      </w:r>
      <w:r w:rsidR="008E3F03" w:rsidRPr="00C90A24">
        <w:rPr>
          <w:sz w:val="22"/>
          <w:szCs w:val="22"/>
        </w:rPr>
        <w:t>ation</w:t>
      </w:r>
      <w:r w:rsidRPr="00616C8D">
        <w:rPr>
          <w:sz w:val="22"/>
          <w:szCs w:val="22"/>
        </w:rPr>
        <w:t xml:space="preserve"> provide</w:t>
      </w:r>
      <w:r w:rsidR="008E3F03">
        <w:rPr>
          <w:sz w:val="22"/>
          <w:szCs w:val="22"/>
        </w:rPr>
        <w:t>s</w:t>
      </w:r>
      <w:r w:rsidRPr="00616C8D">
        <w:rPr>
          <w:sz w:val="22"/>
          <w:szCs w:val="22"/>
        </w:rPr>
        <w:t xml:space="preserve"> high levels of protection against symptomatic and severe disease as well as death caused by the Delta variant.</w:t>
      </w:r>
      <w:r w:rsidRPr="00616C8D">
        <w:rPr>
          <w:sz w:val="22"/>
          <w:szCs w:val="22"/>
          <w:vertAlign w:val="superscript"/>
        </w:rPr>
        <w:footnoteReference w:id="6"/>
      </w:r>
      <w:r w:rsidRPr="00616C8D">
        <w:rPr>
          <w:sz w:val="22"/>
          <w:szCs w:val="22"/>
          <w:vertAlign w:val="superscript"/>
        </w:rPr>
        <w:t xml:space="preserve"> </w:t>
      </w:r>
      <w:r w:rsidR="008E3F03">
        <w:rPr>
          <w:sz w:val="22"/>
          <w:szCs w:val="22"/>
        </w:rPr>
        <w:t>A</w:t>
      </w:r>
      <w:r w:rsidRPr="00616C8D">
        <w:rPr>
          <w:sz w:val="22"/>
          <w:szCs w:val="22"/>
        </w:rPr>
        <w:t xml:space="preserve"> risk-based approach to surveillance will be necessary in order </w:t>
      </w:r>
      <w:r w:rsidRPr="00616C8D">
        <w:rPr>
          <w:sz w:val="22"/>
          <w:szCs w:val="22"/>
        </w:rPr>
        <w:lastRenderedPageBreak/>
        <w:t xml:space="preserve">to </w:t>
      </w:r>
      <w:r w:rsidR="008E3F03">
        <w:rPr>
          <w:sz w:val="22"/>
          <w:szCs w:val="22"/>
        </w:rPr>
        <w:t>assess</w:t>
      </w:r>
      <w:r w:rsidRPr="00616C8D">
        <w:rPr>
          <w:sz w:val="22"/>
          <w:szCs w:val="22"/>
        </w:rPr>
        <w:t xml:space="preserve"> vulnerability and pandemic progression; and to adjust response measures to protect our communities and health system capacity. This monitoring will be implemented while being mindful not to stigmatise less vaccinated groups.</w:t>
      </w:r>
    </w:p>
    <w:p w14:paraId="3CD13E5A" w14:textId="768BE6F5" w:rsidR="004A16E9" w:rsidRPr="00616C8D" w:rsidRDefault="004A16E9" w:rsidP="00616C8D">
      <w:pPr>
        <w:rPr>
          <w:sz w:val="22"/>
          <w:szCs w:val="22"/>
        </w:rPr>
      </w:pPr>
      <w:r w:rsidRPr="00616C8D">
        <w:rPr>
          <w:sz w:val="22"/>
          <w:szCs w:val="22"/>
        </w:rPr>
        <w:t>An important element of surveillance in the ne</w:t>
      </w:r>
      <w:r w:rsidR="00A635D1">
        <w:rPr>
          <w:sz w:val="22"/>
          <w:szCs w:val="22"/>
        </w:rPr>
        <w:t>xt</w:t>
      </w:r>
      <w:r w:rsidRPr="00616C8D">
        <w:rPr>
          <w:sz w:val="22"/>
          <w:szCs w:val="22"/>
        </w:rPr>
        <w:t xml:space="preserve"> phase will be a system to provide early warning of potential large or otherwise risky clusters, and of their potential to overwhelm of the public health and healthcare system. </w:t>
      </w:r>
      <w:r w:rsidR="00EC3698" w:rsidRPr="00616C8D">
        <w:rPr>
          <w:sz w:val="22"/>
          <w:szCs w:val="22"/>
        </w:rPr>
        <w:t>This will enable</w:t>
      </w:r>
      <w:r w:rsidRPr="00616C8D">
        <w:rPr>
          <w:sz w:val="22"/>
          <w:szCs w:val="22"/>
        </w:rPr>
        <w:t xml:space="preserve"> resources to </w:t>
      </w:r>
      <w:r w:rsidR="00EC3698" w:rsidRPr="00616C8D">
        <w:rPr>
          <w:sz w:val="22"/>
          <w:szCs w:val="22"/>
        </w:rPr>
        <w:t xml:space="preserve">be directed to </w:t>
      </w:r>
      <w:r w:rsidRPr="00616C8D">
        <w:rPr>
          <w:sz w:val="22"/>
          <w:szCs w:val="22"/>
        </w:rPr>
        <w:t xml:space="preserve">where they are most needed. </w:t>
      </w:r>
    </w:p>
    <w:p w14:paraId="15C1C3E5" w14:textId="72F68580" w:rsidR="00EC3698" w:rsidRPr="00616C8D" w:rsidRDefault="004A16E9" w:rsidP="00616C8D">
      <w:pPr>
        <w:rPr>
          <w:color w:val="FF0000"/>
          <w:sz w:val="22"/>
          <w:szCs w:val="22"/>
        </w:rPr>
      </w:pPr>
      <w:r w:rsidRPr="00616C8D">
        <w:rPr>
          <w:sz w:val="22"/>
          <w:szCs w:val="22"/>
        </w:rPr>
        <w:t xml:space="preserve">An implementation plan is in development to complement this surveillance strategy. It will identify </w:t>
      </w:r>
      <w:r w:rsidR="006E702B">
        <w:rPr>
          <w:sz w:val="22"/>
          <w:szCs w:val="22"/>
        </w:rPr>
        <w:t xml:space="preserve">information </w:t>
      </w:r>
      <w:r w:rsidRPr="00616C8D">
        <w:rPr>
          <w:sz w:val="22"/>
          <w:szCs w:val="22"/>
        </w:rPr>
        <w:t xml:space="preserve">needed </w:t>
      </w:r>
      <w:r w:rsidRPr="00DE2C1E">
        <w:rPr>
          <w:sz w:val="22"/>
          <w:szCs w:val="22"/>
        </w:rPr>
        <w:t xml:space="preserve">to inform the </w:t>
      </w:r>
      <w:hyperlink r:id="rId17">
        <w:r w:rsidRPr="00DE2C1E">
          <w:rPr>
            <w:sz w:val="22"/>
            <w:szCs w:val="22"/>
          </w:rPr>
          <w:t>COVID-19 Protection Framework</w:t>
        </w:r>
      </w:hyperlink>
      <w:r w:rsidRPr="00DE2C1E">
        <w:rPr>
          <w:sz w:val="22"/>
          <w:szCs w:val="22"/>
        </w:rPr>
        <w:t xml:space="preserve"> and traffic light system, as well as areas to monitor for an early warning system. This strategy incorporates other frameworks, including the testing strategy, and the case and contact management plan. </w:t>
      </w:r>
      <w:r w:rsidR="00147B03" w:rsidRPr="00DE2C1E">
        <w:rPr>
          <w:sz w:val="22"/>
          <w:szCs w:val="22"/>
        </w:rPr>
        <w:t xml:space="preserve">Changes in testing capacity, test availability, changing testing policy, sustainability of testing capacity, sequencing </w:t>
      </w:r>
      <w:r w:rsidR="00CD75BB" w:rsidRPr="00DE2C1E">
        <w:rPr>
          <w:sz w:val="22"/>
          <w:szCs w:val="22"/>
        </w:rPr>
        <w:t>strategy,</w:t>
      </w:r>
      <w:r w:rsidR="00147B03" w:rsidRPr="00DE2C1E">
        <w:rPr>
          <w:sz w:val="22"/>
          <w:szCs w:val="22"/>
        </w:rPr>
        <w:t xml:space="preserve"> and capacity (especially in relation to all the cases of the delta </w:t>
      </w:r>
      <w:r w:rsidR="00CD75BB" w:rsidRPr="00DE2C1E">
        <w:rPr>
          <w:sz w:val="22"/>
          <w:szCs w:val="22"/>
        </w:rPr>
        <w:t>and other variants of concerns</w:t>
      </w:r>
      <w:r w:rsidR="002171AA" w:rsidRPr="00DE2C1E">
        <w:rPr>
          <w:sz w:val="22"/>
          <w:szCs w:val="22"/>
        </w:rPr>
        <w:t>)</w:t>
      </w:r>
      <w:r w:rsidR="00490DD5" w:rsidRPr="00DE2C1E">
        <w:rPr>
          <w:sz w:val="22"/>
          <w:szCs w:val="22"/>
        </w:rPr>
        <w:t xml:space="preserve"> </w:t>
      </w:r>
      <w:r w:rsidR="00EC3698" w:rsidRPr="00DE2C1E">
        <w:rPr>
          <w:sz w:val="22"/>
          <w:szCs w:val="22"/>
        </w:rPr>
        <w:t>influence surveillance</w:t>
      </w:r>
      <w:r w:rsidR="00CD75BB" w:rsidRPr="00DE2C1E">
        <w:rPr>
          <w:sz w:val="22"/>
          <w:szCs w:val="22"/>
        </w:rPr>
        <w:t>.</w:t>
      </w:r>
    </w:p>
    <w:p w14:paraId="2140C9DE" w14:textId="1074FFA4" w:rsidR="00D40F75" w:rsidRPr="00616C8D" w:rsidRDefault="00D40F75" w:rsidP="00D40F75">
      <w:pPr>
        <w:pStyle w:val="Heading2"/>
        <w:ind w:right="260"/>
        <w:rPr>
          <w:b/>
          <w:bCs/>
          <w:color w:val="auto"/>
        </w:rPr>
      </w:pPr>
      <w:bookmarkStart w:id="11" w:name="_Toc90411184"/>
      <w:r w:rsidRPr="00616C8D">
        <w:rPr>
          <w:b/>
          <w:bCs/>
          <w:color w:val="auto"/>
        </w:rPr>
        <w:t>Surveillance Objectives</w:t>
      </w:r>
      <w:bookmarkEnd w:id="11"/>
    </w:p>
    <w:p w14:paraId="4D8D024B" w14:textId="2228B820" w:rsidR="00D40F75" w:rsidRPr="005F6C3F" w:rsidRDefault="00D40F75" w:rsidP="00D40F75">
      <w:pPr>
        <w:rPr>
          <w:sz w:val="22"/>
          <w:szCs w:val="22"/>
        </w:rPr>
      </w:pPr>
      <w:r w:rsidRPr="005F6C3F">
        <w:rPr>
          <w:sz w:val="22"/>
          <w:szCs w:val="22"/>
        </w:rPr>
        <w:t>Public health surveillance provides the scientific and factual information essential to inform decision-making and appropriate public health action. It is a tool to estimate the health status and behaviour of populations.</w:t>
      </w:r>
    </w:p>
    <w:p w14:paraId="359DDD60" w14:textId="6A205B3A" w:rsidR="00D40F75" w:rsidRPr="005F6C3F" w:rsidRDefault="00D40F75" w:rsidP="00D40F75">
      <w:pPr>
        <w:rPr>
          <w:sz w:val="22"/>
          <w:szCs w:val="22"/>
        </w:rPr>
      </w:pPr>
      <w:r w:rsidRPr="005F6C3F">
        <w:rPr>
          <w:sz w:val="22"/>
          <w:szCs w:val="22"/>
        </w:rPr>
        <w:t xml:space="preserve">The next phase for COVID-19 surveillance </w:t>
      </w:r>
      <w:r w:rsidR="00003B04">
        <w:rPr>
          <w:sz w:val="22"/>
          <w:szCs w:val="22"/>
        </w:rPr>
        <w:t xml:space="preserve">need to be </w:t>
      </w:r>
      <w:r w:rsidRPr="005F6C3F">
        <w:rPr>
          <w:sz w:val="22"/>
          <w:szCs w:val="22"/>
        </w:rPr>
        <w:t xml:space="preserve">a more sustainable, objective-driven, surveillance system for integrated surveillance of COVID-19, influenza and other respiratory pathogens that are likely to co-circulate in the population. With the shift to the Protection Framework, there is an increased focus on monitoring the impact of COVID-19 on the health system. There will be a shift from focusing on the number of cases to the number of hospitalisations and deaths. However, there will still be a focus on understanding the ongoing pattern of disease occurrence, including the number of cases as these will give early warning on increasing risk to communities and the health system in </w:t>
      </w:r>
      <w:r w:rsidR="00FC6EC3" w:rsidRPr="005F6C3F">
        <w:rPr>
          <w:sz w:val="22"/>
          <w:szCs w:val="22"/>
        </w:rPr>
        <w:t>general</w:t>
      </w:r>
      <w:r w:rsidR="00FC6EC3">
        <w:rPr>
          <w:sz w:val="22"/>
          <w:szCs w:val="22"/>
        </w:rPr>
        <w:t>.</w:t>
      </w:r>
      <w:r w:rsidRPr="005F6C3F">
        <w:rPr>
          <w:sz w:val="22"/>
          <w:szCs w:val="22"/>
          <w:vertAlign w:val="superscript"/>
        </w:rPr>
        <w:footnoteReference w:id="7"/>
      </w:r>
    </w:p>
    <w:p w14:paraId="37FCB6BE" w14:textId="01F67F20" w:rsidR="002B4FA0" w:rsidRDefault="00D40F75" w:rsidP="00D40F75">
      <w:pPr>
        <w:rPr>
          <w:sz w:val="22"/>
          <w:szCs w:val="22"/>
        </w:rPr>
      </w:pPr>
      <w:r w:rsidRPr="005F6C3F">
        <w:rPr>
          <w:sz w:val="22"/>
          <w:szCs w:val="22"/>
        </w:rPr>
        <w:t xml:space="preserve">The overarching aim of COVID-19 and national notifiable disease surveillance aims to </w:t>
      </w:r>
      <w:r w:rsidR="006E702B">
        <w:rPr>
          <w:sz w:val="22"/>
          <w:szCs w:val="22"/>
        </w:rPr>
        <w:t>minimise</w:t>
      </w:r>
      <w:r w:rsidRPr="005F6C3F">
        <w:rPr>
          <w:sz w:val="22"/>
          <w:szCs w:val="22"/>
        </w:rPr>
        <w:t xml:space="preserve"> and suppress onward transmission of SARS-CoV-2. </w:t>
      </w:r>
    </w:p>
    <w:p w14:paraId="5DAB790B" w14:textId="64875CB7" w:rsidR="00BE02FB" w:rsidRPr="005F6C3F" w:rsidRDefault="00D40F75" w:rsidP="00D40F75">
      <w:pPr>
        <w:rPr>
          <w:sz w:val="22"/>
          <w:szCs w:val="22"/>
        </w:rPr>
      </w:pPr>
      <w:r w:rsidRPr="005F6C3F">
        <w:rPr>
          <w:sz w:val="22"/>
          <w:szCs w:val="22"/>
        </w:rPr>
        <w:t>The following objectives and key surveillance questions have been prioritised to guide COVID-19 surveillance at this stage of the pandemic in Aotearoa New Zealand:</w:t>
      </w:r>
      <w:r w:rsidR="007254F9">
        <w:rPr>
          <w:sz w:val="22"/>
          <w:szCs w:val="22"/>
        </w:rPr>
        <w:t xml:space="preserve"> </w:t>
      </w:r>
    </w:p>
    <w:p w14:paraId="04A0CB38" w14:textId="77777777" w:rsidR="00D40F75" w:rsidRPr="00944877" w:rsidRDefault="00D40F75" w:rsidP="00D40F75">
      <w:pPr>
        <w:shd w:val="clear" w:color="auto" w:fill="FFFFFF"/>
        <w:rPr>
          <w:rFonts w:cs="Segoe UI"/>
          <w:color w:val="000000"/>
          <w:lang w:eastAsia="en-NZ"/>
        </w:rPr>
      </w:pPr>
    </w:p>
    <w:tbl>
      <w:tblPr>
        <w:tblStyle w:val="TableGrid"/>
        <w:tblW w:w="0" w:type="auto"/>
        <w:tblLook w:val="04A0" w:firstRow="1" w:lastRow="0" w:firstColumn="1" w:lastColumn="0" w:noHBand="0" w:noVBand="1"/>
      </w:tblPr>
      <w:tblGrid>
        <w:gridCol w:w="2250"/>
        <w:gridCol w:w="7509"/>
      </w:tblGrid>
      <w:tr w:rsidR="00D40F75" w:rsidRPr="005F6C3F" w14:paraId="7A798B06" w14:textId="77777777" w:rsidTr="007A6088">
        <w:trPr>
          <w:cantSplit/>
          <w:tblHeader/>
        </w:trPr>
        <w:tc>
          <w:tcPr>
            <w:tcW w:w="2284" w:type="dxa"/>
            <w:shd w:val="clear" w:color="auto" w:fill="0070C0"/>
          </w:tcPr>
          <w:p w14:paraId="27A0E249" w14:textId="77777777" w:rsidR="00D40F75" w:rsidRPr="005F6C3F" w:rsidRDefault="00D40F75" w:rsidP="007A6088">
            <w:pPr>
              <w:pStyle w:val="Table"/>
              <w:spacing w:after="0"/>
              <w:rPr>
                <w:rFonts w:eastAsiaTheme="minorHAnsi" w:cs="Segoe UI"/>
                <w:b/>
                <w:bCs/>
                <w:color w:val="FFFFFF" w:themeColor="background1"/>
                <w:sz w:val="22"/>
                <w:szCs w:val="22"/>
              </w:rPr>
            </w:pPr>
            <w:r w:rsidRPr="005F6C3F">
              <w:rPr>
                <w:rFonts w:eastAsiaTheme="minorHAnsi" w:cs="Segoe UI"/>
                <w:b/>
                <w:bCs/>
                <w:color w:val="FFFFFF" w:themeColor="background1"/>
                <w:sz w:val="22"/>
                <w:szCs w:val="22"/>
              </w:rPr>
              <w:lastRenderedPageBreak/>
              <w:t>Objective</w:t>
            </w:r>
          </w:p>
        </w:tc>
        <w:tc>
          <w:tcPr>
            <w:tcW w:w="7776" w:type="dxa"/>
            <w:shd w:val="clear" w:color="auto" w:fill="0070C0"/>
          </w:tcPr>
          <w:p w14:paraId="6215D42C" w14:textId="77777777" w:rsidR="00D40F75" w:rsidRPr="005F6C3F" w:rsidRDefault="00D40F75" w:rsidP="007A6088">
            <w:pPr>
              <w:pStyle w:val="Table"/>
              <w:spacing w:after="0"/>
              <w:rPr>
                <w:rFonts w:eastAsiaTheme="minorHAnsi" w:cs="Segoe UI"/>
                <w:b/>
                <w:bCs/>
                <w:color w:val="FFFFFF" w:themeColor="background1"/>
                <w:sz w:val="22"/>
                <w:szCs w:val="22"/>
              </w:rPr>
            </w:pPr>
            <w:r w:rsidRPr="005F6C3F">
              <w:rPr>
                <w:rFonts w:eastAsiaTheme="minorHAnsi" w:cs="Segoe UI"/>
                <w:b/>
                <w:bCs/>
                <w:color w:val="FFFFFF" w:themeColor="background1"/>
                <w:sz w:val="22"/>
                <w:szCs w:val="22"/>
              </w:rPr>
              <w:t>Questions</w:t>
            </w:r>
          </w:p>
        </w:tc>
      </w:tr>
      <w:tr w:rsidR="00D40F75" w:rsidRPr="005A0FC9" w14:paraId="5CF9AF10" w14:textId="77777777" w:rsidTr="007A6088">
        <w:trPr>
          <w:cantSplit/>
        </w:trPr>
        <w:tc>
          <w:tcPr>
            <w:tcW w:w="2284" w:type="dxa"/>
          </w:tcPr>
          <w:p w14:paraId="23D76CBA" w14:textId="77777777" w:rsidR="00D40F75" w:rsidRPr="005A0FC9" w:rsidRDefault="00D40F75" w:rsidP="007A6088">
            <w:pPr>
              <w:rPr>
                <w:rFonts w:eastAsia="Calibri" w:cs="Segoe UI"/>
                <w:b/>
                <w:bCs/>
              </w:rPr>
            </w:pPr>
            <w:r w:rsidRPr="005A0FC9">
              <w:rPr>
                <w:rFonts w:cs="Segoe UI"/>
                <w:b/>
                <w:bCs/>
              </w:rPr>
              <w:t>Objective One</w:t>
            </w:r>
            <w:r w:rsidRPr="005A0FC9">
              <w:rPr>
                <w:rFonts w:cs="Segoe UI"/>
              </w:rPr>
              <w:t xml:space="preserve"> - </w:t>
            </w:r>
            <w:r w:rsidRPr="005A0FC9">
              <w:rPr>
                <w:rFonts w:eastAsia="Calibri" w:cs="Segoe UI"/>
              </w:rPr>
              <w:t>Monitor and describe the incidence, prevalence, geographic spread, and severity of COVID-19 in the population to estimate the burden of disease, assess trends, viral changes, and inform appropriate prevention and mitigation measures.</w:t>
            </w:r>
          </w:p>
        </w:tc>
        <w:tc>
          <w:tcPr>
            <w:tcW w:w="7776" w:type="dxa"/>
          </w:tcPr>
          <w:p w14:paraId="1A72E5AD" w14:textId="77777777" w:rsidR="00D40F75" w:rsidRPr="00D40F75" w:rsidRDefault="00D40F75" w:rsidP="000B069A">
            <w:pPr>
              <w:pStyle w:val="ListParagraph"/>
              <w:numPr>
                <w:ilvl w:val="0"/>
                <w:numId w:val="1"/>
              </w:numPr>
              <w:spacing w:after="0"/>
              <w:contextualSpacing w:val="0"/>
              <w:rPr>
                <w:rFonts w:eastAsiaTheme="minorEastAsia" w:cs="Segoe UI"/>
              </w:rPr>
            </w:pPr>
            <w:r w:rsidRPr="00D40F75">
              <w:rPr>
                <w:rFonts w:eastAsiaTheme="minorEastAsia" w:cs="Segoe UI"/>
              </w:rPr>
              <w:t xml:space="preserve">What are the trends in </w:t>
            </w:r>
            <w:r w:rsidRPr="00D40F75">
              <w:rPr>
                <w:rFonts w:cs="Segoe UI"/>
              </w:rPr>
              <w:t xml:space="preserve">SARS-CoV-2 </w:t>
            </w:r>
            <w:r w:rsidRPr="00D40F75">
              <w:rPr>
                <w:rFonts w:eastAsiaTheme="minorEastAsia" w:cs="Segoe UI"/>
              </w:rPr>
              <w:t xml:space="preserve">infection, symptoms, </w:t>
            </w:r>
            <w:r w:rsidRPr="00D40F75">
              <w:rPr>
                <w:rFonts w:cs="Segoe UI"/>
              </w:rPr>
              <w:t xml:space="preserve">clinical disease, </w:t>
            </w:r>
            <w:r w:rsidRPr="00D40F75">
              <w:rPr>
                <w:rFonts w:eastAsiaTheme="minorEastAsia" w:cs="Segoe UI"/>
              </w:rPr>
              <w:t xml:space="preserve">hospitalisation, and mortality? </w:t>
            </w:r>
          </w:p>
          <w:p w14:paraId="44E1E9FA" w14:textId="77777777" w:rsidR="00D40F75" w:rsidRPr="00D40F75" w:rsidRDefault="00D40F75" w:rsidP="000B069A">
            <w:pPr>
              <w:pStyle w:val="ListParagraph"/>
              <w:numPr>
                <w:ilvl w:val="0"/>
                <w:numId w:val="1"/>
              </w:numPr>
              <w:spacing w:after="0"/>
              <w:contextualSpacing w:val="0"/>
              <w:rPr>
                <w:rFonts w:eastAsiaTheme="minorEastAsia" w:cs="Segoe UI"/>
              </w:rPr>
            </w:pPr>
            <w:r w:rsidRPr="00D40F75">
              <w:rPr>
                <w:rFonts w:cs="Segoe UI"/>
              </w:rPr>
              <w:t>What are the transmission dynamics of SARS-CoV-2 and characteristics of the virus and its variants?</w:t>
            </w:r>
          </w:p>
          <w:p w14:paraId="29D9E447" w14:textId="77777777" w:rsidR="00D40F75" w:rsidRPr="00D40F75" w:rsidRDefault="00D40F75" w:rsidP="000B069A">
            <w:pPr>
              <w:pStyle w:val="ListParagraph"/>
              <w:numPr>
                <w:ilvl w:val="0"/>
                <w:numId w:val="1"/>
              </w:numPr>
              <w:spacing w:after="0"/>
              <w:contextualSpacing w:val="0"/>
              <w:rPr>
                <w:rFonts w:eastAsiaTheme="minorEastAsia" w:cs="Segoe UI"/>
              </w:rPr>
            </w:pPr>
            <w:r w:rsidRPr="00D40F75">
              <w:rPr>
                <w:rFonts w:cs="Segoe UI"/>
              </w:rPr>
              <w:t>What is the vaccine coverage and effective population immunity?</w:t>
            </w:r>
          </w:p>
          <w:p w14:paraId="27174412" w14:textId="77777777" w:rsidR="00D40F75" w:rsidRPr="00D40F75" w:rsidRDefault="00D40F75" w:rsidP="000B069A">
            <w:pPr>
              <w:pStyle w:val="ListParagraph"/>
              <w:numPr>
                <w:ilvl w:val="0"/>
                <w:numId w:val="1"/>
              </w:numPr>
              <w:spacing w:after="0"/>
              <w:contextualSpacing w:val="0"/>
              <w:rPr>
                <w:rFonts w:cs="Segoe UI"/>
              </w:rPr>
            </w:pPr>
            <w:r w:rsidRPr="00D40F75">
              <w:rPr>
                <w:rFonts w:cs="Segoe UI"/>
              </w:rPr>
              <w:t>How is the genomic epidemiology shifting internationally and within Aotearoa New Zealand and can we detect early warning signals for the presence of new variants?</w:t>
            </w:r>
          </w:p>
          <w:p w14:paraId="429B3CEE" w14:textId="77777777" w:rsidR="00D40F75" w:rsidRPr="00D40F75" w:rsidRDefault="00D40F75" w:rsidP="000B069A">
            <w:pPr>
              <w:pStyle w:val="Table"/>
              <w:numPr>
                <w:ilvl w:val="0"/>
                <w:numId w:val="1"/>
              </w:numPr>
              <w:spacing w:after="0" w:line="264" w:lineRule="auto"/>
              <w:rPr>
                <w:rFonts w:cs="Segoe UI"/>
                <w:sz w:val="22"/>
                <w:szCs w:val="22"/>
              </w:rPr>
            </w:pPr>
            <w:r w:rsidRPr="00D40F75">
              <w:rPr>
                <w:rFonts w:cs="Segoe UI"/>
                <w:sz w:val="22"/>
                <w:szCs w:val="22"/>
              </w:rPr>
              <w:t>What are the trends in vaccine and/or testing hesitancy?</w:t>
            </w:r>
          </w:p>
          <w:p w14:paraId="587D60DC" w14:textId="77777777" w:rsidR="00D40F75" w:rsidRPr="00D40F75" w:rsidRDefault="00D40F75" w:rsidP="000B069A">
            <w:pPr>
              <w:pStyle w:val="Table"/>
              <w:numPr>
                <w:ilvl w:val="0"/>
                <w:numId w:val="1"/>
              </w:numPr>
              <w:spacing w:after="0" w:line="264" w:lineRule="auto"/>
              <w:rPr>
                <w:rFonts w:cs="Segoe UI"/>
                <w:sz w:val="22"/>
                <w:szCs w:val="22"/>
              </w:rPr>
            </w:pPr>
            <w:r w:rsidRPr="00D40F75">
              <w:rPr>
                <w:rFonts w:cs="Segoe UI"/>
                <w:sz w:val="22"/>
                <w:szCs w:val="22"/>
              </w:rPr>
              <w:t>What is the seasonality of infection, severity, and mortality rates?</w:t>
            </w:r>
          </w:p>
        </w:tc>
      </w:tr>
      <w:tr w:rsidR="00D40F75" w:rsidRPr="005A0FC9" w14:paraId="4D6772E4" w14:textId="77777777" w:rsidTr="007A6088">
        <w:trPr>
          <w:cantSplit/>
        </w:trPr>
        <w:tc>
          <w:tcPr>
            <w:tcW w:w="2284" w:type="dxa"/>
          </w:tcPr>
          <w:p w14:paraId="71BDDC2A" w14:textId="77777777" w:rsidR="00D40F75" w:rsidRPr="005A0FC9" w:rsidRDefault="00D40F75" w:rsidP="007A6088">
            <w:pPr>
              <w:rPr>
                <w:rFonts w:cs="Segoe UI"/>
                <w:b/>
                <w:bCs/>
              </w:rPr>
            </w:pPr>
            <w:r w:rsidRPr="005A0FC9">
              <w:rPr>
                <w:rFonts w:eastAsia="Calibri" w:cs="Segoe UI"/>
                <w:b/>
                <w:bCs/>
              </w:rPr>
              <w:t xml:space="preserve">Objective Two </w:t>
            </w:r>
            <w:r w:rsidRPr="005A0FC9">
              <w:rPr>
                <w:rFonts w:eastAsia="Calibri" w:cs="Segoe UI"/>
              </w:rPr>
              <w:t>- Assess COVID-19 relevant data and impacts on equity settings and populations at higher-risk for transmission, and poorer clinical and other outcomes.</w:t>
            </w:r>
          </w:p>
        </w:tc>
        <w:tc>
          <w:tcPr>
            <w:tcW w:w="7776" w:type="dxa"/>
            <w:shd w:val="clear" w:color="auto" w:fill="FFFFFF" w:themeFill="background1"/>
          </w:tcPr>
          <w:p w14:paraId="1BB431EB" w14:textId="77777777" w:rsidR="00D40F75" w:rsidRPr="00D40F75" w:rsidRDefault="00D40F75" w:rsidP="000B069A">
            <w:pPr>
              <w:pStyle w:val="Table"/>
              <w:numPr>
                <w:ilvl w:val="0"/>
                <w:numId w:val="1"/>
              </w:numPr>
              <w:spacing w:after="0" w:line="264" w:lineRule="auto"/>
              <w:rPr>
                <w:rFonts w:cs="Segoe UI"/>
                <w:sz w:val="22"/>
                <w:szCs w:val="22"/>
              </w:rPr>
            </w:pPr>
            <w:r w:rsidRPr="00D40F75">
              <w:rPr>
                <w:rFonts w:cs="Segoe UI"/>
                <w:sz w:val="22"/>
                <w:szCs w:val="22"/>
              </w:rPr>
              <w:t>How will we monitor the impact on specific population groups?</w:t>
            </w:r>
          </w:p>
          <w:p w14:paraId="6AEBC52F" w14:textId="77777777" w:rsidR="00D40F75" w:rsidRPr="00D40F75" w:rsidRDefault="00D40F75" w:rsidP="000B069A">
            <w:pPr>
              <w:pStyle w:val="ListParagraph"/>
              <w:widowControl w:val="0"/>
              <w:numPr>
                <w:ilvl w:val="0"/>
                <w:numId w:val="1"/>
              </w:numPr>
              <w:spacing w:after="0"/>
              <w:ind w:hanging="357"/>
              <w:contextualSpacing w:val="0"/>
              <w:rPr>
                <w:rFonts w:cs="Segoe UI"/>
              </w:rPr>
            </w:pPr>
            <w:r w:rsidRPr="00D40F75">
              <w:rPr>
                <w:rFonts w:cs="Segoe UI"/>
              </w:rPr>
              <w:t xml:space="preserve">What is the distribution of risks of infection, transmission, or consequences of COVID-19 amongst individuals, iwi, and communities? </w:t>
            </w:r>
          </w:p>
          <w:p w14:paraId="71F87A7B" w14:textId="77777777" w:rsidR="00D40F75" w:rsidRPr="00D40F75" w:rsidRDefault="00D40F75" w:rsidP="000B069A">
            <w:pPr>
              <w:pStyle w:val="ListParagraph"/>
              <w:widowControl w:val="0"/>
              <w:numPr>
                <w:ilvl w:val="0"/>
                <w:numId w:val="1"/>
              </w:numPr>
              <w:shd w:val="clear" w:color="auto" w:fill="FFFFFF" w:themeFill="background1"/>
              <w:spacing w:after="0"/>
              <w:ind w:hanging="357"/>
              <w:contextualSpacing w:val="0"/>
              <w:rPr>
                <w:rFonts w:cs="Segoe UI"/>
              </w:rPr>
            </w:pPr>
            <w:r w:rsidRPr="00D40F75">
              <w:rPr>
                <w:rFonts w:cs="Segoe UI"/>
              </w:rPr>
              <w:t xml:space="preserve">What are the equity considerations for at risk populations particularly for </w:t>
            </w:r>
            <w:r w:rsidRPr="00D40F75">
              <w:rPr>
                <w:rFonts w:eastAsia="Segoe UI" w:cs="Segoe UI"/>
              </w:rPr>
              <w:t xml:space="preserve">Māori, </w:t>
            </w:r>
            <w:r w:rsidRPr="00D40F75">
              <w:rPr>
                <w:rFonts w:cs="Segoe UI"/>
              </w:rPr>
              <w:t>Pacific and the disabled?</w:t>
            </w:r>
          </w:p>
          <w:p w14:paraId="647FBBCA" w14:textId="77777777" w:rsidR="00D40F75" w:rsidRPr="00D40F75" w:rsidRDefault="00D40F75" w:rsidP="000B069A">
            <w:pPr>
              <w:pStyle w:val="ListParagraph"/>
              <w:widowControl w:val="0"/>
              <w:numPr>
                <w:ilvl w:val="0"/>
                <w:numId w:val="1"/>
              </w:numPr>
              <w:shd w:val="clear" w:color="auto" w:fill="FFFFFF" w:themeFill="background1"/>
              <w:spacing w:after="0"/>
              <w:ind w:hanging="357"/>
              <w:contextualSpacing w:val="0"/>
              <w:rPr>
                <w:rFonts w:cs="Segoe UI"/>
              </w:rPr>
            </w:pPr>
            <w:r w:rsidRPr="00D40F75">
              <w:rPr>
                <w:rFonts w:cs="Segoe UI"/>
              </w:rPr>
              <w:t>Has the Tiriti o Waitangi partnership been enacted in all decision-making and implementation of public health measures?</w:t>
            </w:r>
          </w:p>
          <w:p w14:paraId="13541F02" w14:textId="77777777" w:rsidR="00D40F75" w:rsidRPr="00D40F75" w:rsidRDefault="00D40F75" w:rsidP="000B069A">
            <w:pPr>
              <w:pStyle w:val="ListParagraph"/>
              <w:widowControl w:val="0"/>
              <w:numPr>
                <w:ilvl w:val="0"/>
                <w:numId w:val="1"/>
              </w:numPr>
              <w:shd w:val="clear" w:color="auto" w:fill="FFFFFF" w:themeFill="background1"/>
              <w:spacing w:after="0"/>
              <w:ind w:hanging="357"/>
              <w:contextualSpacing w:val="0"/>
              <w:rPr>
                <w:rFonts w:cs="Segoe UI"/>
              </w:rPr>
            </w:pPr>
            <w:r w:rsidRPr="00D40F75">
              <w:rPr>
                <w:rFonts w:cs="Segoe UI"/>
              </w:rPr>
              <w:t>Which population groups are at higher risk of infection, transmission, or consequences of COVID-19?</w:t>
            </w:r>
          </w:p>
          <w:p w14:paraId="1D36556A" w14:textId="77777777" w:rsidR="00D40F75" w:rsidRPr="00D40F75" w:rsidRDefault="00D40F75" w:rsidP="000B069A">
            <w:pPr>
              <w:pStyle w:val="ListParagraph"/>
              <w:widowControl w:val="0"/>
              <w:numPr>
                <w:ilvl w:val="0"/>
                <w:numId w:val="1"/>
              </w:numPr>
              <w:shd w:val="clear" w:color="auto" w:fill="FFFFFF" w:themeFill="background1"/>
              <w:spacing w:after="0"/>
              <w:ind w:hanging="357"/>
              <w:contextualSpacing w:val="0"/>
              <w:rPr>
                <w:rFonts w:cs="Segoe UI"/>
              </w:rPr>
            </w:pPr>
            <w:r w:rsidRPr="00D40F75">
              <w:rPr>
                <w:rFonts w:cs="Segoe UI"/>
              </w:rPr>
              <w:t xml:space="preserve">Do </w:t>
            </w:r>
            <w:r w:rsidRPr="00D40F75">
              <w:rPr>
                <w:rFonts w:eastAsia="Segoe UI" w:cs="Segoe UI"/>
              </w:rPr>
              <w:t>Māori</w:t>
            </w:r>
            <w:r w:rsidRPr="00D40F75">
              <w:rPr>
                <w:rFonts w:cs="Segoe UI"/>
              </w:rPr>
              <w:t xml:space="preserve">, Pacific Peoples and disabled populations have the support and information they need to adhere to control measures? </w:t>
            </w:r>
          </w:p>
          <w:p w14:paraId="48777423" w14:textId="77777777" w:rsidR="00D40F75" w:rsidRPr="00D40F75" w:rsidRDefault="00D40F75" w:rsidP="000B069A">
            <w:pPr>
              <w:pStyle w:val="ListParagraph"/>
              <w:widowControl w:val="0"/>
              <w:numPr>
                <w:ilvl w:val="0"/>
                <w:numId w:val="1"/>
              </w:numPr>
              <w:shd w:val="clear" w:color="auto" w:fill="FFFFFF" w:themeFill="background1"/>
              <w:spacing w:after="0"/>
              <w:ind w:hanging="357"/>
              <w:contextualSpacing w:val="0"/>
              <w:rPr>
                <w:rFonts w:cs="Segoe UI"/>
              </w:rPr>
            </w:pPr>
            <w:r w:rsidRPr="00D40F75">
              <w:rPr>
                <w:rFonts w:cs="Segoe UI"/>
              </w:rPr>
              <w:t>How equitable is:</w:t>
            </w:r>
          </w:p>
          <w:p w14:paraId="29AF3823" w14:textId="77777777" w:rsidR="00D40F75" w:rsidRPr="00D40F75" w:rsidRDefault="00D40F75" w:rsidP="000B069A">
            <w:pPr>
              <w:pStyle w:val="ListParagraph"/>
              <w:numPr>
                <w:ilvl w:val="0"/>
                <w:numId w:val="3"/>
              </w:numPr>
              <w:spacing w:after="0" w:line="259" w:lineRule="auto"/>
              <w:rPr>
                <w:rFonts w:cs="Segoe UI"/>
              </w:rPr>
            </w:pPr>
            <w:r w:rsidRPr="00D40F75">
              <w:rPr>
                <w:rFonts w:cs="Segoe UI"/>
              </w:rPr>
              <w:t>Testing?</w:t>
            </w:r>
          </w:p>
          <w:p w14:paraId="42094CE3" w14:textId="77777777" w:rsidR="00D40F75" w:rsidRPr="00D40F75" w:rsidRDefault="00D40F75" w:rsidP="000B069A">
            <w:pPr>
              <w:pStyle w:val="ListParagraph"/>
              <w:numPr>
                <w:ilvl w:val="0"/>
                <w:numId w:val="3"/>
              </w:numPr>
              <w:spacing w:after="0" w:line="259" w:lineRule="auto"/>
              <w:rPr>
                <w:rFonts w:cs="Segoe UI"/>
              </w:rPr>
            </w:pPr>
            <w:r w:rsidRPr="00D40F75">
              <w:rPr>
                <w:rFonts w:cs="Segoe UI"/>
              </w:rPr>
              <w:t>Case management and contract tracing (when applicable)?</w:t>
            </w:r>
          </w:p>
          <w:p w14:paraId="79D786D0" w14:textId="77777777" w:rsidR="00D40F75" w:rsidRPr="00D40F75" w:rsidRDefault="00D40F75" w:rsidP="000B069A">
            <w:pPr>
              <w:pStyle w:val="ListParagraph"/>
              <w:numPr>
                <w:ilvl w:val="0"/>
                <w:numId w:val="3"/>
              </w:numPr>
              <w:spacing w:after="0" w:line="259" w:lineRule="auto"/>
              <w:rPr>
                <w:rFonts w:cs="Segoe UI"/>
              </w:rPr>
            </w:pPr>
            <w:r w:rsidRPr="00D40F75">
              <w:rPr>
                <w:rFonts w:cs="Segoe UI"/>
              </w:rPr>
              <w:t>Infection, prevention, and control measures?</w:t>
            </w:r>
          </w:p>
          <w:p w14:paraId="5C5BDE69" w14:textId="77777777" w:rsidR="00D40F75" w:rsidRPr="00D40F75" w:rsidRDefault="00D40F75" w:rsidP="000B069A">
            <w:pPr>
              <w:pStyle w:val="ListParagraph"/>
              <w:numPr>
                <w:ilvl w:val="0"/>
                <w:numId w:val="3"/>
              </w:numPr>
              <w:spacing w:after="0" w:line="259" w:lineRule="auto"/>
              <w:rPr>
                <w:rFonts w:cs="Segoe UI"/>
              </w:rPr>
            </w:pPr>
            <w:r w:rsidRPr="00D40F75">
              <w:rPr>
                <w:rFonts w:cs="Segoe UI"/>
              </w:rPr>
              <w:t>The effect of public health measures at the border and in the community?</w:t>
            </w:r>
          </w:p>
          <w:p w14:paraId="4B703DEE" w14:textId="77777777" w:rsidR="00D40F75" w:rsidRPr="00D40F75" w:rsidRDefault="00D40F75" w:rsidP="000B069A">
            <w:pPr>
              <w:pStyle w:val="ListParagraph"/>
              <w:widowControl w:val="0"/>
              <w:numPr>
                <w:ilvl w:val="0"/>
                <w:numId w:val="1"/>
              </w:numPr>
              <w:shd w:val="clear" w:color="auto" w:fill="FFFFFF" w:themeFill="background1"/>
              <w:spacing w:after="0"/>
              <w:ind w:hanging="357"/>
              <w:contextualSpacing w:val="0"/>
              <w:rPr>
                <w:rFonts w:cs="Segoe UI"/>
              </w:rPr>
            </w:pPr>
            <w:r w:rsidRPr="00D40F75">
              <w:rPr>
                <w:rFonts w:cs="Segoe UI"/>
              </w:rPr>
              <w:t>Is the public health response supporting surveillance systems appropriate for local iwi and regional needs?</w:t>
            </w:r>
          </w:p>
          <w:p w14:paraId="2C04C0DC" w14:textId="77777777" w:rsidR="00D40F75" w:rsidRPr="00D40F75" w:rsidRDefault="00D40F75" w:rsidP="000B069A">
            <w:pPr>
              <w:pStyle w:val="Table"/>
              <w:numPr>
                <w:ilvl w:val="0"/>
                <w:numId w:val="1"/>
              </w:numPr>
              <w:spacing w:after="0" w:line="264" w:lineRule="auto"/>
              <w:rPr>
                <w:sz w:val="22"/>
                <w:szCs w:val="22"/>
              </w:rPr>
            </w:pPr>
            <w:r w:rsidRPr="00D40F75">
              <w:rPr>
                <w:rFonts w:eastAsia="Segoe UI" w:cs="Segoe UI"/>
                <w:sz w:val="22"/>
                <w:szCs w:val="22"/>
              </w:rPr>
              <w:t>Is there meaningful community partnership and input from at-risk populations in the development and implementation of early warning systems?</w:t>
            </w:r>
          </w:p>
        </w:tc>
      </w:tr>
      <w:tr w:rsidR="00D40F75" w:rsidRPr="005A0FC9" w14:paraId="6B6EB8B5" w14:textId="77777777" w:rsidTr="007A6088">
        <w:trPr>
          <w:cantSplit/>
        </w:trPr>
        <w:tc>
          <w:tcPr>
            <w:tcW w:w="2284" w:type="dxa"/>
          </w:tcPr>
          <w:p w14:paraId="14AF6CCC" w14:textId="77777777" w:rsidR="00D40F75" w:rsidRPr="005A0FC9" w:rsidRDefault="00D40F75" w:rsidP="007A6088">
            <w:pPr>
              <w:pStyle w:val="FootnoteText"/>
              <w:rPr>
                <w:rFonts w:cs="Segoe UI"/>
                <w:sz w:val="22"/>
                <w:szCs w:val="22"/>
              </w:rPr>
            </w:pPr>
            <w:r w:rsidRPr="005A0FC9">
              <w:rPr>
                <w:rFonts w:eastAsia="Calibri" w:cs="Segoe UI"/>
                <w:b/>
                <w:bCs/>
                <w:sz w:val="22"/>
                <w:szCs w:val="22"/>
              </w:rPr>
              <w:lastRenderedPageBreak/>
              <w:t xml:space="preserve">Objective Three </w:t>
            </w:r>
            <w:r w:rsidRPr="005A0FC9">
              <w:rPr>
                <w:rFonts w:eastAsia="Calibri" w:cs="Segoe UI"/>
                <w:sz w:val="22"/>
                <w:szCs w:val="22"/>
              </w:rPr>
              <w:t xml:space="preserve">- </w:t>
            </w:r>
            <w:r w:rsidRPr="005A0FC9">
              <w:rPr>
                <w:rFonts w:cs="Segoe UI"/>
                <w:sz w:val="22"/>
                <w:szCs w:val="22"/>
                <w:shd w:val="clear" w:color="auto" w:fill="FFFFFF"/>
              </w:rPr>
              <w:t>Monitor critical health services, systems, and behaviours with the specific objective of measuring the potential impact of the COVID-19 pandemic on the delivery of care in hospitals and the health system</w:t>
            </w:r>
            <w:r w:rsidRPr="005A0FC9">
              <w:rPr>
                <w:rFonts w:eastAsia="Calibri" w:cs="Segoe UI"/>
                <w:sz w:val="22"/>
                <w:szCs w:val="22"/>
              </w:rPr>
              <w:t>, including impact on the workforce and community care.</w:t>
            </w:r>
          </w:p>
          <w:p w14:paraId="28ED8B07" w14:textId="77777777" w:rsidR="00D40F75" w:rsidRPr="005A0FC9" w:rsidRDefault="00D40F75" w:rsidP="007A6088">
            <w:pPr>
              <w:rPr>
                <w:rFonts w:cs="Segoe UI"/>
                <w:b/>
                <w:bCs/>
              </w:rPr>
            </w:pPr>
          </w:p>
        </w:tc>
        <w:tc>
          <w:tcPr>
            <w:tcW w:w="7776" w:type="dxa"/>
          </w:tcPr>
          <w:p w14:paraId="3BFB58DF" w14:textId="77777777" w:rsidR="00D40F75" w:rsidRPr="00D40F75" w:rsidRDefault="00D40F75" w:rsidP="000B069A">
            <w:pPr>
              <w:pStyle w:val="ListParagraph"/>
              <w:numPr>
                <w:ilvl w:val="0"/>
                <w:numId w:val="1"/>
              </w:numPr>
              <w:spacing w:after="0"/>
              <w:contextualSpacing w:val="0"/>
              <w:rPr>
                <w:rFonts w:cs="Segoe UI"/>
              </w:rPr>
            </w:pPr>
            <w:r w:rsidRPr="00D40F75">
              <w:rPr>
                <w:rFonts w:cs="Segoe UI"/>
              </w:rPr>
              <w:t>Is overall health system performance and capacity at risk; and if so, in what areas?</w:t>
            </w:r>
          </w:p>
          <w:p w14:paraId="348D27DF" w14:textId="77777777" w:rsidR="00D40F75" w:rsidRPr="00D40F75" w:rsidRDefault="00D40F75" w:rsidP="000B069A">
            <w:pPr>
              <w:pStyle w:val="Table"/>
              <w:numPr>
                <w:ilvl w:val="0"/>
                <w:numId w:val="1"/>
              </w:numPr>
              <w:spacing w:after="0" w:line="264" w:lineRule="auto"/>
              <w:rPr>
                <w:rFonts w:cs="Segoe UI"/>
                <w:sz w:val="22"/>
                <w:szCs w:val="22"/>
              </w:rPr>
            </w:pPr>
            <w:r w:rsidRPr="00D40F75">
              <w:rPr>
                <w:rFonts w:cs="Segoe UI"/>
                <w:sz w:val="22"/>
                <w:szCs w:val="22"/>
              </w:rPr>
              <w:t>What is the level of community acceptance of and adherence to control measures?</w:t>
            </w:r>
          </w:p>
          <w:p w14:paraId="263F6D15" w14:textId="77777777" w:rsidR="00D40F75" w:rsidRPr="00D40F75" w:rsidRDefault="00D40F75" w:rsidP="000B069A">
            <w:pPr>
              <w:pStyle w:val="NormalWeb"/>
              <w:numPr>
                <w:ilvl w:val="0"/>
                <w:numId w:val="1"/>
              </w:numPr>
              <w:shd w:val="clear" w:color="auto" w:fill="FFFFFF"/>
              <w:spacing w:before="0" w:beforeAutospacing="0" w:after="0" w:afterAutospacing="0" w:line="264" w:lineRule="auto"/>
              <w:rPr>
                <w:rFonts w:ascii="Segoe UI" w:hAnsi="Segoe UI" w:cs="Segoe UI"/>
                <w:sz w:val="22"/>
                <w:szCs w:val="22"/>
              </w:rPr>
            </w:pPr>
            <w:r w:rsidRPr="00D40F75">
              <w:rPr>
                <w:rFonts w:ascii="Segoe UI" w:hAnsi="Segoe UI" w:cs="Segoe UI"/>
                <w:sz w:val="22"/>
                <w:szCs w:val="22"/>
              </w:rPr>
              <w:t>What is the occupancy rate of total ICU beds (overall and for COVID-19 patients)?</w:t>
            </w:r>
            <w:r w:rsidRPr="00D40F75">
              <w:rPr>
                <w:rStyle w:val="FootnoteReference"/>
                <w:rFonts w:cs="Segoe UI"/>
                <w:sz w:val="22"/>
                <w:szCs w:val="22"/>
              </w:rPr>
              <w:t xml:space="preserve"> </w:t>
            </w:r>
          </w:p>
          <w:p w14:paraId="6A4874A6" w14:textId="77777777" w:rsidR="00D40F75" w:rsidRPr="00D40F75" w:rsidRDefault="00D40F75" w:rsidP="000B069A">
            <w:pPr>
              <w:pStyle w:val="NormalWeb"/>
              <w:numPr>
                <w:ilvl w:val="0"/>
                <w:numId w:val="1"/>
              </w:numPr>
              <w:shd w:val="clear" w:color="auto" w:fill="FFFFFF"/>
              <w:spacing w:before="0" w:beforeAutospacing="0" w:after="0" w:afterAutospacing="0" w:line="264" w:lineRule="auto"/>
              <w:rPr>
                <w:rFonts w:ascii="Segoe UI" w:hAnsi="Segoe UI" w:cs="Segoe UI"/>
                <w:sz w:val="22"/>
                <w:szCs w:val="22"/>
              </w:rPr>
            </w:pPr>
            <w:r w:rsidRPr="00D40F75">
              <w:rPr>
                <w:rFonts w:ascii="Segoe UI" w:hAnsi="Segoe UI" w:cs="Segoe UI"/>
                <w:sz w:val="22"/>
                <w:szCs w:val="22"/>
              </w:rPr>
              <w:t>What is measles incidence and proportion of all cases among unvaccinated children whose first dose of the MMR (Measles, Mumps, Rubella) vaccine was during the COVID-19 pandemic?</w:t>
            </w:r>
          </w:p>
          <w:p w14:paraId="78B00315" w14:textId="77777777" w:rsidR="00D40F75" w:rsidRPr="00D40F75" w:rsidRDefault="00D40F75" w:rsidP="000B069A">
            <w:pPr>
              <w:pStyle w:val="NormalWeb"/>
              <w:numPr>
                <w:ilvl w:val="0"/>
                <w:numId w:val="1"/>
              </w:numPr>
              <w:shd w:val="clear" w:color="auto" w:fill="FFFFFF"/>
              <w:spacing w:before="0" w:beforeAutospacing="0" w:after="0" w:afterAutospacing="0" w:line="264" w:lineRule="auto"/>
              <w:rPr>
                <w:rFonts w:ascii="Segoe UI" w:hAnsi="Segoe UI" w:cs="Segoe UI"/>
                <w:sz w:val="22"/>
                <w:szCs w:val="22"/>
              </w:rPr>
            </w:pPr>
            <w:r w:rsidRPr="00D40F75">
              <w:rPr>
                <w:rFonts w:ascii="Segoe UI" w:hAnsi="Segoe UI" w:cs="Segoe UI"/>
                <w:sz w:val="22"/>
                <w:szCs w:val="22"/>
              </w:rPr>
              <w:t>What is the diphtheria-tetanus-pertussis (DTP)-3 vaccination coverage in children under 12 months of age?</w:t>
            </w:r>
          </w:p>
          <w:p w14:paraId="1373235C" w14:textId="77777777" w:rsidR="00D40F75" w:rsidRPr="00D40F75" w:rsidRDefault="00D40F75" w:rsidP="000B069A">
            <w:pPr>
              <w:pStyle w:val="Table"/>
              <w:numPr>
                <w:ilvl w:val="0"/>
                <w:numId w:val="1"/>
              </w:numPr>
              <w:spacing w:after="0" w:line="264" w:lineRule="auto"/>
              <w:rPr>
                <w:rFonts w:cs="Segoe UI"/>
                <w:sz w:val="22"/>
                <w:szCs w:val="22"/>
              </w:rPr>
            </w:pPr>
            <w:r w:rsidRPr="00D40F75">
              <w:rPr>
                <w:rFonts w:cs="Segoe UI"/>
                <w:sz w:val="22"/>
                <w:szCs w:val="22"/>
              </w:rPr>
              <w:t xml:space="preserve">What are the trends in fatigue with testing guidance and public health interventions? </w:t>
            </w:r>
          </w:p>
          <w:p w14:paraId="43203519" w14:textId="77777777" w:rsidR="00D40F75" w:rsidRPr="00D40F75" w:rsidRDefault="00D40F75" w:rsidP="000B069A">
            <w:pPr>
              <w:pStyle w:val="Table"/>
              <w:numPr>
                <w:ilvl w:val="0"/>
                <w:numId w:val="1"/>
              </w:numPr>
              <w:spacing w:after="0" w:line="264" w:lineRule="auto"/>
              <w:rPr>
                <w:rFonts w:cs="Segoe UI"/>
                <w:sz w:val="22"/>
                <w:szCs w:val="22"/>
              </w:rPr>
            </w:pPr>
            <w:r w:rsidRPr="00D40F75">
              <w:rPr>
                <w:rFonts w:cs="Segoe UI"/>
                <w:sz w:val="22"/>
                <w:szCs w:val="22"/>
              </w:rPr>
              <w:t>What are the trends in QR scanning and Bluetooth use for contract tracing purposes?</w:t>
            </w:r>
          </w:p>
          <w:p w14:paraId="45A1CE28" w14:textId="77777777" w:rsidR="00D40F75" w:rsidRPr="00D40F75" w:rsidRDefault="00D40F75" w:rsidP="000B069A">
            <w:pPr>
              <w:pStyle w:val="Table"/>
              <w:numPr>
                <w:ilvl w:val="0"/>
                <w:numId w:val="1"/>
              </w:numPr>
              <w:spacing w:after="0" w:line="264" w:lineRule="auto"/>
              <w:rPr>
                <w:rFonts w:cs="Segoe UI"/>
                <w:sz w:val="22"/>
                <w:szCs w:val="22"/>
              </w:rPr>
            </w:pPr>
            <w:r w:rsidRPr="00D40F75">
              <w:rPr>
                <w:rFonts w:cs="Segoe UI"/>
                <w:sz w:val="22"/>
                <w:szCs w:val="22"/>
              </w:rPr>
              <w:t>What are the barriers discouraging desired behaviours?</w:t>
            </w:r>
          </w:p>
        </w:tc>
      </w:tr>
      <w:tr w:rsidR="00D40F75" w:rsidRPr="005A0FC9" w14:paraId="23E17646" w14:textId="77777777" w:rsidTr="007A6088">
        <w:trPr>
          <w:cantSplit/>
        </w:trPr>
        <w:tc>
          <w:tcPr>
            <w:tcW w:w="2284" w:type="dxa"/>
          </w:tcPr>
          <w:p w14:paraId="11B0F257" w14:textId="77777777" w:rsidR="00D40F75" w:rsidRPr="005A0FC9" w:rsidRDefault="00D40F75" w:rsidP="007A6088">
            <w:pPr>
              <w:rPr>
                <w:rFonts w:cs="Segoe UI"/>
                <w:b/>
                <w:bCs/>
              </w:rPr>
            </w:pPr>
            <w:r w:rsidRPr="005A0FC9">
              <w:rPr>
                <w:rFonts w:eastAsia="Calibri" w:cs="Segoe UI"/>
                <w:b/>
                <w:bCs/>
              </w:rPr>
              <w:t>Objective Four</w:t>
            </w:r>
            <w:r>
              <w:rPr>
                <w:rFonts w:eastAsia="Calibri" w:cs="Segoe UI"/>
                <w:b/>
                <w:bCs/>
              </w:rPr>
              <w:t xml:space="preserve"> -</w:t>
            </w:r>
            <w:r w:rsidRPr="005A0FC9">
              <w:rPr>
                <w:rFonts w:eastAsia="Calibri" w:cs="Segoe UI"/>
              </w:rPr>
              <w:t>Monitor COVID-19 at the international border, international intelligence and evidence related to the pandemic, and other health security risks (i.e., other communicable and infectious diseases) to determine how they may impact Aotearoa New Zealand.</w:t>
            </w:r>
          </w:p>
        </w:tc>
        <w:tc>
          <w:tcPr>
            <w:tcW w:w="7776" w:type="dxa"/>
          </w:tcPr>
          <w:p w14:paraId="4C4DAD60" w14:textId="77777777" w:rsidR="00D40F75" w:rsidRPr="00D40F75" w:rsidRDefault="00D40F75" w:rsidP="000B069A">
            <w:pPr>
              <w:pStyle w:val="ListParagraph"/>
              <w:numPr>
                <w:ilvl w:val="0"/>
                <w:numId w:val="1"/>
              </w:numPr>
              <w:spacing w:after="0"/>
              <w:contextualSpacing w:val="0"/>
              <w:rPr>
                <w:rFonts w:eastAsiaTheme="minorEastAsia" w:cs="Segoe UI"/>
              </w:rPr>
            </w:pPr>
            <w:r w:rsidRPr="00D40F75">
              <w:rPr>
                <w:rFonts w:cs="Segoe UI"/>
              </w:rPr>
              <w:t>How effective are the public health measures at the border and in the community?</w:t>
            </w:r>
          </w:p>
          <w:p w14:paraId="5B011770" w14:textId="77777777" w:rsidR="00D40F75" w:rsidRPr="00D40F75" w:rsidRDefault="00D40F75" w:rsidP="000B069A">
            <w:pPr>
              <w:pStyle w:val="Table"/>
              <w:keepLines w:val="0"/>
              <w:numPr>
                <w:ilvl w:val="0"/>
                <w:numId w:val="1"/>
              </w:numPr>
              <w:spacing w:after="0" w:line="264" w:lineRule="auto"/>
              <w:rPr>
                <w:rFonts w:cs="Segoe UI"/>
                <w:sz w:val="22"/>
                <w:szCs w:val="22"/>
              </w:rPr>
            </w:pPr>
            <w:r w:rsidRPr="00D40F75">
              <w:rPr>
                <w:rFonts w:cs="Segoe UI"/>
                <w:sz w:val="22"/>
                <w:szCs w:val="22"/>
              </w:rPr>
              <w:t>How can pre-departure testing, asymptomatic testing, vaccination of travellers and border workers, and other public health measures enable safe and proportionate border health controls?</w:t>
            </w:r>
          </w:p>
          <w:p w14:paraId="53ECFC2D" w14:textId="77777777" w:rsidR="00D40F75" w:rsidRPr="00D40F75" w:rsidRDefault="00D40F75" w:rsidP="000B069A">
            <w:pPr>
              <w:pStyle w:val="Table"/>
              <w:keepLines w:val="0"/>
              <w:numPr>
                <w:ilvl w:val="0"/>
                <w:numId w:val="1"/>
              </w:numPr>
              <w:spacing w:after="0" w:line="264" w:lineRule="auto"/>
              <w:rPr>
                <w:rFonts w:cs="Segoe UI"/>
                <w:sz w:val="22"/>
                <w:szCs w:val="22"/>
              </w:rPr>
            </w:pPr>
            <w:r w:rsidRPr="00D40F75">
              <w:rPr>
                <w:rFonts w:cs="Segoe UI"/>
                <w:sz w:val="22"/>
                <w:szCs w:val="22"/>
              </w:rPr>
              <w:t>What are the risks associated with countries, regions, and individual travellers?</w:t>
            </w:r>
          </w:p>
          <w:p w14:paraId="4593380B" w14:textId="77777777" w:rsidR="00D40F75" w:rsidRPr="00D40F75" w:rsidRDefault="00D40F75" w:rsidP="000B069A">
            <w:pPr>
              <w:pStyle w:val="Table"/>
              <w:keepLines w:val="0"/>
              <w:numPr>
                <w:ilvl w:val="0"/>
                <w:numId w:val="1"/>
              </w:numPr>
              <w:spacing w:after="0" w:line="264" w:lineRule="auto"/>
              <w:rPr>
                <w:rFonts w:cs="Segoe UI"/>
                <w:sz w:val="22"/>
                <w:szCs w:val="22"/>
              </w:rPr>
            </w:pPr>
            <w:r w:rsidRPr="00D40F75">
              <w:rPr>
                <w:rFonts w:cs="Segoe UI"/>
                <w:sz w:val="22"/>
                <w:szCs w:val="22"/>
              </w:rPr>
              <w:t xml:space="preserve">How can home self-isolation and quarantine for populations at-risk be undertaken safely and in proportion to risk? </w:t>
            </w:r>
          </w:p>
          <w:p w14:paraId="3BD9D4D7" w14:textId="77777777" w:rsidR="00D40F75" w:rsidRPr="00D40F75" w:rsidRDefault="00D40F75" w:rsidP="000B069A">
            <w:pPr>
              <w:pStyle w:val="Table"/>
              <w:numPr>
                <w:ilvl w:val="0"/>
                <w:numId w:val="1"/>
              </w:numPr>
              <w:spacing w:after="0" w:line="264" w:lineRule="auto"/>
              <w:rPr>
                <w:rFonts w:cs="Segoe UI"/>
                <w:sz w:val="22"/>
                <w:szCs w:val="22"/>
              </w:rPr>
            </w:pPr>
            <w:r w:rsidRPr="00D40F75">
              <w:rPr>
                <w:rFonts w:cs="Segoe UI"/>
                <w:sz w:val="22"/>
                <w:szCs w:val="22"/>
              </w:rPr>
              <w:t>What is happening outside of the country that may impact the risks to people or the possible mitigation measures available?</w:t>
            </w:r>
          </w:p>
          <w:p w14:paraId="2EC70397" w14:textId="77777777" w:rsidR="00D40F75" w:rsidRPr="00D40F75" w:rsidRDefault="00D40F75" w:rsidP="000B069A">
            <w:pPr>
              <w:pStyle w:val="Table"/>
              <w:numPr>
                <w:ilvl w:val="0"/>
                <w:numId w:val="1"/>
              </w:numPr>
              <w:spacing w:after="0" w:line="264" w:lineRule="auto"/>
              <w:rPr>
                <w:rFonts w:cs="Segoe UI"/>
                <w:sz w:val="22"/>
                <w:szCs w:val="22"/>
              </w:rPr>
            </w:pPr>
            <w:r w:rsidRPr="00D40F75">
              <w:rPr>
                <w:rFonts w:cs="Segoe UI"/>
                <w:sz w:val="22"/>
                <w:szCs w:val="22"/>
              </w:rPr>
              <w:t>What are the other communicable and infectious diseases that could impact the COVID-19 response (e.g., influenza, RSV, measles)?</w:t>
            </w:r>
          </w:p>
        </w:tc>
      </w:tr>
      <w:tr w:rsidR="00D40F75" w:rsidRPr="005A0FC9" w14:paraId="7266F5F7" w14:textId="77777777" w:rsidTr="007A6088">
        <w:trPr>
          <w:cantSplit/>
        </w:trPr>
        <w:tc>
          <w:tcPr>
            <w:tcW w:w="2284" w:type="dxa"/>
          </w:tcPr>
          <w:p w14:paraId="1B831AAC" w14:textId="77777777" w:rsidR="00D40F75" w:rsidRPr="005A0FC9" w:rsidRDefault="00D40F75" w:rsidP="007A6088">
            <w:pPr>
              <w:rPr>
                <w:rFonts w:eastAsia="Calibri" w:cs="Segoe UI"/>
              </w:rPr>
            </w:pPr>
            <w:r w:rsidRPr="005A0FC9">
              <w:rPr>
                <w:rFonts w:eastAsia="Calibri" w:cs="Segoe UI"/>
                <w:b/>
                <w:bCs/>
              </w:rPr>
              <w:t xml:space="preserve">Objective Five </w:t>
            </w:r>
            <w:r w:rsidRPr="005A0FC9">
              <w:rPr>
                <w:rFonts w:eastAsia="Calibri" w:cs="Segoe UI"/>
              </w:rPr>
              <w:t>- Evaluate the impact of central decision making on the public health response to adjust the choice of strategies, as well as timing and intensity.</w:t>
            </w:r>
          </w:p>
        </w:tc>
        <w:tc>
          <w:tcPr>
            <w:tcW w:w="7776" w:type="dxa"/>
          </w:tcPr>
          <w:p w14:paraId="0FA2F7A7" w14:textId="77777777" w:rsidR="00D40F75" w:rsidRPr="00D40F75" w:rsidRDefault="00D40F75" w:rsidP="000B069A">
            <w:pPr>
              <w:pStyle w:val="ListParagraph"/>
              <w:numPr>
                <w:ilvl w:val="0"/>
                <w:numId w:val="1"/>
              </w:numPr>
              <w:spacing w:after="0"/>
              <w:contextualSpacing w:val="0"/>
              <w:rPr>
                <w:rFonts w:cs="Segoe UI"/>
              </w:rPr>
            </w:pPr>
            <w:r w:rsidRPr="00D40F75">
              <w:rPr>
                <w:rFonts w:cs="Segoe UI"/>
              </w:rPr>
              <w:t xml:space="preserve">What is the impact of policy and/or operational decisions (as they occur) on trends and transmission dynamics? </w:t>
            </w:r>
          </w:p>
          <w:p w14:paraId="7A0379DC" w14:textId="77777777" w:rsidR="00D40F75" w:rsidRPr="00D40F75" w:rsidRDefault="00D40F75" w:rsidP="000B069A">
            <w:pPr>
              <w:pStyle w:val="ListParagraph"/>
              <w:numPr>
                <w:ilvl w:val="0"/>
                <w:numId w:val="1"/>
              </w:numPr>
              <w:spacing w:after="0"/>
              <w:contextualSpacing w:val="0"/>
              <w:rPr>
                <w:rFonts w:cs="Segoe UI"/>
              </w:rPr>
            </w:pPr>
            <w:r w:rsidRPr="00D40F75">
              <w:rPr>
                <w:rFonts w:cs="Segoe UI"/>
              </w:rPr>
              <w:t xml:space="preserve">Are interventions having a measurable effect on trends, transmission dynamics and distribution of risk and disease burden? </w:t>
            </w:r>
          </w:p>
        </w:tc>
      </w:tr>
    </w:tbl>
    <w:p w14:paraId="72F6E71C" w14:textId="77777777" w:rsidR="00D40F75" w:rsidRDefault="00D40F75" w:rsidP="00D40F75">
      <w:pPr>
        <w:rPr>
          <w:rFonts w:cs="Segoe UI"/>
        </w:rPr>
      </w:pPr>
    </w:p>
    <w:p w14:paraId="050D0A0C" w14:textId="15364BAE" w:rsidR="00D40F75" w:rsidRPr="005F6C3F" w:rsidRDefault="00D40F75" w:rsidP="00D40F75">
      <w:pPr>
        <w:rPr>
          <w:sz w:val="22"/>
          <w:szCs w:val="22"/>
        </w:rPr>
      </w:pPr>
      <w:r w:rsidRPr="005F6C3F">
        <w:rPr>
          <w:sz w:val="22"/>
          <w:szCs w:val="22"/>
        </w:rPr>
        <w:t>The system that surveillance activities sit within is described in Appendix 2. National and international surveillance and evidence generation impact how the health system functions, through a number of mechanisms. Communities are active participants in both undertaking the behaviour changes and other practices, as well as informing the health system about what needs truly are. The whole system is supported by tools and processes and held within the frame of equity and Te Tiriti o Waitangi.</w:t>
      </w:r>
    </w:p>
    <w:p w14:paraId="28C0D736" w14:textId="125F3F0D" w:rsidR="00966AF9" w:rsidRPr="000362B1" w:rsidRDefault="00966AF9" w:rsidP="00966AF9">
      <w:pPr>
        <w:pStyle w:val="Heading2"/>
        <w:spacing w:before="0"/>
        <w:ind w:right="260"/>
        <w:rPr>
          <w:b/>
          <w:bCs/>
          <w:color w:val="auto"/>
        </w:rPr>
      </w:pPr>
      <w:bookmarkStart w:id="12" w:name="_Toc90411185"/>
      <w:r w:rsidRPr="000362B1">
        <w:rPr>
          <w:b/>
          <w:bCs/>
          <w:color w:val="auto"/>
        </w:rPr>
        <w:lastRenderedPageBreak/>
        <w:t>Te Tiriti o Waitangi and Equity Obligations</w:t>
      </w:r>
      <w:bookmarkEnd w:id="12"/>
    </w:p>
    <w:p w14:paraId="692176A6" w14:textId="77777777" w:rsidR="00D75B30" w:rsidRDefault="00966AF9" w:rsidP="000362B1">
      <w:pPr>
        <w:rPr>
          <w:rFonts w:cs="Segoe UI"/>
          <w:sz w:val="22"/>
          <w:szCs w:val="22"/>
        </w:rPr>
      </w:pPr>
      <w:r w:rsidRPr="005F6C3F">
        <w:rPr>
          <w:rFonts w:cs="Segoe UI"/>
          <w:sz w:val="22"/>
          <w:szCs w:val="22"/>
        </w:rPr>
        <w:t xml:space="preserve">Historically, pandemic responses have preferentially </w:t>
      </w:r>
      <w:r w:rsidR="004800D0">
        <w:rPr>
          <w:rFonts w:cs="Segoe UI"/>
          <w:sz w:val="22"/>
          <w:szCs w:val="22"/>
        </w:rPr>
        <w:t>dis</w:t>
      </w:r>
      <w:r w:rsidRPr="005F6C3F">
        <w:rPr>
          <w:rFonts w:cs="Segoe UI"/>
          <w:sz w:val="22"/>
          <w:szCs w:val="22"/>
        </w:rPr>
        <w:t xml:space="preserve">advantaged Māori, and failed to protect whānau, hapū, iwi and Māori communities from the worst outcomes. </w:t>
      </w:r>
      <w:r w:rsidR="004800D0">
        <w:rPr>
          <w:rFonts w:cs="Segoe UI"/>
          <w:sz w:val="22"/>
          <w:szCs w:val="22"/>
        </w:rPr>
        <w:t>T</w:t>
      </w:r>
      <w:r w:rsidRPr="005F6C3F">
        <w:rPr>
          <w:rFonts w:cs="Segoe UI"/>
          <w:sz w:val="22"/>
          <w:szCs w:val="22"/>
        </w:rPr>
        <w:t xml:space="preserve">he proportion of Māori cases in the Auckland/Waikato Delta outbreak has been </w:t>
      </w:r>
      <w:r w:rsidR="004800D0">
        <w:rPr>
          <w:rFonts w:cs="Segoe UI"/>
          <w:sz w:val="22"/>
          <w:szCs w:val="22"/>
        </w:rPr>
        <w:t xml:space="preserve">very high. </w:t>
      </w:r>
    </w:p>
    <w:p w14:paraId="5489D757" w14:textId="3E67C5C8" w:rsidR="00966AF9" w:rsidRPr="005F6C3F" w:rsidRDefault="00966AF9" w:rsidP="000362B1">
      <w:pPr>
        <w:rPr>
          <w:rFonts w:cs="Segoe UI"/>
          <w:sz w:val="22"/>
          <w:szCs w:val="22"/>
        </w:rPr>
      </w:pPr>
      <w:r w:rsidRPr="005F6C3F">
        <w:rPr>
          <w:rFonts w:cs="Segoe UI"/>
          <w:sz w:val="22"/>
          <w:szCs w:val="22"/>
        </w:rPr>
        <w:t xml:space="preserve">Te Tiriti o Waitangi and other equity considerations have been prioritised across the pandemic management objectives. Quality assurance &amp; control, risk and performance management are key areas to enhance and monitor at this stage of the COVID-19 pandemic. </w:t>
      </w:r>
      <w:r w:rsidR="00C518B5">
        <w:rPr>
          <w:rFonts w:cs="Segoe UI"/>
          <w:sz w:val="22"/>
          <w:szCs w:val="22"/>
        </w:rPr>
        <w:t>The use of s</w:t>
      </w:r>
      <w:r w:rsidRPr="005F6C3F">
        <w:rPr>
          <w:rFonts w:cs="Segoe UI"/>
          <w:sz w:val="22"/>
          <w:szCs w:val="22"/>
        </w:rPr>
        <w:t xml:space="preserve">urveillance can provide insights about the experience and health outcomes of populations or priority groups at higher risk during the COVID-19 pandemic and can inform effective responses that will support equitable outcomes. </w:t>
      </w:r>
    </w:p>
    <w:p w14:paraId="4716FCB9" w14:textId="6B198B69" w:rsidR="00966AF9" w:rsidRPr="005F6C3F" w:rsidRDefault="00966AF9" w:rsidP="000362B1">
      <w:pPr>
        <w:rPr>
          <w:rFonts w:cs="Segoe UI"/>
          <w:sz w:val="22"/>
          <w:szCs w:val="22"/>
        </w:rPr>
      </w:pPr>
      <w:r w:rsidRPr="005F6C3F">
        <w:rPr>
          <w:rFonts w:cs="Segoe UI"/>
          <w:sz w:val="22"/>
          <w:szCs w:val="22"/>
        </w:rPr>
        <w:t xml:space="preserve">Equity applies to a variety of groups defined by ethnicity, location, socio-economic status, visa status, gender, age, and health status. In addition to surveillance in the context of the Te Tiriti o Waitangi, this strategy considers equity for all population groups at risk of poor health outcomes when SARS-CoV-2 is being transmitted in the community. </w:t>
      </w:r>
    </w:p>
    <w:p w14:paraId="57EA100F" w14:textId="7EE4D9FA" w:rsidR="00966AF9" w:rsidRPr="005F6C3F" w:rsidRDefault="00966AF9" w:rsidP="000362B1">
      <w:pPr>
        <w:rPr>
          <w:rFonts w:cs="Segoe UI"/>
          <w:sz w:val="22"/>
          <w:szCs w:val="22"/>
        </w:rPr>
      </w:pPr>
      <w:r w:rsidRPr="005F6C3F">
        <w:rPr>
          <w:rFonts w:cs="Segoe UI"/>
          <w:sz w:val="22"/>
          <w:szCs w:val="22"/>
        </w:rPr>
        <w:t>The shift to the COVID-19 Protection Framework means the Surveillance Strategy requires data collection, monitoring, and measurement of structural risk factors with regards to settings and communities.</w:t>
      </w:r>
    </w:p>
    <w:p w14:paraId="4976FAE5" w14:textId="1233D5EA" w:rsidR="00966AF9" w:rsidRPr="005F6C3F" w:rsidRDefault="00966AF9" w:rsidP="000362B1">
      <w:pPr>
        <w:rPr>
          <w:rFonts w:cs="Segoe UI"/>
          <w:sz w:val="22"/>
          <w:szCs w:val="22"/>
        </w:rPr>
      </w:pPr>
      <w:r w:rsidRPr="005F6C3F">
        <w:rPr>
          <w:rFonts w:cs="Segoe UI"/>
          <w:sz w:val="22"/>
          <w:szCs w:val="22"/>
        </w:rPr>
        <w:t xml:space="preserve">Risk for individuals and communities from COVID-19 has three-parts: 1) risk of exposure, 2) risk of transmission, and 3) risk of poor outcomes, if contracted. Poor outcomes can be measured on an individual level but also on households and beyond. The elements to consider in a disease management approach include clinical outcomes, high transmission, impact on individuals, whānau, iwi and communities from COVID-19, health behaviours, mental health and addiction, disability, and public health restrictions. </w:t>
      </w:r>
    </w:p>
    <w:p w14:paraId="6E68DAF0" w14:textId="2E32B79C" w:rsidR="004F4738" w:rsidRPr="007C61EA" w:rsidRDefault="00966AF9" w:rsidP="000362B1">
      <w:pPr>
        <w:spacing w:after="240"/>
        <w:rPr>
          <w:rFonts w:cs="Segoe UI"/>
          <w:sz w:val="22"/>
          <w:szCs w:val="22"/>
        </w:rPr>
      </w:pPr>
      <w:r w:rsidRPr="005F6C3F">
        <w:rPr>
          <w:rFonts w:cs="Segoe UI"/>
          <w:b/>
          <w:bCs/>
          <w:sz w:val="22"/>
          <w:szCs w:val="22"/>
        </w:rPr>
        <w:t>Māori research principles</w:t>
      </w:r>
      <w:r w:rsidRPr="005F6C3F">
        <w:rPr>
          <w:rFonts w:cs="Segoe UI"/>
          <w:sz w:val="22"/>
          <w:szCs w:val="22"/>
        </w:rPr>
        <w:t xml:space="preserve"> will be used to guide evaluation and behavioural studies with communities, and this will ensure any outputs are responsive to Māori and Te Tiriti. Integrating a Matauranga Māori/Equity lens to the public health applied science studies will deliberately enable the exploration, discussion, and analysis of information according to what is meaningful to Māori.</w:t>
      </w:r>
    </w:p>
    <w:p w14:paraId="09468E49" w14:textId="49AC348D" w:rsidR="00966AF9" w:rsidRPr="002E3F42" w:rsidRDefault="00966AF9" w:rsidP="007C61EA">
      <w:pPr>
        <w:pStyle w:val="Heading3"/>
        <w:ind w:right="697"/>
        <w:jc w:val="right"/>
      </w:pPr>
      <w:bookmarkStart w:id="13" w:name="_Toc90411186"/>
      <w:r w:rsidRPr="002E3F42">
        <w:t>Principles for surveillance in the context of Te Tiriti o Waitangi</w:t>
      </w:r>
      <w:bookmarkEnd w:id="13"/>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530"/>
        <w:gridCol w:w="4470"/>
      </w:tblGrid>
      <w:tr w:rsidR="00966AF9" w:rsidRPr="002F6FB1" w14:paraId="03EFB1AE" w14:textId="77777777" w:rsidTr="007A6088">
        <w:trPr>
          <w:tblHeader/>
          <w:jc w:val="center"/>
        </w:trPr>
        <w:tc>
          <w:tcPr>
            <w:tcW w:w="4530"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1E8BCD"/>
          </w:tcPr>
          <w:p w14:paraId="72CD39B1" w14:textId="77777777" w:rsidR="00966AF9" w:rsidRPr="002F6FB1" w:rsidRDefault="00966AF9" w:rsidP="007A6088">
            <w:pPr>
              <w:rPr>
                <w:rFonts w:eastAsia="Segoe UI" w:cs="Segoe UI"/>
                <w:b/>
                <w:bCs/>
                <w:sz w:val="20"/>
              </w:rPr>
            </w:pPr>
            <w:r w:rsidRPr="002F6FB1">
              <w:rPr>
                <w:rFonts w:eastAsia="Segoe UI" w:cs="Segoe UI"/>
                <w:b/>
                <w:bCs/>
                <w:sz w:val="20"/>
              </w:rPr>
              <w:t xml:space="preserve">Principle </w:t>
            </w:r>
          </w:p>
        </w:tc>
        <w:tc>
          <w:tcPr>
            <w:tcW w:w="4470"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1E8BCD"/>
          </w:tcPr>
          <w:p w14:paraId="462B3DD3" w14:textId="77777777" w:rsidR="00966AF9" w:rsidRPr="002F6FB1" w:rsidRDefault="00966AF9" w:rsidP="007A6088">
            <w:pPr>
              <w:rPr>
                <w:rFonts w:eastAsia="Segoe UI" w:cs="Segoe UI"/>
                <w:b/>
                <w:bCs/>
                <w:sz w:val="20"/>
              </w:rPr>
            </w:pPr>
            <w:r w:rsidRPr="002F6FB1">
              <w:rPr>
                <w:rFonts w:eastAsia="Segoe UI" w:cs="Segoe UI"/>
                <w:b/>
                <w:bCs/>
                <w:sz w:val="20"/>
              </w:rPr>
              <w:t>In the context of surveillance</w:t>
            </w:r>
          </w:p>
        </w:tc>
      </w:tr>
      <w:tr w:rsidR="00966AF9" w:rsidRPr="002F6FB1" w14:paraId="17669045" w14:textId="77777777" w:rsidTr="00435CB0">
        <w:trPr>
          <w:jc w:val="center"/>
        </w:trPr>
        <w:tc>
          <w:tcPr>
            <w:tcW w:w="4530" w:type="dxa"/>
            <w:tcBorders>
              <w:top w:val="double" w:sz="4" w:space="0" w:color="000000" w:themeColor="text1"/>
            </w:tcBorders>
            <w:shd w:val="clear" w:color="auto" w:fill="auto"/>
          </w:tcPr>
          <w:p w14:paraId="1D801483" w14:textId="07F9FD2E" w:rsidR="00966AF9" w:rsidRPr="002F6FB1" w:rsidRDefault="00966AF9" w:rsidP="007A6088">
            <w:pPr>
              <w:pStyle w:val="CommentText"/>
              <w:spacing w:after="0"/>
              <w:rPr>
                <w:rFonts w:cs="Segoe UI"/>
                <w:lang w:val="mi-NZ"/>
              </w:rPr>
            </w:pPr>
            <w:r w:rsidRPr="002F6FB1">
              <w:rPr>
                <w:rFonts w:eastAsia="Segoe UI" w:cs="Segoe UI"/>
                <w:b/>
                <w:bCs/>
              </w:rPr>
              <w:t>Tino rangatiratanga</w:t>
            </w:r>
            <w:r w:rsidRPr="002F6FB1">
              <w:rPr>
                <w:rFonts w:eastAsia="Segoe UI" w:cs="Segoe UI"/>
              </w:rPr>
              <w:t xml:space="preserve"> </w:t>
            </w:r>
            <w:r w:rsidRPr="002F6FB1">
              <w:br/>
            </w:r>
            <w:r w:rsidRPr="002F6FB1">
              <w:rPr>
                <w:rFonts w:eastAsia="Segoe UI" w:cs="Segoe UI"/>
              </w:rPr>
              <w:t>The guarantee of tino rangatiratanga provides for Māori self-determination and mana motuhake in the design, delivery and monitoring of health and disability services. As much as possible, s</w:t>
            </w:r>
            <w:r w:rsidRPr="002F6FB1">
              <w:rPr>
                <w:rFonts w:cs="Segoe UI"/>
              </w:rPr>
              <w:t xml:space="preserve">urveillance will be co-designed with iwi, </w:t>
            </w:r>
            <w:r w:rsidRPr="002F6FB1">
              <w:rPr>
                <w:rFonts w:eastAsia="Segoe UI" w:cs="Segoe UI"/>
              </w:rPr>
              <w:t>hapū</w:t>
            </w:r>
            <w:r w:rsidRPr="002F6FB1">
              <w:rPr>
                <w:rFonts w:cs="Segoe UI"/>
              </w:rPr>
              <w:t xml:space="preserve"> and wh</w:t>
            </w:r>
            <w:r w:rsidRPr="002F6FB1">
              <w:rPr>
                <w:rFonts w:cs="Segoe UI"/>
                <w:lang w:val="mi-NZ"/>
              </w:rPr>
              <w:t>ānau.</w:t>
            </w:r>
          </w:p>
          <w:p w14:paraId="559FB730" w14:textId="77777777" w:rsidR="00966AF9" w:rsidRPr="002F6FB1" w:rsidRDefault="00966AF9" w:rsidP="007A6088">
            <w:pPr>
              <w:rPr>
                <w:rFonts w:eastAsia="Segoe UI" w:cs="Segoe UI"/>
                <w:sz w:val="20"/>
              </w:rPr>
            </w:pPr>
          </w:p>
        </w:tc>
        <w:tc>
          <w:tcPr>
            <w:tcW w:w="4470" w:type="dxa"/>
            <w:tcBorders>
              <w:top w:val="double" w:sz="4" w:space="0" w:color="000000" w:themeColor="text1"/>
            </w:tcBorders>
            <w:shd w:val="clear" w:color="auto" w:fill="auto"/>
          </w:tcPr>
          <w:p w14:paraId="6B437EDB" w14:textId="23A1941F" w:rsidR="00966AF9" w:rsidRPr="002F6FB1" w:rsidRDefault="00966AF9" w:rsidP="007A6088">
            <w:pPr>
              <w:rPr>
                <w:rFonts w:eastAsia="Segoe UI" w:cs="Segoe UI"/>
                <w:sz w:val="20"/>
              </w:rPr>
            </w:pPr>
            <w:r w:rsidRPr="002F6FB1">
              <w:rPr>
                <w:rFonts w:eastAsia="Segoe UI" w:cs="Segoe UI"/>
                <w:sz w:val="20"/>
              </w:rPr>
              <w:t>Surveillance enables Māori self-determination in the collection, analysis and use of Māori data and information. Māori Data Sovereignty principles to be applied and Māori governance for the surveillance strategy.</w:t>
            </w:r>
          </w:p>
        </w:tc>
      </w:tr>
      <w:tr w:rsidR="00966AF9" w:rsidRPr="002F6FB1" w14:paraId="4FEEA006" w14:textId="77777777" w:rsidTr="00435CB0">
        <w:trPr>
          <w:jc w:val="center"/>
        </w:trPr>
        <w:tc>
          <w:tcPr>
            <w:tcW w:w="4530" w:type="dxa"/>
            <w:shd w:val="clear" w:color="auto" w:fill="auto"/>
          </w:tcPr>
          <w:p w14:paraId="54B97285" w14:textId="42561019" w:rsidR="00966AF9" w:rsidRPr="002F6FB1" w:rsidRDefault="00966AF9" w:rsidP="007A6088">
            <w:pPr>
              <w:rPr>
                <w:rFonts w:eastAsia="Segoe UI" w:cs="Segoe UI"/>
                <w:sz w:val="20"/>
              </w:rPr>
            </w:pPr>
            <w:r w:rsidRPr="002F6FB1">
              <w:rPr>
                <w:rFonts w:eastAsia="Segoe UI" w:cs="Segoe UI"/>
                <w:b/>
                <w:bCs/>
                <w:sz w:val="20"/>
              </w:rPr>
              <w:t>Equity</w:t>
            </w:r>
            <w:r w:rsidRPr="002F6FB1">
              <w:rPr>
                <w:rFonts w:eastAsia="Segoe UI" w:cs="Segoe UI"/>
                <w:sz w:val="20"/>
              </w:rPr>
              <w:t xml:space="preserve"> </w:t>
            </w:r>
            <w:r w:rsidRPr="002F6FB1">
              <w:rPr>
                <w:sz w:val="20"/>
              </w:rPr>
              <w:br/>
            </w:r>
            <w:r w:rsidRPr="002F6FB1">
              <w:rPr>
                <w:rFonts w:eastAsia="Segoe UI" w:cs="Segoe UI"/>
                <w:sz w:val="20"/>
              </w:rPr>
              <w:t>The principle of equity requires the Crown to commit to achieving equitable health outcomes for Māori</w:t>
            </w:r>
            <w:r w:rsidR="00113D42" w:rsidRPr="002F6FB1">
              <w:rPr>
                <w:rFonts w:eastAsia="Segoe UI" w:cs="Segoe UI"/>
                <w:sz w:val="20"/>
              </w:rPr>
              <w:t>.</w:t>
            </w:r>
            <w:r w:rsidRPr="002F6FB1">
              <w:rPr>
                <w:rFonts w:eastAsia="Segoe UI" w:cs="Segoe UI"/>
                <w:sz w:val="20"/>
              </w:rPr>
              <w:t xml:space="preserve"> </w:t>
            </w:r>
          </w:p>
        </w:tc>
        <w:tc>
          <w:tcPr>
            <w:tcW w:w="4470" w:type="dxa"/>
            <w:shd w:val="clear" w:color="auto" w:fill="auto"/>
          </w:tcPr>
          <w:p w14:paraId="5075CF4A" w14:textId="77777777" w:rsidR="00966AF9" w:rsidRPr="002F6FB1" w:rsidRDefault="00966AF9" w:rsidP="007A6088">
            <w:pPr>
              <w:rPr>
                <w:rFonts w:eastAsia="Segoe UI" w:cs="Segoe UI"/>
                <w:sz w:val="20"/>
              </w:rPr>
            </w:pPr>
            <w:r w:rsidRPr="002F6FB1">
              <w:rPr>
                <w:rFonts w:eastAsia="Segoe UI" w:cs="Segoe UI"/>
                <w:sz w:val="20"/>
              </w:rPr>
              <w:t xml:space="preserve">Surveillance seeks to monitor inequities in health outcomes for Māori from COVID-19 through assessment of outcome and system access variations. </w:t>
            </w:r>
          </w:p>
          <w:p w14:paraId="696B2EC8" w14:textId="66A12E30" w:rsidR="0038077D" w:rsidRPr="002F6FB1" w:rsidRDefault="0038077D" w:rsidP="007A6088">
            <w:pPr>
              <w:rPr>
                <w:rFonts w:eastAsia="Segoe UI" w:cs="Segoe UI"/>
                <w:sz w:val="20"/>
              </w:rPr>
            </w:pPr>
          </w:p>
        </w:tc>
      </w:tr>
      <w:tr w:rsidR="00966AF9" w:rsidRPr="002F6FB1" w14:paraId="40C07DC0" w14:textId="77777777" w:rsidTr="00435CB0">
        <w:trPr>
          <w:jc w:val="center"/>
        </w:trPr>
        <w:tc>
          <w:tcPr>
            <w:tcW w:w="4530" w:type="dxa"/>
            <w:shd w:val="clear" w:color="auto" w:fill="auto"/>
          </w:tcPr>
          <w:p w14:paraId="107DD934" w14:textId="59FDAB9E" w:rsidR="00966AF9" w:rsidRPr="002F6FB1" w:rsidRDefault="00966AF9" w:rsidP="007A6088">
            <w:pPr>
              <w:rPr>
                <w:rFonts w:eastAsia="Segoe UI" w:cs="Segoe UI"/>
                <w:sz w:val="20"/>
              </w:rPr>
            </w:pPr>
            <w:r w:rsidRPr="002F6FB1">
              <w:rPr>
                <w:rFonts w:eastAsia="Segoe UI" w:cs="Segoe UI"/>
                <w:b/>
                <w:bCs/>
                <w:sz w:val="20"/>
              </w:rPr>
              <w:lastRenderedPageBreak/>
              <w:t>Active protection</w:t>
            </w:r>
            <w:r w:rsidRPr="002F6FB1">
              <w:rPr>
                <w:rFonts w:eastAsia="Segoe UI" w:cs="Segoe UI"/>
                <w:sz w:val="20"/>
              </w:rPr>
              <w:t xml:space="preserve"> </w:t>
            </w:r>
            <w:r w:rsidRPr="002F6FB1">
              <w:rPr>
                <w:sz w:val="20"/>
              </w:rPr>
              <w:br/>
            </w:r>
            <w:r w:rsidRPr="002F6FB1">
              <w:rPr>
                <w:rFonts w:eastAsia="Segoe UI" w:cs="Segoe UI"/>
                <w:sz w:val="20"/>
              </w:rPr>
              <w:t xml:space="preserve">The principle of active protection requires the Crown to act, to the fullest extent practicable, to achieve equitable health outcomes for Māori. This includes ensuring that it, its agents, and its Treaty partner are well informed on the extent and nature of both Māori health outcomes and efforts to achieve Māori health equity </w:t>
            </w:r>
          </w:p>
        </w:tc>
        <w:tc>
          <w:tcPr>
            <w:tcW w:w="4470" w:type="dxa"/>
            <w:shd w:val="clear" w:color="auto" w:fill="auto"/>
          </w:tcPr>
          <w:p w14:paraId="47025D42" w14:textId="77777777" w:rsidR="00966AF9" w:rsidRPr="002F6FB1" w:rsidRDefault="00966AF9" w:rsidP="007A6088">
            <w:pPr>
              <w:rPr>
                <w:rFonts w:eastAsia="Segoe UI" w:cs="Segoe UI"/>
                <w:sz w:val="20"/>
              </w:rPr>
            </w:pPr>
            <w:r w:rsidRPr="002F6FB1">
              <w:rPr>
                <w:rFonts w:eastAsia="Segoe UI" w:cs="Segoe UI"/>
                <w:sz w:val="20"/>
              </w:rPr>
              <w:t xml:space="preserve">Surveillance must proactively identify and address gaps and inequities in the protection of Māori from COVID-19 that may arise from surveillance approaches and processes. </w:t>
            </w:r>
          </w:p>
        </w:tc>
      </w:tr>
      <w:tr w:rsidR="00966AF9" w:rsidRPr="002F6FB1" w14:paraId="2C5AAAAE" w14:textId="77777777" w:rsidTr="00435CB0">
        <w:trPr>
          <w:jc w:val="center"/>
        </w:trPr>
        <w:tc>
          <w:tcPr>
            <w:tcW w:w="4530" w:type="dxa"/>
            <w:shd w:val="clear" w:color="auto" w:fill="auto"/>
          </w:tcPr>
          <w:p w14:paraId="4B2DB15D" w14:textId="77777777" w:rsidR="002F6FB1" w:rsidRPr="002F6FB1" w:rsidRDefault="00966AF9" w:rsidP="002F6FB1">
            <w:pPr>
              <w:spacing w:after="0"/>
              <w:rPr>
                <w:rFonts w:eastAsia="Segoe UI" w:cs="Segoe UI"/>
                <w:sz w:val="20"/>
              </w:rPr>
            </w:pPr>
            <w:r w:rsidRPr="002F6FB1">
              <w:rPr>
                <w:rFonts w:eastAsia="Segoe UI" w:cs="Segoe UI"/>
                <w:b/>
                <w:bCs/>
                <w:sz w:val="20"/>
              </w:rPr>
              <w:t>Options</w:t>
            </w:r>
            <w:r w:rsidRPr="002F6FB1">
              <w:rPr>
                <w:rFonts w:eastAsia="Segoe UI" w:cs="Segoe UI"/>
                <w:sz w:val="20"/>
              </w:rPr>
              <w:t xml:space="preserve"> </w:t>
            </w:r>
          </w:p>
          <w:p w14:paraId="5C2DA733" w14:textId="0D247874" w:rsidR="00966AF9" w:rsidRPr="002F6FB1" w:rsidRDefault="00966AF9" w:rsidP="002F6FB1">
            <w:pPr>
              <w:spacing w:after="0"/>
              <w:rPr>
                <w:rFonts w:eastAsia="Segoe UI" w:cs="Segoe UI"/>
                <w:sz w:val="20"/>
              </w:rPr>
            </w:pPr>
            <w:r w:rsidRPr="002F6FB1">
              <w:rPr>
                <w:rFonts w:eastAsia="Segoe UI" w:cs="Segoe UI"/>
                <w:sz w:val="20"/>
              </w:rPr>
              <w:t xml:space="preserve">The principle of options requires the Crown to provide for and properly resource kaupapa Māori health and disability services. Furthermore, the Crown is obliged to ensure that all health and disability services are provided in a culturally appropriate way that recognises and supports the expression of hauora Māori models of care </w:t>
            </w:r>
          </w:p>
        </w:tc>
        <w:tc>
          <w:tcPr>
            <w:tcW w:w="4470" w:type="dxa"/>
            <w:shd w:val="clear" w:color="auto" w:fill="auto"/>
          </w:tcPr>
          <w:p w14:paraId="5E743D25" w14:textId="77777777" w:rsidR="00966AF9" w:rsidRPr="002F6FB1" w:rsidRDefault="00966AF9" w:rsidP="002F6FB1">
            <w:pPr>
              <w:spacing w:after="0"/>
              <w:rPr>
                <w:rFonts w:eastAsia="Segoe UI" w:cs="Segoe UI"/>
                <w:sz w:val="20"/>
              </w:rPr>
            </w:pPr>
            <w:r w:rsidRPr="002F6FB1">
              <w:rPr>
                <w:rFonts w:eastAsia="Segoe UI" w:cs="Segoe UI"/>
                <w:sz w:val="20"/>
              </w:rPr>
              <w:t xml:space="preserve">Surveillance should be flexible and enable Māori models of care and te ao Māori perspectives in how the strategy is enacted and applied. This will </w:t>
            </w:r>
            <w:r w:rsidRPr="002F6FB1">
              <w:rPr>
                <w:rFonts w:cs="Segoe UI"/>
                <w:sz w:val="20"/>
              </w:rPr>
              <w:t>include feedback provided through Te Reo population-based surveys from tangata whenua with lived COVID-19 experience.</w:t>
            </w:r>
          </w:p>
        </w:tc>
      </w:tr>
      <w:tr w:rsidR="00966AF9" w:rsidRPr="002F6FB1" w14:paraId="7A6CFFDA" w14:textId="77777777" w:rsidTr="00435CB0">
        <w:trPr>
          <w:jc w:val="center"/>
        </w:trPr>
        <w:tc>
          <w:tcPr>
            <w:tcW w:w="4530" w:type="dxa"/>
            <w:shd w:val="clear" w:color="auto" w:fill="auto"/>
          </w:tcPr>
          <w:p w14:paraId="2D52A0D1" w14:textId="623FD45F" w:rsidR="00966AF9" w:rsidRPr="002F6FB1" w:rsidRDefault="00966AF9" w:rsidP="007A6088">
            <w:pPr>
              <w:rPr>
                <w:rFonts w:eastAsia="Segoe UI" w:cs="Segoe UI"/>
                <w:sz w:val="20"/>
              </w:rPr>
            </w:pPr>
            <w:r w:rsidRPr="002F6FB1">
              <w:rPr>
                <w:rFonts w:eastAsia="Segoe UI" w:cs="Segoe UI"/>
                <w:b/>
                <w:bCs/>
                <w:sz w:val="20"/>
              </w:rPr>
              <w:t>Partnership</w:t>
            </w:r>
            <w:r w:rsidRPr="002F6FB1">
              <w:rPr>
                <w:rFonts w:eastAsia="Segoe UI" w:cs="Segoe UI"/>
                <w:sz w:val="20"/>
              </w:rPr>
              <w:t xml:space="preserve"> </w:t>
            </w:r>
            <w:r w:rsidRPr="002F6FB1">
              <w:rPr>
                <w:sz w:val="20"/>
              </w:rPr>
              <w:br/>
            </w:r>
            <w:r w:rsidRPr="002F6FB1">
              <w:rPr>
                <w:rFonts w:eastAsia="Segoe UI" w:cs="Segoe UI"/>
                <w:sz w:val="20"/>
              </w:rPr>
              <w:t xml:space="preserve">The principle of partnership requires the Crown and Māori to work in partnership in the governance, design, delivery and monitoring of health and disability services. Māori are co-designers with the Crown of the primary health system for Māori. </w:t>
            </w:r>
          </w:p>
        </w:tc>
        <w:tc>
          <w:tcPr>
            <w:tcW w:w="4470" w:type="dxa"/>
            <w:shd w:val="clear" w:color="auto" w:fill="auto"/>
          </w:tcPr>
          <w:p w14:paraId="55F02FF7" w14:textId="77777777" w:rsidR="00966AF9" w:rsidRPr="002F6FB1" w:rsidRDefault="00966AF9" w:rsidP="007A6088">
            <w:pPr>
              <w:rPr>
                <w:rFonts w:eastAsia="Segoe UI" w:cs="Segoe UI"/>
                <w:sz w:val="20"/>
              </w:rPr>
            </w:pPr>
            <w:r w:rsidRPr="002F6FB1">
              <w:rPr>
                <w:rFonts w:eastAsia="Segoe UI" w:cs="Segoe UI"/>
                <w:sz w:val="20"/>
              </w:rPr>
              <w:t>Surveillance enables and encourages partnership with iwi Māori at all levels of the system in the design, delivery, and monitoring of surveillance activities.</w:t>
            </w:r>
          </w:p>
        </w:tc>
      </w:tr>
    </w:tbl>
    <w:p w14:paraId="42A04854" w14:textId="77777777" w:rsidR="00966AF9" w:rsidRDefault="00966AF9" w:rsidP="00966AF9">
      <w:pPr>
        <w:rPr>
          <w:rFonts w:cs="Segoe UI"/>
          <w:b/>
          <w:bCs/>
        </w:rPr>
      </w:pPr>
    </w:p>
    <w:p w14:paraId="1A039B5B" w14:textId="77777777" w:rsidR="00966AF9" w:rsidRPr="002F6FB1" w:rsidRDefault="00966AF9" w:rsidP="00940531">
      <w:pPr>
        <w:pStyle w:val="Heading3"/>
      </w:pPr>
      <w:bookmarkStart w:id="14" w:name="_Toc90411187"/>
      <w:r w:rsidRPr="002F6FB1">
        <w:t>Community Engagement</w:t>
      </w:r>
      <w:bookmarkEnd w:id="14"/>
    </w:p>
    <w:p w14:paraId="1807E6F4" w14:textId="27C91B08" w:rsidR="00966AF9" w:rsidRPr="00CD2BD7" w:rsidRDefault="00966AF9" w:rsidP="002F6FB1">
      <w:pPr>
        <w:spacing w:after="240"/>
        <w:rPr>
          <w:sz w:val="22"/>
          <w:szCs w:val="22"/>
        </w:rPr>
      </w:pPr>
      <w:r w:rsidRPr="00CD2BD7">
        <w:rPr>
          <w:sz w:val="22"/>
          <w:szCs w:val="22"/>
        </w:rPr>
        <w:t>Relationships with key providers and community representatives provide important intelligence and advice that inform community (e.g., Māori, Pacific, Disability, and other high-risk populations) COVID-19 response plans. The Ministry and DHB/PHUs will foster relationships with existing and new networks, including iwi and other community leaders. As partnerships develop, processes to enable reciprocal and routine information sharing, effective communication, and collaboration to improve the intelligence will be created to inform the response at a national level.</w:t>
      </w:r>
      <w:r w:rsidR="00113D42">
        <w:rPr>
          <w:sz w:val="22"/>
          <w:szCs w:val="22"/>
        </w:rPr>
        <w:t xml:space="preserve"> </w:t>
      </w:r>
      <w:r w:rsidRPr="00CD2BD7">
        <w:rPr>
          <w:sz w:val="22"/>
          <w:szCs w:val="22"/>
        </w:rPr>
        <w:t>Where fundamental data limitations are contributing to inequity, proactive solutions will be found to ensure the lack of data is not preventing action that may save lives and further exacerbating health inequities. Principles of equitable use of data and information, including data sovereignty and equal explanatory power, will be built into COVID-19 surveillance collection, analysis, and reporting with transparency and timeliness. The balance between privacy rights and public health will also be explicitly considered.</w:t>
      </w:r>
    </w:p>
    <w:p w14:paraId="0233D57E" w14:textId="77777777" w:rsidR="00966AF9" w:rsidRPr="002E3F42" w:rsidRDefault="00966AF9" w:rsidP="00940531">
      <w:pPr>
        <w:pStyle w:val="Heading3"/>
      </w:pPr>
      <w:bookmarkStart w:id="15" w:name="_Toc90411188"/>
      <w:r w:rsidRPr="002E3F42">
        <w:t>Pacific Peoples in the Surveillance Strategy</w:t>
      </w:r>
      <w:bookmarkEnd w:id="15"/>
    </w:p>
    <w:p w14:paraId="087BF651" w14:textId="61E43D32" w:rsidR="00966AF9" w:rsidRPr="002E3F42" w:rsidRDefault="00966AF9" w:rsidP="000A5FC5">
      <w:pPr>
        <w:rPr>
          <w:sz w:val="22"/>
          <w:szCs w:val="22"/>
        </w:rPr>
      </w:pPr>
      <w:r w:rsidRPr="002E3F42">
        <w:rPr>
          <w:sz w:val="22"/>
          <w:szCs w:val="22"/>
        </w:rPr>
        <w:t xml:space="preserve">Pacific communities are especially vulnerable to COVID-19 and are inequitably impacted. Pacific providers </w:t>
      </w:r>
      <w:r w:rsidR="007C162B">
        <w:rPr>
          <w:sz w:val="22"/>
          <w:szCs w:val="22"/>
        </w:rPr>
        <w:t>will</w:t>
      </w:r>
      <w:r w:rsidR="007C162B" w:rsidRPr="002E3F42">
        <w:rPr>
          <w:sz w:val="22"/>
          <w:szCs w:val="22"/>
        </w:rPr>
        <w:t xml:space="preserve"> </w:t>
      </w:r>
      <w:r w:rsidRPr="002E3F42">
        <w:rPr>
          <w:sz w:val="22"/>
          <w:szCs w:val="22"/>
        </w:rPr>
        <w:t xml:space="preserve">be actively engaged by the health system </w:t>
      </w:r>
      <w:r w:rsidR="00042A3E">
        <w:rPr>
          <w:sz w:val="22"/>
          <w:szCs w:val="22"/>
        </w:rPr>
        <w:t xml:space="preserve">and </w:t>
      </w:r>
      <w:r w:rsidRPr="002E3F42">
        <w:rPr>
          <w:sz w:val="22"/>
          <w:szCs w:val="22"/>
        </w:rPr>
        <w:t>implementation of this strategy will continue to include collaboration with Pacific leadership through the establishment of expert advisory mechanisms, existing groups, and community engagement.</w:t>
      </w:r>
      <w:r w:rsidR="00113D42">
        <w:rPr>
          <w:sz w:val="22"/>
          <w:szCs w:val="22"/>
        </w:rPr>
        <w:t xml:space="preserve"> </w:t>
      </w:r>
      <w:r w:rsidRPr="002E3F42">
        <w:rPr>
          <w:sz w:val="22"/>
          <w:szCs w:val="22"/>
        </w:rPr>
        <w:t>Pacific providers should be prioritised in local and regional tactical approaches and overarching decision-making by the health system to ensure that the needs of their communities are central to surveillance efforts; and that a Pacific-specific-approach can be facilitated where appropriate.</w:t>
      </w:r>
    </w:p>
    <w:p w14:paraId="16A53F18" w14:textId="77777777" w:rsidR="00966AF9" w:rsidRPr="002F6FB1" w:rsidRDefault="00966AF9" w:rsidP="00940531">
      <w:pPr>
        <w:pStyle w:val="Heading3"/>
        <w:rPr>
          <w:b w:val="0"/>
        </w:rPr>
      </w:pPr>
      <w:bookmarkStart w:id="16" w:name="_Toc90411189"/>
      <w:r w:rsidRPr="002F6FB1">
        <w:lastRenderedPageBreak/>
        <w:t>Disabled Communities in the Surveillance Strategy</w:t>
      </w:r>
      <w:bookmarkEnd w:id="16"/>
    </w:p>
    <w:p w14:paraId="265AE261" w14:textId="091BEF56" w:rsidR="00966AF9" w:rsidRPr="000E7935" w:rsidRDefault="00042A3E" w:rsidP="002F6FB1">
      <w:pPr>
        <w:spacing w:after="240"/>
        <w:rPr>
          <w:sz w:val="22"/>
          <w:szCs w:val="22"/>
        </w:rPr>
      </w:pPr>
      <w:r>
        <w:rPr>
          <w:sz w:val="22"/>
          <w:szCs w:val="22"/>
        </w:rPr>
        <w:t>D</w:t>
      </w:r>
      <w:r w:rsidR="00966AF9" w:rsidRPr="000E7935">
        <w:rPr>
          <w:sz w:val="22"/>
          <w:szCs w:val="22"/>
        </w:rPr>
        <w:t>isabled people are especially impacted by the disease, with significantly higher death rates than other groups.</w:t>
      </w:r>
      <w:r w:rsidR="00966AF9" w:rsidRPr="000E7935">
        <w:rPr>
          <w:sz w:val="22"/>
          <w:szCs w:val="22"/>
          <w:vertAlign w:val="superscript"/>
        </w:rPr>
        <w:footnoteReference w:id="8"/>
      </w:r>
      <w:r w:rsidR="00966AF9" w:rsidRPr="000E7935">
        <w:rPr>
          <w:sz w:val="22"/>
          <w:szCs w:val="22"/>
          <w:vertAlign w:val="superscript"/>
        </w:rPr>
        <w:t xml:space="preserve"> </w:t>
      </w:r>
      <w:r w:rsidR="00966AF9" w:rsidRPr="000E7935">
        <w:rPr>
          <w:sz w:val="22"/>
          <w:szCs w:val="22"/>
        </w:rPr>
        <w:t xml:space="preserve">This is across all types of disability, including physical, intellectual, sensory, cognitive, accident and age-related disabilities, people with mental health and addiction issues, and people with long-term health conditions. Local advisory groups of disabled people, carers and support providers should be engaged with to provide tactical advice on how the system in each region can best respond to disabled people and their whānau. The implementation of the Surveillance Strategy will incorporate the views and needs of disabled communities. </w:t>
      </w:r>
    </w:p>
    <w:p w14:paraId="07AB57B1" w14:textId="77777777" w:rsidR="00966AF9" w:rsidRPr="000E7935" w:rsidRDefault="00966AF9" w:rsidP="00940531">
      <w:pPr>
        <w:pStyle w:val="Heading3"/>
      </w:pPr>
      <w:bookmarkStart w:id="17" w:name="_Toc90411190"/>
      <w:r w:rsidRPr="000E7935">
        <w:t>Other Vulnerable Populations in the Surveillance Strategy</w:t>
      </w:r>
      <w:bookmarkEnd w:id="17"/>
    </w:p>
    <w:p w14:paraId="397D1E23" w14:textId="619B85BE" w:rsidR="00966AF9" w:rsidRPr="000E7935" w:rsidRDefault="00966AF9" w:rsidP="00966AF9">
      <w:pPr>
        <w:rPr>
          <w:sz w:val="22"/>
          <w:szCs w:val="22"/>
        </w:rPr>
      </w:pPr>
      <w:r w:rsidRPr="000E7935">
        <w:rPr>
          <w:sz w:val="22"/>
          <w:szCs w:val="22"/>
        </w:rPr>
        <w:t xml:space="preserve">In addition to Māori, Pacific, and disabled people, we also acknowledge under-served populations that are also at greater risk of poor outcomes due to COVID-19. The expectation is that local and regional plans will find meaningful and durable ways to embrace and engage groups, including migrants &amp; refugees, LGBTQ+ identified, remote and rural people, people with mental health and addiction issues, people experiencing homelessness and those in transitional housing, and other groups experiencing disadvantages. </w:t>
      </w:r>
    </w:p>
    <w:p w14:paraId="0FF9F7D0" w14:textId="498A9BD2" w:rsidR="00966AF9" w:rsidRPr="000E7935" w:rsidRDefault="00966AF9" w:rsidP="00966AF9">
      <w:pPr>
        <w:rPr>
          <w:sz w:val="22"/>
          <w:szCs w:val="22"/>
        </w:rPr>
      </w:pPr>
      <w:r w:rsidRPr="000E7935">
        <w:rPr>
          <w:sz w:val="22"/>
          <w:szCs w:val="22"/>
        </w:rPr>
        <w:t>Local and regional plans should also address older people, and people with significant long-term health conditions</w:t>
      </w:r>
      <w:r w:rsidR="00042A3E">
        <w:rPr>
          <w:sz w:val="22"/>
          <w:szCs w:val="22"/>
        </w:rPr>
        <w:t>,</w:t>
      </w:r>
      <w:r w:rsidRPr="000E7935">
        <w:rPr>
          <w:sz w:val="22"/>
          <w:szCs w:val="22"/>
        </w:rPr>
        <w:t xml:space="preserve"> known to be at high risk of poor outcomes from COVID-19. These stakeholders will be critical partners </w:t>
      </w:r>
      <w:r w:rsidR="00042A3E">
        <w:rPr>
          <w:sz w:val="22"/>
          <w:szCs w:val="22"/>
        </w:rPr>
        <w:t>in</w:t>
      </w:r>
      <w:r w:rsidRPr="000E7935">
        <w:rPr>
          <w:sz w:val="22"/>
          <w:szCs w:val="22"/>
        </w:rPr>
        <w:t xml:space="preserve"> ensuring </w:t>
      </w:r>
      <w:r w:rsidR="00042A3E">
        <w:rPr>
          <w:sz w:val="22"/>
          <w:szCs w:val="22"/>
        </w:rPr>
        <w:t xml:space="preserve">that </w:t>
      </w:r>
      <w:r w:rsidRPr="000E7935">
        <w:rPr>
          <w:sz w:val="22"/>
          <w:szCs w:val="22"/>
        </w:rPr>
        <w:t>the system meet</w:t>
      </w:r>
      <w:r w:rsidR="00042A3E">
        <w:rPr>
          <w:sz w:val="22"/>
          <w:szCs w:val="22"/>
        </w:rPr>
        <w:t>s</w:t>
      </w:r>
      <w:r w:rsidRPr="000E7935">
        <w:rPr>
          <w:sz w:val="22"/>
          <w:szCs w:val="22"/>
        </w:rPr>
        <w:t xml:space="preserve"> the ongoing needs of whānau and communities.  </w:t>
      </w:r>
    </w:p>
    <w:p w14:paraId="03A4AAE7" w14:textId="77777777" w:rsidR="00966AF9" w:rsidRPr="000E7935" w:rsidRDefault="00966AF9" w:rsidP="002F6FB1">
      <w:pPr>
        <w:spacing w:after="240"/>
        <w:rPr>
          <w:sz w:val="22"/>
          <w:szCs w:val="22"/>
        </w:rPr>
      </w:pPr>
      <w:r w:rsidRPr="000E7935">
        <w:rPr>
          <w:sz w:val="22"/>
          <w:szCs w:val="22"/>
        </w:rPr>
        <w:t>Surveillance will continue to operate in collaboration with the Health &amp; Disability sector through connecting to existing networks and community engagement. Providers and community intermediaries should be prioritised in local and regional tactical approaches and overarching decision-making by the health system.</w:t>
      </w:r>
    </w:p>
    <w:p w14:paraId="6E6705FE" w14:textId="1C13A737" w:rsidR="00B315BF" w:rsidRPr="002F6FB1" w:rsidRDefault="00B315BF" w:rsidP="00B315BF">
      <w:pPr>
        <w:pStyle w:val="Heading2"/>
        <w:ind w:right="260"/>
        <w:rPr>
          <w:b/>
          <w:bCs/>
          <w:color w:val="auto"/>
        </w:rPr>
      </w:pPr>
      <w:bookmarkStart w:id="18" w:name="_Toc90411191"/>
      <w:r w:rsidRPr="002F6FB1">
        <w:rPr>
          <w:b/>
          <w:bCs/>
          <w:color w:val="auto"/>
        </w:rPr>
        <w:t>Disease Surveillance Approach</w:t>
      </w:r>
      <w:bookmarkEnd w:id="18"/>
    </w:p>
    <w:p w14:paraId="015DDD82" w14:textId="03E2C2D1" w:rsidR="00B315BF" w:rsidRPr="002F6FB1" w:rsidRDefault="00B315BF" w:rsidP="00B315BF">
      <w:pPr>
        <w:rPr>
          <w:sz w:val="22"/>
          <w:szCs w:val="22"/>
        </w:rPr>
      </w:pPr>
      <w:r w:rsidRPr="002F6FB1">
        <w:rPr>
          <w:sz w:val="22"/>
          <w:szCs w:val="22"/>
        </w:rPr>
        <w:t>In order to answer the key surveillance questions and meet</w:t>
      </w:r>
      <w:r w:rsidR="00593C05">
        <w:rPr>
          <w:sz w:val="22"/>
          <w:szCs w:val="22"/>
        </w:rPr>
        <w:t xml:space="preserve"> </w:t>
      </w:r>
      <w:r w:rsidR="00593C05" w:rsidRPr="00D153F8">
        <w:rPr>
          <w:sz w:val="22"/>
          <w:szCs w:val="22"/>
        </w:rPr>
        <w:t>the</w:t>
      </w:r>
      <w:r w:rsidRPr="00D153F8">
        <w:rPr>
          <w:sz w:val="22"/>
          <w:szCs w:val="22"/>
        </w:rPr>
        <w:t xml:space="preserve"> objectives</w:t>
      </w:r>
      <w:r w:rsidR="00D153F8" w:rsidRPr="00D153F8">
        <w:rPr>
          <w:sz w:val="22"/>
          <w:szCs w:val="22"/>
        </w:rPr>
        <w:t xml:space="preserve">, </w:t>
      </w:r>
      <w:r w:rsidRPr="00D153F8">
        <w:rPr>
          <w:sz w:val="22"/>
          <w:szCs w:val="22"/>
        </w:rPr>
        <w:t>the following</w:t>
      </w:r>
      <w:r w:rsidRPr="002F6FB1">
        <w:rPr>
          <w:sz w:val="22"/>
          <w:szCs w:val="22"/>
        </w:rPr>
        <w:t xml:space="preserve"> approaches are outlined:</w:t>
      </w:r>
    </w:p>
    <w:p w14:paraId="09077E00" w14:textId="311ACDD4" w:rsidR="00B315BF" w:rsidRPr="002F6FB1" w:rsidRDefault="00B315BF" w:rsidP="00B315BF">
      <w:pPr>
        <w:rPr>
          <w:sz w:val="22"/>
          <w:szCs w:val="22"/>
        </w:rPr>
      </w:pPr>
      <w:r w:rsidRPr="002F6FB1">
        <w:rPr>
          <w:b/>
          <w:bCs/>
          <w:sz w:val="22"/>
          <w:szCs w:val="22"/>
        </w:rPr>
        <w:t>Data collection, management, integration, and analysis –</w:t>
      </w:r>
      <w:r w:rsidRPr="002F6FB1">
        <w:rPr>
          <w:sz w:val="22"/>
          <w:szCs w:val="22"/>
        </w:rPr>
        <w:t xml:space="preserve"> of quantitative and qualitative data on cases, testing, wastewater testing, contact tracing, molecular epidemiology, border management and public adherence to public health advice.</w:t>
      </w:r>
    </w:p>
    <w:p w14:paraId="7F797B32" w14:textId="57AD3187" w:rsidR="00B315BF" w:rsidRPr="002F6FB1" w:rsidRDefault="00B315BF" w:rsidP="00B315BF">
      <w:pPr>
        <w:rPr>
          <w:sz w:val="22"/>
          <w:szCs w:val="22"/>
        </w:rPr>
      </w:pPr>
      <w:r w:rsidRPr="002F6FB1">
        <w:rPr>
          <w:b/>
          <w:bCs/>
          <w:sz w:val="22"/>
          <w:szCs w:val="22"/>
        </w:rPr>
        <w:t>Evaluation and interpretation</w:t>
      </w:r>
      <w:r w:rsidRPr="002F6FB1">
        <w:rPr>
          <w:sz w:val="22"/>
          <w:szCs w:val="22"/>
        </w:rPr>
        <w:t xml:space="preserve"> – evaluate, interpret, and model specific surveillance questions, drawing on public health, communicable diseases, microbiology, epidemiology, statistics, social science, behavioural studies, disability, and Māori and Pacific health reports.  </w:t>
      </w:r>
    </w:p>
    <w:p w14:paraId="72783784" w14:textId="7147442A" w:rsidR="00B315BF" w:rsidRPr="002F6FB1" w:rsidRDefault="00B315BF" w:rsidP="00B315BF">
      <w:pPr>
        <w:rPr>
          <w:sz w:val="22"/>
          <w:szCs w:val="22"/>
        </w:rPr>
      </w:pPr>
      <w:r w:rsidRPr="002F6FB1">
        <w:rPr>
          <w:b/>
          <w:bCs/>
          <w:sz w:val="22"/>
          <w:szCs w:val="22"/>
        </w:rPr>
        <w:t>Information for action</w:t>
      </w:r>
      <w:r w:rsidRPr="002F6FB1">
        <w:rPr>
          <w:sz w:val="22"/>
          <w:szCs w:val="22"/>
        </w:rPr>
        <w:t xml:space="preserve"> – to enable others to act on the </w:t>
      </w:r>
      <w:r w:rsidR="000339F9">
        <w:rPr>
          <w:sz w:val="22"/>
          <w:szCs w:val="22"/>
        </w:rPr>
        <w:t>information</w:t>
      </w:r>
      <w:r w:rsidRPr="002F6FB1">
        <w:rPr>
          <w:sz w:val="22"/>
          <w:szCs w:val="22"/>
        </w:rPr>
        <w:t>, recommendations, and guidance.</w:t>
      </w:r>
    </w:p>
    <w:p w14:paraId="08F6BF6A" w14:textId="26622941" w:rsidR="00B315BF" w:rsidRDefault="00B315BF" w:rsidP="00B315BF">
      <w:pPr>
        <w:keepNext/>
        <w:jc w:val="center"/>
        <w:rPr>
          <w:rFonts w:eastAsia="Segoe UI" w:cs="Segoe UI"/>
          <w:b/>
          <w:bCs/>
          <w:sz w:val="24"/>
          <w:szCs w:val="24"/>
        </w:rPr>
      </w:pPr>
    </w:p>
    <w:p w14:paraId="7D19EDBE" w14:textId="652DC845" w:rsidR="00B315BF" w:rsidRPr="006C74DA" w:rsidRDefault="00B315BF" w:rsidP="00B315BF">
      <w:pPr>
        <w:keepNext/>
        <w:jc w:val="center"/>
        <w:rPr>
          <w:rFonts w:eastAsia="Segoe UI" w:cs="Segoe UI"/>
          <w:b/>
          <w:bCs/>
          <w:sz w:val="28"/>
          <w:szCs w:val="28"/>
        </w:rPr>
      </w:pPr>
      <w:r w:rsidRPr="006C74DA">
        <w:rPr>
          <w:rFonts w:eastAsia="Segoe UI" w:cs="Segoe UI"/>
          <w:b/>
          <w:bCs/>
          <w:sz w:val="28"/>
          <w:szCs w:val="28"/>
        </w:rPr>
        <w:t>The cycle of public health surveillance</w:t>
      </w:r>
    </w:p>
    <w:p w14:paraId="66C2809E" w14:textId="1E7F9A27" w:rsidR="00B315BF" w:rsidRPr="00C477DF" w:rsidRDefault="00B315BF" w:rsidP="00B315BF">
      <w:pPr>
        <w:spacing w:after="240"/>
        <w:jc w:val="center"/>
        <w:rPr>
          <w:rFonts w:eastAsia="Segoe UI" w:cs="Segoe UI"/>
          <w:szCs w:val="21"/>
        </w:rPr>
      </w:pPr>
      <w:r>
        <w:rPr>
          <w:noProof/>
        </w:rPr>
        <w:drawing>
          <wp:inline distT="0" distB="0" distL="0" distR="0" wp14:anchorId="49C624AC" wp14:editId="7C8B8F40">
            <wp:extent cx="4724400" cy="4015741"/>
            <wp:effectExtent l="0" t="0" r="0" b="3810"/>
            <wp:docPr id="974676890" name="Picture 1615929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5929671"/>
                    <pic:cNvPicPr/>
                  </pic:nvPicPr>
                  <pic:blipFill>
                    <a:blip r:embed="rId18">
                      <a:extLst>
                        <a:ext uri="{28A0092B-C50C-407E-A947-70E740481C1C}">
                          <a14:useLocalDpi xmlns:a14="http://schemas.microsoft.com/office/drawing/2010/main" val="0"/>
                        </a:ext>
                      </a:extLst>
                    </a:blip>
                    <a:stretch>
                      <a:fillRect/>
                    </a:stretch>
                  </pic:blipFill>
                  <pic:spPr>
                    <a:xfrm>
                      <a:off x="0" y="0"/>
                      <a:ext cx="4770114" cy="4054598"/>
                    </a:xfrm>
                    <a:prstGeom prst="rect">
                      <a:avLst/>
                    </a:prstGeom>
                  </pic:spPr>
                </pic:pic>
              </a:graphicData>
            </a:graphic>
          </wp:inline>
        </w:drawing>
      </w:r>
    </w:p>
    <w:p w14:paraId="4ECD0B22" w14:textId="4D207AFC" w:rsidR="00B315BF" w:rsidRDefault="00B315BF" w:rsidP="00B315BF">
      <w:pPr>
        <w:spacing w:after="240"/>
        <w:jc w:val="center"/>
        <w:rPr>
          <w:rFonts w:eastAsia="Segoe UI" w:cs="Segoe UI"/>
          <w:b/>
          <w:bCs/>
          <w:sz w:val="28"/>
          <w:szCs w:val="28"/>
        </w:rPr>
      </w:pPr>
    </w:p>
    <w:p w14:paraId="0C9D5257" w14:textId="77DAB25E" w:rsidR="00B315BF" w:rsidRPr="000E7935" w:rsidRDefault="00B315BF" w:rsidP="00B315BF">
      <w:pPr>
        <w:pStyle w:val="Heading2"/>
        <w:ind w:right="260"/>
        <w:rPr>
          <w:b/>
          <w:bCs/>
          <w:color w:val="000000" w:themeColor="text1"/>
        </w:rPr>
      </w:pPr>
      <w:bookmarkStart w:id="19" w:name="_Toc90411192"/>
      <w:r w:rsidRPr="000E7935">
        <w:rPr>
          <w:b/>
          <w:bCs/>
          <w:color w:val="000000" w:themeColor="text1"/>
        </w:rPr>
        <w:t>Surveillance Systems</w:t>
      </w:r>
      <w:bookmarkEnd w:id="19"/>
    </w:p>
    <w:p w14:paraId="0A6C81B1" w14:textId="1962B661" w:rsidR="00B315BF" w:rsidRPr="000E7935" w:rsidRDefault="00B315BF" w:rsidP="00B315BF">
      <w:pPr>
        <w:spacing w:after="240"/>
        <w:jc w:val="both"/>
        <w:rPr>
          <w:rFonts w:eastAsia="Segoe UI" w:cs="Segoe UI"/>
          <w:sz w:val="22"/>
          <w:szCs w:val="22"/>
        </w:rPr>
      </w:pPr>
      <w:r w:rsidRPr="000E7935">
        <w:rPr>
          <w:rFonts w:eastAsia="Segoe UI" w:cs="Segoe UI"/>
          <w:sz w:val="22"/>
          <w:szCs w:val="22"/>
        </w:rPr>
        <w:t xml:space="preserve">The following surveillance systems </w:t>
      </w:r>
      <w:r w:rsidR="00896AD0">
        <w:rPr>
          <w:rFonts w:eastAsia="Segoe UI" w:cs="Segoe UI"/>
          <w:sz w:val="22"/>
          <w:szCs w:val="22"/>
        </w:rPr>
        <w:t xml:space="preserve">will </w:t>
      </w:r>
      <w:r w:rsidRPr="000E7935">
        <w:rPr>
          <w:rFonts w:eastAsia="Segoe UI" w:cs="Segoe UI"/>
          <w:sz w:val="22"/>
          <w:szCs w:val="22"/>
        </w:rPr>
        <w:t xml:space="preserve">generate the evidence needed for public health decisions. </w:t>
      </w:r>
    </w:p>
    <w:p w14:paraId="7FB80B9C" w14:textId="3FC461D6" w:rsidR="00B315BF" w:rsidRPr="00E0124A" w:rsidRDefault="00B315BF" w:rsidP="007C61EA">
      <w:pPr>
        <w:pStyle w:val="Heading3"/>
        <w:rPr>
          <w:szCs w:val="28"/>
        </w:rPr>
      </w:pPr>
      <w:bookmarkStart w:id="20" w:name="_Toc90411193"/>
      <w:r w:rsidRPr="00921E56">
        <w:rPr>
          <w:szCs w:val="28"/>
        </w:rPr>
        <w:t>Routine Surveillance</w:t>
      </w:r>
      <w:r w:rsidR="00896AD0" w:rsidRPr="00E0124A">
        <w:rPr>
          <w:szCs w:val="28"/>
        </w:rPr>
        <w:t xml:space="preserve"> Systems</w:t>
      </w:r>
      <w:bookmarkEnd w:id="20"/>
    </w:p>
    <w:p w14:paraId="38ACB87D" w14:textId="068AC0BF" w:rsidR="00B315BF" w:rsidRPr="000E7935" w:rsidRDefault="00B315BF" w:rsidP="002F6FB1">
      <w:pPr>
        <w:rPr>
          <w:rFonts w:cs="Segoe UI"/>
          <w:sz w:val="22"/>
          <w:szCs w:val="22"/>
        </w:rPr>
      </w:pPr>
      <w:bookmarkStart w:id="21" w:name="_Hlk89801565"/>
      <w:r w:rsidRPr="000E7935" w:rsidDel="00896AD0">
        <w:rPr>
          <w:rFonts w:cs="Segoe UI"/>
          <w:sz w:val="22"/>
          <w:szCs w:val="22"/>
        </w:rPr>
        <w:t>There are currently t</w:t>
      </w:r>
      <w:r w:rsidR="00E0124A">
        <w:rPr>
          <w:rFonts w:cs="Segoe UI"/>
          <w:sz w:val="22"/>
          <w:szCs w:val="22"/>
        </w:rPr>
        <w:t>hree</w:t>
      </w:r>
      <w:r w:rsidRPr="000E7935" w:rsidDel="00896AD0">
        <w:rPr>
          <w:rFonts w:cs="Segoe UI"/>
          <w:sz w:val="22"/>
          <w:szCs w:val="22"/>
        </w:rPr>
        <w:t xml:space="preserve"> data management systems supporting reporting for COVID-19: NCTS and Episurv. Both are monitored and all analyses reconciled. Episurv is the national notifiable disease surveillance database on behalf of the Ministry. The National Contact Tracing Solution (NCTS), and the National Border Solution, are tools increasingly used to support surveillance monitoring.</w:t>
      </w:r>
      <w:r w:rsidR="00E0124A">
        <w:rPr>
          <w:rFonts w:cs="Segoe UI"/>
          <w:sz w:val="22"/>
          <w:szCs w:val="22"/>
        </w:rPr>
        <w:t xml:space="preserve"> </w:t>
      </w:r>
      <w:r w:rsidRPr="000E7935">
        <w:rPr>
          <w:rFonts w:cs="Segoe UI"/>
          <w:sz w:val="22"/>
          <w:szCs w:val="22"/>
        </w:rPr>
        <w:t>Under the Health Act 1956 and the Tuberculosis Act 1948, health professionals are required to inform their local Medical Officer of Health of any suspected or diagnosed notifiable disease. Since December 2007, laboratories have also been required to report notifiable diseases to their local Medical Officer of Health.</w:t>
      </w:r>
    </w:p>
    <w:p w14:paraId="552E5725" w14:textId="14110CF2" w:rsidR="00B315BF" w:rsidRPr="000E7935" w:rsidRDefault="00B315BF" w:rsidP="002F6FB1">
      <w:pPr>
        <w:rPr>
          <w:rFonts w:cs="Segoe UI"/>
          <w:sz w:val="22"/>
          <w:szCs w:val="22"/>
        </w:rPr>
      </w:pPr>
      <w:r w:rsidRPr="000E7935">
        <w:rPr>
          <w:rFonts w:cs="Segoe UI"/>
          <w:sz w:val="22"/>
          <w:szCs w:val="22"/>
        </w:rPr>
        <w:t xml:space="preserve">Notifiable disease data reported to the Medical Officer of Health at each PHU </w:t>
      </w:r>
      <w:r w:rsidR="00896AD0">
        <w:rPr>
          <w:rFonts w:cs="Segoe UI"/>
          <w:sz w:val="22"/>
          <w:szCs w:val="22"/>
        </w:rPr>
        <w:t>are</w:t>
      </w:r>
      <w:r w:rsidRPr="000E7935">
        <w:rPr>
          <w:rFonts w:cs="Segoe UI"/>
          <w:sz w:val="22"/>
          <w:szCs w:val="22"/>
        </w:rPr>
        <w:t xml:space="preserve"> entered via a secure web-based portal into the EpiSurv national database. The near real-time data </w:t>
      </w:r>
      <w:r w:rsidR="00896AD0">
        <w:rPr>
          <w:rFonts w:cs="Segoe UI"/>
          <w:sz w:val="22"/>
          <w:szCs w:val="22"/>
        </w:rPr>
        <w:t>are</w:t>
      </w:r>
      <w:r w:rsidRPr="000E7935">
        <w:rPr>
          <w:rFonts w:cs="Segoe UI"/>
          <w:sz w:val="22"/>
          <w:szCs w:val="22"/>
        </w:rPr>
        <w:t xml:space="preserve"> collated and analysed by the Institute of Environmental Science and Research Ltd (ESR) on behalf of the Ministry of Health.</w:t>
      </w:r>
    </w:p>
    <w:p w14:paraId="38E49B3A" w14:textId="77777777" w:rsidR="007D1352" w:rsidRPr="002171AA" w:rsidRDefault="00B315BF" w:rsidP="002171AA">
      <w:pPr>
        <w:rPr>
          <w:b/>
          <w:color w:val="FF0000"/>
          <w:sz w:val="22"/>
          <w:szCs w:val="22"/>
        </w:rPr>
      </w:pPr>
      <w:r w:rsidRPr="002171AA">
        <w:rPr>
          <w:sz w:val="22"/>
          <w:szCs w:val="22"/>
        </w:rPr>
        <w:t xml:space="preserve">Case definition and clinical testing guidelines will be maintained and updated to identify and test those individuals who may have a higher risk of having COVID-19. It includes clinical criteria of </w:t>
      </w:r>
      <w:r w:rsidRPr="002171AA">
        <w:rPr>
          <w:sz w:val="22"/>
          <w:szCs w:val="22"/>
        </w:rPr>
        <w:lastRenderedPageBreak/>
        <w:t>COVID-19, the Higher Index of Suspicion (HIS) criteria</w:t>
      </w:r>
      <w:r w:rsidR="00896AD0" w:rsidRPr="002171AA">
        <w:rPr>
          <w:sz w:val="22"/>
          <w:szCs w:val="22"/>
        </w:rPr>
        <w:t xml:space="preserve"> (for lab processing prioritisation)</w:t>
      </w:r>
      <w:r w:rsidRPr="002171AA">
        <w:rPr>
          <w:sz w:val="22"/>
          <w:szCs w:val="22"/>
        </w:rPr>
        <w:t>, case definitions and notification procedures.</w:t>
      </w:r>
      <w:r w:rsidRPr="002171AA">
        <w:rPr>
          <w:sz w:val="22"/>
          <w:szCs w:val="22"/>
          <w:vertAlign w:val="superscript"/>
        </w:rPr>
        <w:footnoteReference w:id="9"/>
      </w:r>
      <w:bookmarkEnd w:id="21"/>
    </w:p>
    <w:p w14:paraId="185105A5" w14:textId="74B40304" w:rsidR="003B7B43" w:rsidRPr="002171AA" w:rsidRDefault="003B7B43" w:rsidP="003B7B43">
      <w:pPr>
        <w:pStyle w:val="Heading3"/>
      </w:pPr>
      <w:bookmarkStart w:id="22" w:name="_Toc90411194"/>
      <w:r w:rsidRPr="000E7935">
        <w:t>B</w:t>
      </w:r>
      <w:r w:rsidRPr="002171AA">
        <w:t>order and international surveillance</w:t>
      </w:r>
      <w:bookmarkEnd w:id="22"/>
    </w:p>
    <w:p w14:paraId="77523E1D" w14:textId="77777777" w:rsidR="003B7B43" w:rsidRPr="000E7935" w:rsidRDefault="003B7B43" w:rsidP="0033012D">
      <w:pPr>
        <w:pStyle w:val="paragraph"/>
        <w:spacing w:before="0" w:beforeAutospacing="0" w:after="120" w:afterAutospacing="0"/>
        <w:rPr>
          <w:rFonts w:ascii="Segoe UI" w:hAnsi="Segoe UI" w:cs="Segoe UI"/>
          <w:color w:val="000000" w:themeColor="text1"/>
          <w:sz w:val="22"/>
          <w:szCs w:val="22"/>
        </w:rPr>
      </w:pPr>
      <w:r w:rsidRPr="000E7935">
        <w:rPr>
          <w:rStyle w:val="normaltextrun"/>
          <w:rFonts w:ascii="Segoe UI" w:hAnsi="Segoe UI" w:cs="Segoe UI"/>
          <w:color w:val="000000" w:themeColor="text1"/>
          <w:sz w:val="22"/>
          <w:szCs w:val="22"/>
        </w:rPr>
        <w:t>Surveillance at and beyond the borders aims to:  </w:t>
      </w:r>
      <w:r w:rsidRPr="000E7935">
        <w:rPr>
          <w:rStyle w:val="eop"/>
          <w:rFonts w:ascii="Segoe UI" w:eastAsiaTheme="majorEastAsia" w:hAnsi="Segoe UI" w:cs="Segoe UI"/>
          <w:color w:val="000000" w:themeColor="text1"/>
          <w:sz w:val="22"/>
          <w:szCs w:val="22"/>
        </w:rPr>
        <w:t> </w:t>
      </w:r>
    </w:p>
    <w:p w14:paraId="2925E110" w14:textId="77777777" w:rsidR="003B7B43" w:rsidRPr="000E7935" w:rsidRDefault="003B7B43" w:rsidP="0033012D">
      <w:pPr>
        <w:pStyle w:val="ListParagraph"/>
        <w:numPr>
          <w:ilvl w:val="0"/>
          <w:numId w:val="4"/>
        </w:numPr>
        <w:contextualSpacing w:val="0"/>
        <w:rPr>
          <w:rFonts w:cs="Segoe UI"/>
          <w:color w:val="000000" w:themeColor="text1"/>
          <w:sz w:val="22"/>
          <w:szCs w:val="22"/>
        </w:rPr>
      </w:pPr>
      <w:r w:rsidRPr="000E7935">
        <w:rPr>
          <w:rFonts w:cs="Segoe UI"/>
          <w:color w:val="000000" w:themeColor="text1"/>
          <w:sz w:val="22"/>
          <w:szCs w:val="22"/>
        </w:rPr>
        <w:t>Manage the risk of community outbreaks being seeded by arriving travellers </w:t>
      </w:r>
    </w:p>
    <w:p w14:paraId="2D37E679" w14:textId="77777777" w:rsidR="003B7B43" w:rsidRPr="000E7935" w:rsidRDefault="003B7B43" w:rsidP="0033012D">
      <w:pPr>
        <w:pStyle w:val="ListParagraph"/>
        <w:numPr>
          <w:ilvl w:val="0"/>
          <w:numId w:val="4"/>
        </w:numPr>
        <w:contextualSpacing w:val="0"/>
        <w:rPr>
          <w:rFonts w:cs="Segoe UI"/>
          <w:color w:val="000000" w:themeColor="text1"/>
          <w:sz w:val="22"/>
          <w:szCs w:val="22"/>
        </w:rPr>
      </w:pPr>
      <w:r w:rsidRPr="000E7935">
        <w:rPr>
          <w:rFonts w:cs="Segoe UI"/>
          <w:color w:val="000000" w:themeColor="text1"/>
          <w:sz w:val="22"/>
          <w:szCs w:val="22"/>
        </w:rPr>
        <w:t>Protect the border workforce including aircrew and people working at maritime ports</w:t>
      </w:r>
    </w:p>
    <w:p w14:paraId="54918A9F" w14:textId="77777777" w:rsidR="003B7B43" w:rsidRPr="000E7935" w:rsidRDefault="003B7B43" w:rsidP="0033012D">
      <w:pPr>
        <w:pStyle w:val="ListParagraph"/>
        <w:numPr>
          <w:ilvl w:val="0"/>
          <w:numId w:val="4"/>
        </w:numPr>
        <w:contextualSpacing w:val="0"/>
        <w:rPr>
          <w:rFonts w:cs="Segoe UI"/>
          <w:color w:val="000000" w:themeColor="text1"/>
          <w:sz w:val="22"/>
          <w:szCs w:val="22"/>
        </w:rPr>
      </w:pPr>
      <w:r w:rsidRPr="000E7935">
        <w:rPr>
          <w:rFonts w:cs="Segoe UI"/>
          <w:color w:val="000000" w:themeColor="text1"/>
          <w:sz w:val="22"/>
          <w:szCs w:val="22"/>
        </w:rPr>
        <w:t>Mitigate risks at the maritime border, especially from commercial ship crews who arrive by sea and air</w:t>
      </w:r>
    </w:p>
    <w:p w14:paraId="6E7FC75B" w14:textId="77777777" w:rsidR="003B7B43" w:rsidRPr="000E7935" w:rsidRDefault="003B7B43" w:rsidP="0033012D">
      <w:pPr>
        <w:pStyle w:val="ListParagraph"/>
        <w:numPr>
          <w:ilvl w:val="0"/>
          <w:numId w:val="4"/>
        </w:numPr>
        <w:contextualSpacing w:val="0"/>
        <w:rPr>
          <w:rFonts w:cs="Segoe UI"/>
          <w:color w:val="000000" w:themeColor="text1"/>
          <w:sz w:val="22"/>
          <w:szCs w:val="22"/>
        </w:rPr>
      </w:pPr>
      <w:r w:rsidRPr="000E7935">
        <w:rPr>
          <w:rFonts w:cs="Segoe UI"/>
          <w:color w:val="000000" w:themeColor="text1"/>
          <w:sz w:val="22"/>
          <w:szCs w:val="22"/>
        </w:rPr>
        <w:t>Manage the risk of new variants of concern entering the country </w:t>
      </w:r>
    </w:p>
    <w:p w14:paraId="370FE6D8" w14:textId="77777777" w:rsidR="003B7B43" w:rsidRPr="000E7935" w:rsidRDefault="003B7B43" w:rsidP="0033012D">
      <w:pPr>
        <w:pStyle w:val="ListParagraph"/>
        <w:numPr>
          <w:ilvl w:val="0"/>
          <w:numId w:val="4"/>
        </w:numPr>
        <w:contextualSpacing w:val="0"/>
        <w:rPr>
          <w:rFonts w:cs="Segoe UI"/>
          <w:color w:val="000000" w:themeColor="text1"/>
          <w:sz w:val="22"/>
          <w:szCs w:val="22"/>
        </w:rPr>
      </w:pPr>
      <w:r w:rsidRPr="000E7935">
        <w:rPr>
          <w:rFonts w:cs="Segoe UI"/>
          <w:color w:val="000000" w:themeColor="text1"/>
          <w:sz w:val="22"/>
          <w:szCs w:val="22"/>
        </w:rPr>
        <w:t>Support safe travel and minimise infection risk during travel </w:t>
      </w:r>
    </w:p>
    <w:p w14:paraId="7817BED0" w14:textId="77777777" w:rsidR="003B7B43" w:rsidRPr="000E7935" w:rsidRDefault="003B7B43" w:rsidP="0033012D">
      <w:pPr>
        <w:pStyle w:val="ListParagraph"/>
        <w:numPr>
          <w:ilvl w:val="0"/>
          <w:numId w:val="4"/>
        </w:numPr>
        <w:contextualSpacing w:val="0"/>
        <w:rPr>
          <w:rFonts w:cs="Segoe UI"/>
          <w:color w:val="000000" w:themeColor="text1"/>
          <w:sz w:val="22"/>
          <w:szCs w:val="22"/>
        </w:rPr>
      </w:pPr>
      <w:r w:rsidRPr="000E7935">
        <w:rPr>
          <w:rFonts w:cs="Segoe UI"/>
          <w:color w:val="000000" w:themeColor="text1"/>
          <w:sz w:val="22"/>
          <w:szCs w:val="22"/>
        </w:rPr>
        <w:t>Give the country advance warning of significant changes in infection or the nature of the virus in travel partner countries </w:t>
      </w:r>
    </w:p>
    <w:p w14:paraId="4200234E" w14:textId="77777777" w:rsidR="003B7B43" w:rsidRPr="000E7935" w:rsidRDefault="003B7B43" w:rsidP="0033012D">
      <w:pPr>
        <w:pStyle w:val="ListParagraph"/>
        <w:numPr>
          <w:ilvl w:val="0"/>
          <w:numId w:val="4"/>
        </w:numPr>
        <w:contextualSpacing w:val="0"/>
        <w:rPr>
          <w:rFonts w:cs="Segoe UI"/>
          <w:color w:val="000000" w:themeColor="text1"/>
          <w:sz w:val="22"/>
          <w:szCs w:val="22"/>
        </w:rPr>
      </w:pPr>
      <w:r w:rsidRPr="000E7935">
        <w:rPr>
          <w:rFonts w:cs="Segoe UI"/>
          <w:color w:val="000000" w:themeColor="text1"/>
          <w:sz w:val="22"/>
          <w:szCs w:val="22"/>
        </w:rPr>
        <w:t>Learn from the experience of other countries in managing the pandemic</w:t>
      </w:r>
    </w:p>
    <w:p w14:paraId="1A5736FD" w14:textId="77777777" w:rsidR="003B7B43" w:rsidRPr="000E7935" w:rsidRDefault="003B7B43" w:rsidP="0033012D">
      <w:pPr>
        <w:pStyle w:val="ListParagraph"/>
        <w:numPr>
          <w:ilvl w:val="0"/>
          <w:numId w:val="4"/>
        </w:numPr>
        <w:contextualSpacing w:val="0"/>
        <w:rPr>
          <w:rFonts w:cs="Segoe UI"/>
          <w:color w:val="000000" w:themeColor="text1"/>
          <w:sz w:val="22"/>
          <w:szCs w:val="22"/>
        </w:rPr>
      </w:pPr>
      <w:r w:rsidRPr="000E7935">
        <w:rPr>
          <w:rFonts w:cs="Segoe UI"/>
          <w:color w:val="000000" w:themeColor="text1"/>
          <w:sz w:val="22"/>
          <w:szCs w:val="22"/>
        </w:rPr>
        <w:t>Monitor other health hazards and infectious diseases that pose a domestic risk</w:t>
      </w:r>
    </w:p>
    <w:p w14:paraId="1EE53E9C" w14:textId="77777777" w:rsidR="003B7B43" w:rsidRPr="000E7935" w:rsidRDefault="003B7B43" w:rsidP="0033012D">
      <w:pPr>
        <w:rPr>
          <w:rFonts w:cs="Segoe UI"/>
          <w:color w:val="000000" w:themeColor="text1"/>
          <w:sz w:val="22"/>
          <w:szCs w:val="22"/>
        </w:rPr>
      </w:pPr>
      <w:r w:rsidRPr="000E7935">
        <w:rPr>
          <w:rFonts w:cs="Segoe UI"/>
          <w:color w:val="000000" w:themeColor="text1"/>
          <w:sz w:val="22"/>
          <w:szCs w:val="22"/>
        </w:rPr>
        <w:t xml:space="preserve">International travel is actively managed at the air and maritime borders. Travellers from most countries have been required to enter managed isolation and quarantine since early in 2020. </w:t>
      </w:r>
    </w:p>
    <w:p w14:paraId="5B9FB113" w14:textId="77777777" w:rsidR="003B7B43" w:rsidRPr="000E7935" w:rsidRDefault="003B7B43" w:rsidP="0033012D">
      <w:pPr>
        <w:rPr>
          <w:rFonts w:cs="Segoe UI"/>
          <w:color w:val="000000" w:themeColor="text1"/>
          <w:sz w:val="22"/>
          <w:szCs w:val="22"/>
        </w:rPr>
      </w:pPr>
      <w:r w:rsidRPr="000E7935">
        <w:rPr>
          <w:rFonts w:cs="Segoe UI"/>
          <w:color w:val="000000" w:themeColor="text1"/>
          <w:sz w:val="22"/>
          <w:szCs w:val="22"/>
        </w:rPr>
        <w:t xml:space="preserve">Based on the reconnecting New Zealanders programme, full international travel is planned to resume in stages during 2022. Air travellers will enter the country through one of three different ‘pathways.' The pathway depends on the country of departure, and on the traveller’s visa and vaccination status. Each pathway has different testing modalities and quarantine settings, ranging from minimal pre-departure and arrival testing to full managed quarantine. Surveillance informs decisions on whether to change the controls in a pathway, or to change which types of travellers go through each pathway.  </w:t>
      </w:r>
    </w:p>
    <w:p w14:paraId="18590DE8" w14:textId="77777777" w:rsidR="003B7B43" w:rsidRPr="000E7935" w:rsidRDefault="003B7B43" w:rsidP="0033012D">
      <w:pPr>
        <w:rPr>
          <w:rFonts w:cs="Segoe UI"/>
          <w:color w:val="000000" w:themeColor="text1"/>
          <w:sz w:val="22"/>
          <w:szCs w:val="22"/>
        </w:rPr>
      </w:pPr>
      <w:r w:rsidRPr="000E7935">
        <w:rPr>
          <w:rFonts w:cs="Segoe UI"/>
          <w:color w:val="000000" w:themeColor="text1"/>
          <w:sz w:val="22"/>
          <w:szCs w:val="22"/>
        </w:rPr>
        <w:t xml:space="preserve">Border surveillance activities include testing before departure; analysis of travel plans and origins registered through the online Traveller Health Declaration system; testing on and after arrival, and scheduled testing of border workers including aircrew. It may be possible to use whole genomic sequencing of wastewater to track the introduction of new variants of concern. </w:t>
      </w:r>
    </w:p>
    <w:p w14:paraId="2B773541" w14:textId="77777777" w:rsidR="003B7B43" w:rsidRPr="000E7935" w:rsidRDefault="003B7B43" w:rsidP="0033012D">
      <w:pPr>
        <w:spacing w:after="240"/>
        <w:rPr>
          <w:rFonts w:cs="Segoe UI"/>
          <w:color w:val="000000" w:themeColor="text1"/>
          <w:sz w:val="22"/>
          <w:szCs w:val="22"/>
        </w:rPr>
      </w:pPr>
      <w:r w:rsidRPr="000E7935">
        <w:rPr>
          <w:rFonts w:cs="Segoe UI"/>
          <w:color w:val="000000" w:themeColor="text1"/>
          <w:sz w:val="22"/>
          <w:szCs w:val="22"/>
        </w:rPr>
        <w:t>International surveillance includes general monitoring of COVID-19 trends and public health actions in other countries, so that the New Zealand response can be informed by experience from around the world.</w:t>
      </w:r>
    </w:p>
    <w:p w14:paraId="47FA4E31" w14:textId="77777777" w:rsidR="003B7B43" w:rsidRPr="000E7935" w:rsidRDefault="003B7B43" w:rsidP="003B7B43">
      <w:pPr>
        <w:pStyle w:val="Heading3"/>
      </w:pPr>
      <w:bookmarkStart w:id="23" w:name="_Toc90411195"/>
      <w:r w:rsidRPr="000E7935">
        <w:t>Syndromic and sentinel surveillance</w:t>
      </w:r>
      <w:bookmarkEnd w:id="23"/>
    </w:p>
    <w:p w14:paraId="68969832" w14:textId="77777777" w:rsidR="003B7B43" w:rsidRPr="000E7935" w:rsidRDefault="003B7B43" w:rsidP="0033012D">
      <w:pPr>
        <w:rPr>
          <w:rFonts w:cs="Segoe UI"/>
          <w:sz w:val="22"/>
          <w:szCs w:val="22"/>
        </w:rPr>
      </w:pPr>
      <w:r w:rsidRPr="000E7935">
        <w:rPr>
          <w:rFonts w:cs="Segoe UI"/>
          <w:sz w:val="22"/>
          <w:szCs w:val="22"/>
        </w:rPr>
        <w:t xml:space="preserve">There are established surveillance systems originally set up to monitor influenza and influenza-like illnesses (ILI) that currently support the surveillance of COVID-19. </w:t>
      </w:r>
    </w:p>
    <w:p w14:paraId="7459B3AB" w14:textId="77777777" w:rsidR="003B7B43" w:rsidRPr="000E7935" w:rsidRDefault="003B7B43" w:rsidP="0033012D">
      <w:pPr>
        <w:rPr>
          <w:rFonts w:cs="Segoe UI"/>
          <w:sz w:val="22"/>
          <w:szCs w:val="22"/>
        </w:rPr>
      </w:pPr>
      <w:r w:rsidRPr="000E7935">
        <w:rPr>
          <w:rFonts w:cs="Segoe UI"/>
          <w:sz w:val="22"/>
          <w:szCs w:val="22"/>
        </w:rPr>
        <w:t>Syndromic systems include people presenting with acute respiratory infections (ARI) and sentinel systems include surveillance of influenza-like illness (ILI) syndromes in the community, and with severe acute respiratory infection (SARI) in hospitals. These systems will be used to:</w:t>
      </w:r>
    </w:p>
    <w:p w14:paraId="304E8A7A" w14:textId="77777777" w:rsidR="003B7B43" w:rsidRPr="000E7935" w:rsidRDefault="003B7B43" w:rsidP="0033012D">
      <w:pPr>
        <w:pStyle w:val="ListParagraph"/>
        <w:numPr>
          <w:ilvl w:val="0"/>
          <w:numId w:val="4"/>
        </w:numPr>
        <w:contextualSpacing w:val="0"/>
        <w:rPr>
          <w:rFonts w:cs="Segoe UI"/>
          <w:sz w:val="22"/>
          <w:szCs w:val="22"/>
        </w:rPr>
      </w:pPr>
      <w:r w:rsidRPr="000E7935">
        <w:rPr>
          <w:rFonts w:cs="Segoe UI"/>
          <w:sz w:val="22"/>
          <w:szCs w:val="22"/>
        </w:rPr>
        <w:lastRenderedPageBreak/>
        <w:t>Monitor Healthline ILI related calls, FluTracker ILI, ARI surveillance (survey-based), and HealthStat ILI primary care presentations</w:t>
      </w:r>
    </w:p>
    <w:p w14:paraId="50233EC4" w14:textId="77777777" w:rsidR="003B7B43" w:rsidRPr="000E7935" w:rsidRDefault="003B7B43" w:rsidP="0033012D">
      <w:pPr>
        <w:pStyle w:val="ListParagraph"/>
        <w:numPr>
          <w:ilvl w:val="0"/>
          <w:numId w:val="4"/>
        </w:numPr>
        <w:contextualSpacing w:val="0"/>
        <w:rPr>
          <w:rFonts w:cs="Segoe UI"/>
          <w:sz w:val="22"/>
          <w:szCs w:val="22"/>
        </w:rPr>
      </w:pPr>
      <w:r w:rsidRPr="000E7935">
        <w:rPr>
          <w:rFonts w:cs="Segoe UI"/>
          <w:sz w:val="22"/>
          <w:szCs w:val="22"/>
        </w:rPr>
        <w:t>Extract information safely and anonymously on consultations with key words related to ILI, ARI, and COVID-like symptoms</w:t>
      </w:r>
    </w:p>
    <w:p w14:paraId="732BB3E0" w14:textId="77777777" w:rsidR="003B7B43" w:rsidRPr="000E7935" w:rsidRDefault="003B7B43" w:rsidP="0033012D">
      <w:pPr>
        <w:pStyle w:val="ListParagraph"/>
        <w:numPr>
          <w:ilvl w:val="0"/>
          <w:numId w:val="4"/>
        </w:numPr>
        <w:spacing w:after="240"/>
        <w:ind w:left="714" w:hanging="357"/>
        <w:contextualSpacing w:val="0"/>
        <w:rPr>
          <w:rFonts w:cs="Segoe UI"/>
          <w:sz w:val="22"/>
          <w:szCs w:val="22"/>
        </w:rPr>
      </w:pPr>
      <w:r w:rsidRPr="000E7935">
        <w:rPr>
          <w:rFonts w:cs="Segoe UI"/>
          <w:sz w:val="22"/>
          <w:szCs w:val="22"/>
        </w:rPr>
        <w:t>Develop capacity for ILI surveillance in aged residential care settings</w:t>
      </w:r>
    </w:p>
    <w:p w14:paraId="6BE32859" w14:textId="233B4BB6" w:rsidR="00896AD0" w:rsidRPr="000F2ACC" w:rsidRDefault="00896AD0" w:rsidP="00896AD0">
      <w:pPr>
        <w:spacing w:after="240"/>
        <w:rPr>
          <w:rFonts w:cs="Segoe UI"/>
          <w:b/>
          <w:bCs/>
          <w:color w:val="FF0000"/>
          <w:sz w:val="28"/>
          <w:szCs w:val="28"/>
        </w:rPr>
      </w:pPr>
      <w:r w:rsidRPr="000F2ACC">
        <w:rPr>
          <w:b/>
          <w:bCs/>
          <w:sz w:val="28"/>
          <w:szCs w:val="28"/>
        </w:rPr>
        <w:t>Routine health system capacity information</w:t>
      </w:r>
    </w:p>
    <w:p w14:paraId="66B86F9C" w14:textId="23CCEE22" w:rsidR="00786575" w:rsidRPr="000F2ACC" w:rsidRDefault="00DF6B3A" w:rsidP="0033012D">
      <w:pPr>
        <w:rPr>
          <w:sz w:val="22"/>
          <w:szCs w:val="22"/>
        </w:rPr>
      </w:pPr>
      <w:r>
        <w:rPr>
          <w:sz w:val="22"/>
          <w:szCs w:val="22"/>
        </w:rPr>
        <w:t>T</w:t>
      </w:r>
      <w:r w:rsidR="00786575" w:rsidRPr="000F2ACC">
        <w:rPr>
          <w:sz w:val="22"/>
          <w:szCs w:val="22"/>
        </w:rPr>
        <w:t xml:space="preserve">he </w:t>
      </w:r>
      <w:r w:rsidR="00B81667">
        <w:rPr>
          <w:sz w:val="22"/>
          <w:szCs w:val="22"/>
        </w:rPr>
        <w:t xml:space="preserve">likelihood </w:t>
      </w:r>
      <w:r w:rsidR="00786575" w:rsidRPr="000F2ACC">
        <w:rPr>
          <w:sz w:val="22"/>
          <w:szCs w:val="22"/>
        </w:rPr>
        <w:t>that</w:t>
      </w:r>
      <w:r w:rsidR="00B81667">
        <w:rPr>
          <w:sz w:val="22"/>
          <w:szCs w:val="22"/>
        </w:rPr>
        <w:t xml:space="preserve"> parts of the</w:t>
      </w:r>
      <w:r w:rsidR="00786575" w:rsidRPr="000F2ACC">
        <w:rPr>
          <w:sz w:val="22"/>
          <w:szCs w:val="22"/>
        </w:rPr>
        <w:t xml:space="preserve"> health systems become overwhelmed, regular reports about other disease programmes and health system capacity will be monitored. It will be necessary to identify critical health system resources and to describe how surveillance indicators will pre-empt the lead time to system overload. This is fundamental to the next phase of COVID-19 surveillance and details will be reflected in the surveillance implementation plan.</w:t>
      </w:r>
    </w:p>
    <w:p w14:paraId="4C9E9800" w14:textId="77777777" w:rsidR="00786575" w:rsidRPr="000F2ACC" w:rsidRDefault="00786575" w:rsidP="0033012D">
      <w:pPr>
        <w:rPr>
          <w:sz w:val="22"/>
          <w:szCs w:val="22"/>
        </w:rPr>
      </w:pPr>
      <w:r w:rsidRPr="000F2ACC">
        <w:rPr>
          <w:sz w:val="22"/>
          <w:szCs w:val="22"/>
        </w:rPr>
        <w:t>A core public health capacity issue relates to the effectiveness of the contact tracing function, which is monitored by a set of metrics around contact tracing and the presentation/testing/ diagnosis process, and the process of identifying and quarantining of close contacts.</w:t>
      </w:r>
    </w:p>
    <w:p w14:paraId="7B3A1A27" w14:textId="77777777" w:rsidR="00786575" w:rsidRPr="000F2ACC" w:rsidRDefault="00786575" w:rsidP="0033012D">
      <w:pPr>
        <w:rPr>
          <w:sz w:val="22"/>
          <w:szCs w:val="22"/>
        </w:rPr>
      </w:pPr>
      <w:r w:rsidRPr="000F2ACC">
        <w:rPr>
          <w:sz w:val="22"/>
          <w:szCs w:val="22"/>
        </w:rPr>
        <w:t xml:space="preserve">The capacity of the health system to respond to COVID-19 more broadly has been monitored based on reports from individual DHBs, advising on the availability of inpatient beds, intensive care beds and ventilators. Personal protective equipment (PPE), testing, and other critical consumables are also monitored. Intensive care unit capacity is tracked in real time. The Ministry of Health is working with DHBs to move more capacity metrics to real-time reporting.  </w:t>
      </w:r>
    </w:p>
    <w:p w14:paraId="76E6E149" w14:textId="03DBCE7D" w:rsidR="003D0040" w:rsidRPr="002171AA" w:rsidRDefault="00786575" w:rsidP="002171AA">
      <w:pPr>
        <w:rPr>
          <w:sz w:val="22"/>
          <w:szCs w:val="22"/>
        </w:rPr>
      </w:pPr>
      <w:r w:rsidRPr="002171AA">
        <w:rPr>
          <w:sz w:val="22"/>
          <w:szCs w:val="22"/>
        </w:rPr>
        <w:t>Maintaining population trust in the capacity of the health system to safely meet essential healthcare needs, and to control infection risk in health facilities is key to ensuring appropriate care-seeking behaviour and adherence to public health advice. Surveillance efforts will integrate the indicators and framework currently under development for monitoring health system capacity in the health system readiness workstream. The National Collections data workstream within the Ministry captures some data on health system capacity, and this information will help to inform surveillance monitoring.</w:t>
      </w:r>
    </w:p>
    <w:p w14:paraId="2D8C8E61" w14:textId="7130C448" w:rsidR="00B315BF" w:rsidRPr="000E7935" w:rsidRDefault="00B315BF" w:rsidP="007C61EA">
      <w:pPr>
        <w:pStyle w:val="Heading3"/>
      </w:pPr>
      <w:bookmarkStart w:id="24" w:name="_Toc90411196"/>
      <w:r w:rsidRPr="000E7935">
        <w:t>Enhanced surveillance of outbreaks and clusters</w:t>
      </w:r>
      <w:bookmarkEnd w:id="24"/>
      <w:r w:rsidRPr="000E7935">
        <w:t xml:space="preserve"> </w:t>
      </w:r>
    </w:p>
    <w:p w14:paraId="043EF230" w14:textId="62717557" w:rsidR="00B315BF" w:rsidRPr="000E7935" w:rsidRDefault="00B315BF" w:rsidP="0033012D">
      <w:pPr>
        <w:rPr>
          <w:rFonts w:cs="Segoe UI"/>
          <w:sz w:val="22"/>
          <w:szCs w:val="22"/>
        </w:rPr>
      </w:pPr>
      <w:r w:rsidRPr="000E7935">
        <w:rPr>
          <w:rFonts w:cs="Segoe UI"/>
          <w:sz w:val="22"/>
          <w:szCs w:val="22"/>
        </w:rPr>
        <w:t>The protection framework relies on the ability to rapidly identify</w:t>
      </w:r>
      <w:r w:rsidR="000339F9">
        <w:rPr>
          <w:rFonts w:cs="Segoe UI"/>
          <w:sz w:val="22"/>
          <w:szCs w:val="22"/>
        </w:rPr>
        <w:t xml:space="preserve"> cases</w:t>
      </w:r>
      <w:r w:rsidR="00F6322C">
        <w:rPr>
          <w:rFonts w:cs="Segoe UI"/>
          <w:sz w:val="22"/>
          <w:szCs w:val="22"/>
        </w:rPr>
        <w:t>,</w:t>
      </w:r>
      <w:r w:rsidRPr="000E7935">
        <w:rPr>
          <w:rFonts w:cs="Segoe UI"/>
          <w:sz w:val="22"/>
          <w:szCs w:val="22"/>
        </w:rPr>
        <w:t xml:space="preserve"> and </w:t>
      </w:r>
      <w:r w:rsidR="00F6322C">
        <w:rPr>
          <w:rFonts w:cs="Segoe UI"/>
          <w:sz w:val="22"/>
          <w:szCs w:val="22"/>
        </w:rPr>
        <w:t>manage</w:t>
      </w:r>
      <w:r w:rsidRPr="000E7935">
        <w:rPr>
          <w:rFonts w:cs="Segoe UI"/>
          <w:sz w:val="22"/>
          <w:szCs w:val="22"/>
        </w:rPr>
        <w:t xml:space="preserve"> clusters and </w:t>
      </w:r>
      <w:r w:rsidR="00F6322C">
        <w:rPr>
          <w:rFonts w:cs="Segoe UI"/>
          <w:sz w:val="22"/>
          <w:szCs w:val="22"/>
        </w:rPr>
        <w:t>transmission</w:t>
      </w:r>
      <w:r w:rsidRPr="000E7935">
        <w:rPr>
          <w:rFonts w:cs="Segoe UI"/>
          <w:sz w:val="22"/>
          <w:szCs w:val="22"/>
        </w:rPr>
        <w:t>, particularly among at-risk populations and in high-risk settings. By using targeted case-finding with more in-depth contact tracing and targeted population, surveys will aim to:</w:t>
      </w:r>
    </w:p>
    <w:p w14:paraId="7DDDD1D5" w14:textId="77777777" w:rsidR="00B315BF" w:rsidRPr="000E7935" w:rsidRDefault="00B315BF" w:rsidP="0033012D">
      <w:pPr>
        <w:pStyle w:val="ListParagraph"/>
        <w:numPr>
          <w:ilvl w:val="0"/>
          <w:numId w:val="4"/>
        </w:numPr>
        <w:contextualSpacing w:val="0"/>
        <w:rPr>
          <w:rFonts w:cs="Segoe UI"/>
          <w:sz w:val="22"/>
          <w:szCs w:val="22"/>
        </w:rPr>
      </w:pPr>
      <w:r w:rsidRPr="000E7935">
        <w:rPr>
          <w:rFonts w:cs="Segoe UI"/>
          <w:sz w:val="22"/>
          <w:szCs w:val="22"/>
        </w:rPr>
        <w:t>Provide proactive and timely interrupt transmission and ring-fence the outbreak cluster</w:t>
      </w:r>
    </w:p>
    <w:p w14:paraId="41C7D3A3" w14:textId="28C0AC24" w:rsidR="00B315BF" w:rsidRPr="000E7935" w:rsidRDefault="00B315BF" w:rsidP="0033012D">
      <w:pPr>
        <w:pStyle w:val="ListParagraph"/>
        <w:numPr>
          <w:ilvl w:val="0"/>
          <w:numId w:val="4"/>
        </w:numPr>
        <w:contextualSpacing w:val="0"/>
        <w:rPr>
          <w:rFonts w:cs="Segoe UI"/>
          <w:sz w:val="22"/>
          <w:szCs w:val="22"/>
        </w:rPr>
      </w:pPr>
      <w:r w:rsidRPr="000E7935">
        <w:rPr>
          <w:rFonts w:cs="Segoe UI"/>
          <w:sz w:val="22"/>
          <w:szCs w:val="22"/>
        </w:rPr>
        <w:t>Increase symptomatic and asymptomatic testing in neighbourhoods and communities where there has been a spike in cases</w:t>
      </w:r>
    </w:p>
    <w:p w14:paraId="2A0EE66A" w14:textId="77777777" w:rsidR="00B315BF" w:rsidRPr="000E7935" w:rsidRDefault="00B315BF" w:rsidP="0033012D">
      <w:pPr>
        <w:pStyle w:val="ListParagraph"/>
        <w:numPr>
          <w:ilvl w:val="0"/>
          <w:numId w:val="4"/>
        </w:numPr>
        <w:contextualSpacing w:val="0"/>
        <w:rPr>
          <w:rFonts w:cs="Segoe UI"/>
          <w:sz w:val="22"/>
          <w:szCs w:val="22"/>
        </w:rPr>
      </w:pPr>
      <w:r w:rsidRPr="000E7935">
        <w:rPr>
          <w:rFonts w:cs="Segoe UI"/>
          <w:sz w:val="22"/>
          <w:szCs w:val="22"/>
        </w:rPr>
        <w:t>Provide targeted contact tracing and population testing of at-risk groups</w:t>
      </w:r>
    </w:p>
    <w:p w14:paraId="18AA2DF4" w14:textId="77777777" w:rsidR="00B315BF" w:rsidRPr="000E7935" w:rsidRDefault="00B315BF" w:rsidP="0033012D">
      <w:pPr>
        <w:pStyle w:val="ListParagraph"/>
        <w:numPr>
          <w:ilvl w:val="0"/>
          <w:numId w:val="4"/>
        </w:numPr>
        <w:contextualSpacing w:val="0"/>
        <w:rPr>
          <w:rFonts w:cs="Segoe UI"/>
          <w:sz w:val="22"/>
          <w:szCs w:val="22"/>
        </w:rPr>
      </w:pPr>
      <w:r w:rsidRPr="000E7935">
        <w:rPr>
          <w:rFonts w:cs="Segoe UI"/>
          <w:sz w:val="22"/>
          <w:szCs w:val="22"/>
        </w:rPr>
        <w:t>Allow for rapid implementation of additional wastewater testing in and around affected areas</w:t>
      </w:r>
    </w:p>
    <w:p w14:paraId="53B19B04" w14:textId="77777777" w:rsidR="00B315BF" w:rsidRPr="000E7935" w:rsidRDefault="00B315BF" w:rsidP="0033012D">
      <w:pPr>
        <w:pStyle w:val="ListParagraph"/>
        <w:numPr>
          <w:ilvl w:val="0"/>
          <w:numId w:val="4"/>
        </w:numPr>
        <w:contextualSpacing w:val="0"/>
        <w:rPr>
          <w:rFonts w:cs="Segoe UI"/>
          <w:sz w:val="22"/>
          <w:szCs w:val="22"/>
        </w:rPr>
      </w:pPr>
      <w:r w:rsidRPr="000E7935">
        <w:rPr>
          <w:rFonts w:cs="Segoe UI"/>
          <w:sz w:val="22"/>
          <w:szCs w:val="22"/>
        </w:rPr>
        <w:t>Provide routine surveillance in frontline settings such as primary care and pharmacies</w:t>
      </w:r>
    </w:p>
    <w:p w14:paraId="5F94DD31" w14:textId="7670245F" w:rsidR="00B315BF" w:rsidRPr="000E7935" w:rsidRDefault="00B315BF" w:rsidP="0033012D">
      <w:pPr>
        <w:rPr>
          <w:rFonts w:cs="Segoe UI"/>
          <w:sz w:val="22"/>
          <w:szCs w:val="22"/>
        </w:rPr>
      </w:pPr>
      <w:r w:rsidRPr="000E7935">
        <w:rPr>
          <w:rFonts w:cs="Segoe UI"/>
          <w:sz w:val="22"/>
          <w:szCs w:val="22"/>
        </w:rPr>
        <w:t xml:space="preserve">While the primary aim of enhanced surveillance is to inform immediate control, a more in-depth </w:t>
      </w:r>
      <w:r w:rsidR="000C0570">
        <w:rPr>
          <w:rFonts w:cs="Segoe UI"/>
          <w:sz w:val="22"/>
          <w:szCs w:val="22"/>
        </w:rPr>
        <w:t>analysis</w:t>
      </w:r>
      <w:r w:rsidRPr="000E7935">
        <w:rPr>
          <w:rFonts w:cs="Segoe UI"/>
          <w:sz w:val="22"/>
          <w:szCs w:val="22"/>
        </w:rPr>
        <w:t xml:space="preserve"> of clusters and outbreaks, and associated risk factors will also be used to inform targeted public health action to prevent further outbreaks. Key stakeholders include Māori and Pacific providers who have been essential for effective contact tracing during recent outbreaks and play a critical role in surveillance efforts.  </w:t>
      </w:r>
    </w:p>
    <w:p w14:paraId="0494C1F5" w14:textId="3D68FB5B" w:rsidR="00B315BF" w:rsidRPr="000E7935" w:rsidRDefault="00B315BF" w:rsidP="007C61EA">
      <w:pPr>
        <w:pStyle w:val="Heading3"/>
      </w:pPr>
      <w:bookmarkStart w:id="25" w:name="_Toc90411197"/>
      <w:r w:rsidRPr="000E7935">
        <w:lastRenderedPageBreak/>
        <w:t>Viral genomic sequence surveillance</w:t>
      </w:r>
      <w:bookmarkEnd w:id="25"/>
    </w:p>
    <w:p w14:paraId="59E17F03" w14:textId="67602245" w:rsidR="00B315BF" w:rsidRPr="000E7935" w:rsidRDefault="00B315BF" w:rsidP="0033012D">
      <w:pPr>
        <w:rPr>
          <w:rFonts w:cs="Segoe UI"/>
          <w:sz w:val="22"/>
          <w:szCs w:val="22"/>
        </w:rPr>
      </w:pPr>
      <w:r w:rsidRPr="000E7935">
        <w:rPr>
          <w:rFonts w:cs="Segoe UI"/>
          <w:sz w:val="22"/>
          <w:szCs w:val="22"/>
        </w:rPr>
        <w:t>The purpose of whole genome sequencing (WGS) is to provide precise geographical delineation of spread and enable incidence monitoring of pathogens at genotype level. Coupled with epidemiological and environmental investigations, this information provides intelligence for tracing sources of epidemic infections.</w:t>
      </w:r>
      <w:r w:rsidRPr="000E7935">
        <w:rPr>
          <w:sz w:val="22"/>
          <w:szCs w:val="22"/>
          <w:vertAlign w:val="superscript"/>
        </w:rPr>
        <w:footnoteReference w:id="10"/>
      </w:r>
    </w:p>
    <w:p w14:paraId="3AD279F8" w14:textId="65B9381A" w:rsidR="00B315BF" w:rsidRPr="000E7935" w:rsidRDefault="00B315BF" w:rsidP="0033012D">
      <w:pPr>
        <w:rPr>
          <w:rFonts w:cs="Segoe UI"/>
          <w:sz w:val="22"/>
          <w:szCs w:val="22"/>
        </w:rPr>
      </w:pPr>
      <w:r w:rsidRPr="000E7935">
        <w:rPr>
          <w:rFonts w:cs="Segoe UI"/>
          <w:sz w:val="22"/>
          <w:szCs w:val="22"/>
        </w:rPr>
        <w:t>Aotearoa New Zealand has employed a comprehensive strategy to-date aiming to sequence all PCR positive samples, facilitated by low SARS-CoV-2 prevalence. However, with the shift to the Protection Framework and rising case numbers a more selective approach is now being applied.</w:t>
      </w:r>
    </w:p>
    <w:p w14:paraId="379DFDCE" w14:textId="03CCA4B4" w:rsidR="00B315BF" w:rsidRPr="000E7935" w:rsidRDefault="00B315BF" w:rsidP="0033012D">
      <w:pPr>
        <w:spacing w:after="240"/>
        <w:rPr>
          <w:rFonts w:cs="Segoe UI"/>
          <w:sz w:val="22"/>
          <w:szCs w:val="22"/>
        </w:rPr>
      </w:pPr>
      <w:r w:rsidRPr="000E7935">
        <w:rPr>
          <w:rFonts w:cs="Segoe UI"/>
          <w:sz w:val="22"/>
          <w:szCs w:val="22"/>
        </w:rPr>
        <w:t>Highest priority is given to cases in certain high-risk settings such as healthcare, those working at or crossing the international border, those who present with particularly severe or unusual symptoms and cases in new geographical areas. In addition to these priority groups, a random geographically representative sample of cases will continue to undergo whole genome sequencing for surveillance purposes.</w:t>
      </w:r>
    </w:p>
    <w:p w14:paraId="431E9217" w14:textId="77777777" w:rsidR="00B315BF" w:rsidRPr="000E7935" w:rsidRDefault="00B315BF" w:rsidP="007C61EA">
      <w:pPr>
        <w:pStyle w:val="Heading3"/>
      </w:pPr>
      <w:bookmarkStart w:id="26" w:name="_Toc90411198"/>
      <w:r w:rsidRPr="000E7935">
        <w:t>Wastewater surveillance</w:t>
      </w:r>
      <w:bookmarkEnd w:id="26"/>
    </w:p>
    <w:p w14:paraId="06D7566C" w14:textId="77777777" w:rsidR="00B315BF" w:rsidRPr="000E7935" w:rsidRDefault="00B315BF" w:rsidP="0033012D">
      <w:pPr>
        <w:rPr>
          <w:rFonts w:cs="Segoe UI"/>
          <w:sz w:val="22"/>
          <w:szCs w:val="22"/>
        </w:rPr>
      </w:pPr>
      <w:r w:rsidRPr="000E7935">
        <w:rPr>
          <w:rFonts w:cs="Segoe UI"/>
          <w:sz w:val="22"/>
          <w:szCs w:val="22"/>
        </w:rPr>
        <w:t xml:space="preserve">In areas or sites with no known cases of COVID-19, wastewater testing can provide an early warning system for the presence of infection in the community and at specific sites. At higher prevalence, wastewater testing can track trends in community outbreaks and provide an indication of whether an outbreak is increasing or decreasing. Investigation into the quantification of SARS-CoV-2 in the wastewater is ongoing and may be able to be used as a leading indicator COVID-19 prevalence in the community in the near future. Higher concentrations of virus in the wastewater indicates higher numbers of cases in that community, however, an estimate of the numbers of cases using wastewater is currently unavailable. </w:t>
      </w:r>
    </w:p>
    <w:p w14:paraId="0E1B2D74" w14:textId="77777777" w:rsidR="00B315BF" w:rsidRPr="000E7935" w:rsidRDefault="00B315BF" w:rsidP="0033012D">
      <w:pPr>
        <w:rPr>
          <w:rFonts w:cs="Segoe UI"/>
          <w:sz w:val="22"/>
          <w:szCs w:val="22"/>
        </w:rPr>
      </w:pPr>
      <w:r w:rsidRPr="000E7935">
        <w:rPr>
          <w:rFonts w:cs="Segoe UI"/>
          <w:sz w:val="22"/>
          <w:szCs w:val="22"/>
        </w:rPr>
        <w:t xml:space="preserve">Wastewater-based epidemiology is a rapidly evolving field. Studies have shown that wastewater testing is able to monitor variants and mutations of SARS-COV-2 and other infectious diseases - these are directions for future applications.  </w:t>
      </w:r>
    </w:p>
    <w:p w14:paraId="43AB61CE" w14:textId="77777777" w:rsidR="00B315BF" w:rsidRPr="000E7935" w:rsidRDefault="00B315BF" w:rsidP="0033012D">
      <w:pPr>
        <w:spacing w:after="240"/>
        <w:rPr>
          <w:rFonts w:cs="Segoe UI"/>
          <w:sz w:val="22"/>
          <w:szCs w:val="22"/>
        </w:rPr>
      </w:pPr>
      <w:r w:rsidRPr="000E7935">
        <w:rPr>
          <w:rFonts w:cs="Segoe UI"/>
          <w:sz w:val="22"/>
          <w:szCs w:val="22"/>
        </w:rPr>
        <w:t>Unfortunately, there are limitations for this type of surveillance since wastewater testing is not possible for rural communities on septic tank systems (non-public main wastewater). Other surveillance methods (i.e., periodic community testing) will be used for some at-risk remote rural communities that have low vaccination rates.</w:t>
      </w:r>
    </w:p>
    <w:p w14:paraId="20D3EB30" w14:textId="77777777" w:rsidR="00B315BF" w:rsidRPr="000E7935" w:rsidRDefault="00B315BF" w:rsidP="007C61EA">
      <w:pPr>
        <w:pStyle w:val="Heading3"/>
      </w:pPr>
      <w:bookmarkStart w:id="27" w:name="_Toc90411199"/>
      <w:r w:rsidRPr="000E7935">
        <w:t>Seroprevalence surveillance</w:t>
      </w:r>
      <w:bookmarkEnd w:id="27"/>
    </w:p>
    <w:p w14:paraId="2132F0D0" w14:textId="528EEC47" w:rsidR="004E333A" w:rsidRPr="004E333A" w:rsidRDefault="00BB4D3A" w:rsidP="000E7935">
      <w:pPr>
        <w:spacing w:after="240"/>
        <w:rPr>
          <w:rFonts w:cs="Segoe UI"/>
          <w:b/>
          <w:bCs/>
          <w:sz w:val="22"/>
          <w:szCs w:val="22"/>
        </w:rPr>
      </w:pPr>
      <w:r w:rsidRPr="00D45313">
        <w:rPr>
          <w:rFonts w:cs="Segoe UI"/>
          <w:sz w:val="22"/>
          <w:szCs w:val="22"/>
          <w:shd w:val="clear" w:color="auto" w:fill="FFFFFF"/>
        </w:rPr>
        <w:t>Population-based serosurveys are considered as a valuable tool in estimating the proportion of the population previously infected with SARS-CoV-2.</w:t>
      </w:r>
      <w:r w:rsidR="002B4F2D" w:rsidRPr="00D45313">
        <w:rPr>
          <w:rStyle w:val="FootnoteReference"/>
          <w:rFonts w:cs="Segoe UI"/>
          <w:sz w:val="22"/>
          <w:szCs w:val="22"/>
          <w:shd w:val="clear" w:color="auto" w:fill="FFFFFF"/>
        </w:rPr>
        <w:footnoteReference w:id="11"/>
      </w:r>
      <w:r w:rsidRPr="00D45313">
        <w:rPr>
          <w:rFonts w:cs="Segoe UI"/>
          <w:sz w:val="22"/>
          <w:szCs w:val="22"/>
          <w:shd w:val="clear" w:color="auto" w:fill="FFFFFF"/>
        </w:rPr>
        <w:t xml:space="preserve"> </w:t>
      </w:r>
      <w:r w:rsidR="00B315BF" w:rsidRPr="00D45313">
        <w:rPr>
          <w:rFonts w:cs="Segoe UI"/>
          <w:sz w:val="22"/>
          <w:szCs w:val="22"/>
        </w:rPr>
        <w:t>M</w:t>
      </w:r>
      <w:r w:rsidR="00B315BF" w:rsidRPr="000E7935">
        <w:rPr>
          <w:rFonts w:cs="Segoe UI"/>
          <w:sz w:val="22"/>
          <w:szCs w:val="22"/>
        </w:rPr>
        <w:t xml:space="preserve">onitoring population immunity of Aotearoa New Zealand will likely increase the reliability of our estimate of population-level immunity, over and above our COVID-19 vaccination coverage. One benefit of our successfully implemented elimination strategy to date is a low number of people who have had COVID-19 and recovered. In other nations where the disease has circulated through 2020 and 2021, some virus-induced immunity will be contributing to total effective immunity alongside vaccination. Recovered cases are not a large contribution to Aotearoa’s total effective immunity at the moment but may be in the future. Total </w:t>
      </w:r>
      <w:r w:rsidR="00B315BF" w:rsidRPr="000E7935">
        <w:rPr>
          <w:rFonts w:cs="Segoe UI"/>
          <w:sz w:val="22"/>
          <w:szCs w:val="22"/>
        </w:rPr>
        <w:lastRenderedPageBreak/>
        <w:t xml:space="preserve">effective immunity is recovered cases and immunised people, minus the waning immunity derived from these sources. </w:t>
      </w:r>
    </w:p>
    <w:p w14:paraId="3D694F08" w14:textId="77777777" w:rsidR="00B315BF" w:rsidRPr="000E7935" w:rsidRDefault="00B315BF" w:rsidP="007C61EA">
      <w:pPr>
        <w:pStyle w:val="Heading3"/>
      </w:pPr>
      <w:bookmarkStart w:id="28" w:name="_Toc90411200"/>
      <w:r w:rsidRPr="005A33EA">
        <w:t>Behavioural risk factor and community surveillance</w:t>
      </w:r>
      <w:bookmarkEnd w:id="28"/>
    </w:p>
    <w:p w14:paraId="0C09B4BC" w14:textId="1F92AEB2" w:rsidR="00B315BF" w:rsidRPr="0052665A" w:rsidRDefault="00B315BF" w:rsidP="00D45313">
      <w:pPr>
        <w:rPr>
          <w:sz w:val="22"/>
          <w:szCs w:val="22"/>
        </w:rPr>
      </w:pPr>
      <w:r w:rsidRPr="0052665A">
        <w:rPr>
          <w:sz w:val="22"/>
          <w:szCs w:val="22"/>
        </w:rPr>
        <w:t>Human behaviour will determine how quickly COVID-19 spreads, and morbidity and mortality rates. This is especially relevant for behaviours related to non-pharmaceutical public health interventions, vaccination, and use of therapeutic agents.</w:t>
      </w:r>
    </w:p>
    <w:p w14:paraId="6B674711" w14:textId="768526BB" w:rsidR="00B315BF" w:rsidRPr="0052665A" w:rsidRDefault="00B315BF" w:rsidP="00D45313">
      <w:pPr>
        <w:rPr>
          <w:sz w:val="22"/>
          <w:szCs w:val="22"/>
        </w:rPr>
      </w:pPr>
      <w:r w:rsidRPr="0052665A">
        <w:rPr>
          <w:sz w:val="22"/>
          <w:szCs w:val="22"/>
        </w:rPr>
        <w:t xml:space="preserve">Responding effectively to the pandemic requires large-scale behaviour change and places significant psychological burdens on individuals, whānau, iwi and communities. It also requires insights from the social and behavioural sciences in order to help align human behaviour with the recommendations of public health experts and government.    </w:t>
      </w:r>
    </w:p>
    <w:p w14:paraId="741E4EE9" w14:textId="0186F802" w:rsidR="00B315BF" w:rsidRPr="0052665A" w:rsidRDefault="00B315BF" w:rsidP="00D45313">
      <w:pPr>
        <w:rPr>
          <w:sz w:val="22"/>
          <w:szCs w:val="22"/>
        </w:rPr>
      </w:pPr>
      <w:r w:rsidRPr="0052665A">
        <w:rPr>
          <w:sz w:val="22"/>
          <w:szCs w:val="22"/>
        </w:rPr>
        <w:t>An active system of repeated surveys</w:t>
      </w:r>
      <w:r w:rsidR="00D60FCF" w:rsidRPr="0052665A">
        <w:rPr>
          <w:sz w:val="22"/>
          <w:szCs w:val="22"/>
        </w:rPr>
        <w:t>, which will have diversity incorporated into their design,</w:t>
      </w:r>
      <w:r w:rsidRPr="0052665A">
        <w:rPr>
          <w:sz w:val="22"/>
          <w:szCs w:val="22"/>
        </w:rPr>
        <w:t xml:space="preserve"> that measure behaviours will help to understand current attitudes and practices towards public health measures, as well as barriers individuals and communities face. Capacity will need to be enhanced to ensure diversity is considered for survey participants (i.e., translation of languages for those most impacted/at-risk, Te Reo, Pacific languages, etc.).</w:t>
      </w:r>
    </w:p>
    <w:p w14:paraId="64D3E898" w14:textId="6BAFFAE1" w:rsidR="008F581C" w:rsidRPr="00ED51B4" w:rsidRDefault="008F581C" w:rsidP="00D45313">
      <w:pPr>
        <w:rPr>
          <w:sz w:val="22"/>
          <w:szCs w:val="22"/>
        </w:rPr>
      </w:pPr>
      <w:r w:rsidRPr="00ED51B4">
        <w:rPr>
          <w:sz w:val="22"/>
          <w:szCs w:val="22"/>
        </w:rPr>
        <w:t>Surveys are also useful for providing timely measures of programme effectiveness and intelligence for health communications messaging.</w:t>
      </w:r>
    </w:p>
    <w:p w14:paraId="308EF9D8" w14:textId="34CE5786" w:rsidR="008F581C" w:rsidRPr="00907DB6" w:rsidRDefault="008F581C" w:rsidP="00D45313">
      <w:pPr>
        <w:rPr>
          <w:sz w:val="22"/>
          <w:szCs w:val="22"/>
        </w:rPr>
      </w:pPr>
      <w:r w:rsidRPr="00ED51B4">
        <w:rPr>
          <w:sz w:val="22"/>
          <w:szCs w:val="22"/>
        </w:rPr>
        <w:t>This new direction in surveillance will embed behavioural and applied science skills, tools, and frameworks in monitoring and analyses. Utilising the vast range of qualitative and quantitative tools, this type of applied public health science will help to identify problems within operations and service delivery, test feasible solutions, and evaluate and document learnings. Conducting culturally sensitive and relevant research involving communities and key stakeholders with lived experience will inform solutions and be foundational to this new surveillance approach</w:t>
      </w:r>
      <w:r w:rsidRPr="00907DB6">
        <w:rPr>
          <w:sz w:val="22"/>
          <w:szCs w:val="22"/>
        </w:rPr>
        <w:t>. The behavioural and community surveillance efforts will use mixed methods to monitor</w:t>
      </w:r>
      <w:r w:rsidR="006F210D">
        <w:rPr>
          <w:sz w:val="22"/>
          <w:szCs w:val="22"/>
        </w:rPr>
        <w:t xml:space="preserve">, </w:t>
      </w:r>
      <w:r w:rsidRPr="00907DB6">
        <w:rPr>
          <w:sz w:val="22"/>
          <w:szCs w:val="22"/>
        </w:rPr>
        <w:t>measure</w:t>
      </w:r>
      <w:r w:rsidR="006F210D">
        <w:rPr>
          <w:sz w:val="22"/>
          <w:szCs w:val="22"/>
        </w:rPr>
        <w:t xml:space="preserve"> and </w:t>
      </w:r>
      <w:r w:rsidR="002F1359">
        <w:rPr>
          <w:sz w:val="22"/>
          <w:szCs w:val="22"/>
        </w:rPr>
        <w:t>evaluate</w:t>
      </w:r>
      <w:r w:rsidRPr="00907DB6">
        <w:rPr>
          <w:sz w:val="22"/>
          <w:szCs w:val="22"/>
        </w:rPr>
        <w:t xml:space="preserve"> the following:</w:t>
      </w:r>
      <w:r w:rsidRPr="00907DB6">
        <w:rPr>
          <w:sz w:val="22"/>
          <w:szCs w:val="22"/>
          <w:vertAlign w:val="superscript"/>
        </w:rPr>
        <w:footnoteReference w:id="12"/>
      </w:r>
    </w:p>
    <w:p w14:paraId="78139926" w14:textId="77777777" w:rsidR="008F581C" w:rsidRPr="00907DB6" w:rsidRDefault="008F581C" w:rsidP="00D45313">
      <w:pPr>
        <w:pStyle w:val="ListParagraph"/>
        <w:numPr>
          <w:ilvl w:val="0"/>
          <w:numId w:val="4"/>
        </w:numPr>
        <w:contextualSpacing w:val="0"/>
        <w:rPr>
          <w:rFonts w:cs="Segoe UI"/>
          <w:sz w:val="22"/>
          <w:szCs w:val="22"/>
        </w:rPr>
      </w:pPr>
      <w:r w:rsidRPr="00907DB6">
        <w:rPr>
          <w:rFonts w:cs="Segoe UI"/>
          <w:sz w:val="22"/>
          <w:szCs w:val="22"/>
        </w:rPr>
        <w:t>Population levels of knowledge, sentiments, and trust, attitudes towards COVID-19 public health measures, and the influence of communication strategies on these variables</w:t>
      </w:r>
    </w:p>
    <w:p w14:paraId="22E74429" w14:textId="77777777" w:rsidR="008F581C" w:rsidRPr="00310135" w:rsidRDefault="008F581C" w:rsidP="00D45313">
      <w:pPr>
        <w:pStyle w:val="ListParagraph"/>
        <w:numPr>
          <w:ilvl w:val="0"/>
          <w:numId w:val="4"/>
        </w:numPr>
        <w:contextualSpacing w:val="0"/>
        <w:rPr>
          <w:rFonts w:cs="Segoe UI"/>
          <w:sz w:val="22"/>
          <w:szCs w:val="22"/>
        </w:rPr>
      </w:pPr>
      <w:r w:rsidRPr="00907DB6">
        <w:rPr>
          <w:rFonts w:cs="Segoe UI"/>
          <w:sz w:val="22"/>
          <w:szCs w:val="22"/>
        </w:rPr>
        <w:t xml:space="preserve">Impacts of public health measures on priority populations, including vital feedback from communities affected by the current outbreak </w:t>
      </w:r>
    </w:p>
    <w:p w14:paraId="1D2EAE64" w14:textId="77777777" w:rsidR="008F581C" w:rsidRPr="00310135" w:rsidRDefault="008F581C" w:rsidP="00D45313">
      <w:pPr>
        <w:pStyle w:val="ListParagraph"/>
        <w:numPr>
          <w:ilvl w:val="0"/>
          <w:numId w:val="4"/>
        </w:numPr>
        <w:contextualSpacing w:val="0"/>
        <w:rPr>
          <w:rFonts w:cs="Segoe UI"/>
          <w:sz w:val="22"/>
          <w:szCs w:val="22"/>
        </w:rPr>
      </w:pPr>
      <w:r w:rsidRPr="00310135">
        <w:rPr>
          <w:rFonts w:cs="Segoe UI"/>
          <w:sz w:val="22"/>
          <w:szCs w:val="22"/>
        </w:rPr>
        <w:t>Barriers and facilitators for public health interventions including, for example, adherence to self-isolation protocols, infection, prevention &amp; control and control measures, mask usage, testing, and vaccination</w:t>
      </w:r>
    </w:p>
    <w:p w14:paraId="22E4EF79" w14:textId="77777777" w:rsidR="008F581C" w:rsidRPr="00310135" w:rsidRDefault="008F581C" w:rsidP="00D45313">
      <w:pPr>
        <w:pStyle w:val="ListParagraph"/>
        <w:numPr>
          <w:ilvl w:val="0"/>
          <w:numId w:val="4"/>
        </w:numPr>
        <w:contextualSpacing w:val="0"/>
        <w:rPr>
          <w:rFonts w:cs="Segoe UI"/>
          <w:sz w:val="22"/>
          <w:szCs w:val="22"/>
        </w:rPr>
      </w:pPr>
      <w:r w:rsidRPr="00310135">
        <w:rPr>
          <w:rFonts w:cs="Segoe UI"/>
          <w:sz w:val="22"/>
          <w:szCs w:val="22"/>
        </w:rPr>
        <w:t>Information needs for sub-populations and communities, including health care and front-line workers</w:t>
      </w:r>
    </w:p>
    <w:p w14:paraId="43C3B0D3" w14:textId="77777777" w:rsidR="008F581C" w:rsidRPr="00310135" w:rsidRDefault="008F581C" w:rsidP="00D45313">
      <w:pPr>
        <w:pStyle w:val="ListParagraph"/>
        <w:numPr>
          <w:ilvl w:val="0"/>
          <w:numId w:val="4"/>
        </w:numPr>
        <w:contextualSpacing w:val="0"/>
        <w:rPr>
          <w:rFonts w:cs="Segoe UI"/>
          <w:sz w:val="22"/>
          <w:szCs w:val="22"/>
        </w:rPr>
      </w:pPr>
      <w:r w:rsidRPr="00310135">
        <w:rPr>
          <w:rFonts w:cs="Segoe UI"/>
          <w:sz w:val="22"/>
          <w:szCs w:val="22"/>
        </w:rPr>
        <w:t>Intended and unintended psychological and social impact of public health and behavioural interventions designed to change transmission-related behaviours (e.g., anxiety, stigma)</w:t>
      </w:r>
    </w:p>
    <w:p w14:paraId="45636D83" w14:textId="77777777" w:rsidR="008F581C" w:rsidRPr="00310135" w:rsidRDefault="008F581C" w:rsidP="00D45313">
      <w:pPr>
        <w:pStyle w:val="ListParagraph"/>
        <w:numPr>
          <w:ilvl w:val="0"/>
          <w:numId w:val="4"/>
        </w:numPr>
        <w:contextualSpacing w:val="0"/>
        <w:rPr>
          <w:rFonts w:cs="Segoe UI"/>
          <w:sz w:val="22"/>
          <w:szCs w:val="22"/>
        </w:rPr>
      </w:pPr>
      <w:r w:rsidRPr="00310135">
        <w:rPr>
          <w:rFonts w:cs="Segoe UI"/>
          <w:sz w:val="22"/>
          <w:szCs w:val="22"/>
        </w:rPr>
        <w:t>Concerns, practices and behaviours of healthcare workers and other frontline workers</w:t>
      </w:r>
    </w:p>
    <w:p w14:paraId="7D765479" w14:textId="77777777" w:rsidR="008F581C" w:rsidRPr="00310135" w:rsidRDefault="008F581C" w:rsidP="00D45313">
      <w:pPr>
        <w:rPr>
          <w:rFonts w:eastAsia="Segoe UI" w:cs="Segoe UI"/>
          <w:sz w:val="22"/>
          <w:szCs w:val="22"/>
        </w:rPr>
      </w:pPr>
      <w:r w:rsidRPr="00310135">
        <w:rPr>
          <w:rFonts w:eastAsia="Segoe UI" w:cs="Segoe UI"/>
          <w:sz w:val="22"/>
          <w:szCs w:val="22"/>
        </w:rPr>
        <w:t>Analysis and interpretation will include:</w:t>
      </w:r>
    </w:p>
    <w:p w14:paraId="3F93B3A6" w14:textId="6139E8BD" w:rsidR="008F581C" w:rsidRPr="00310135" w:rsidRDefault="008F581C" w:rsidP="00D45313">
      <w:pPr>
        <w:pStyle w:val="ListParagraph"/>
        <w:numPr>
          <w:ilvl w:val="0"/>
          <w:numId w:val="4"/>
        </w:numPr>
        <w:contextualSpacing w:val="0"/>
        <w:rPr>
          <w:rFonts w:cs="Segoe UI"/>
          <w:sz w:val="22"/>
          <w:szCs w:val="22"/>
        </w:rPr>
      </w:pPr>
      <w:r w:rsidRPr="00310135">
        <w:rPr>
          <w:rFonts w:cs="Segoe UI"/>
          <w:sz w:val="22"/>
          <w:szCs w:val="22"/>
        </w:rPr>
        <w:t>Qualitative methods, particularly interview</w:t>
      </w:r>
      <w:r w:rsidR="00786575" w:rsidRPr="00310135">
        <w:rPr>
          <w:rFonts w:cs="Segoe UI"/>
          <w:sz w:val="22"/>
          <w:szCs w:val="22"/>
        </w:rPr>
        <w:t>, case studies,</w:t>
      </w:r>
      <w:r w:rsidRPr="00310135">
        <w:rPr>
          <w:rFonts w:cs="Segoe UI"/>
          <w:sz w:val="22"/>
          <w:szCs w:val="22"/>
        </w:rPr>
        <w:t xml:space="preserve"> and focus group design, delivery, and analyses</w:t>
      </w:r>
    </w:p>
    <w:p w14:paraId="205FAD5D" w14:textId="77777777" w:rsidR="008F581C" w:rsidRPr="00310135" w:rsidRDefault="008F581C" w:rsidP="00D45313">
      <w:pPr>
        <w:pStyle w:val="ListParagraph"/>
        <w:numPr>
          <w:ilvl w:val="0"/>
          <w:numId w:val="4"/>
        </w:numPr>
        <w:contextualSpacing w:val="0"/>
        <w:rPr>
          <w:rFonts w:cs="Segoe UI"/>
          <w:sz w:val="22"/>
          <w:szCs w:val="22"/>
        </w:rPr>
      </w:pPr>
      <w:r w:rsidRPr="00310135">
        <w:rPr>
          <w:rFonts w:cs="Segoe UI"/>
          <w:sz w:val="22"/>
          <w:szCs w:val="22"/>
        </w:rPr>
        <w:lastRenderedPageBreak/>
        <w:t>Quantitative methods, particularly, survey design and analysis</w:t>
      </w:r>
    </w:p>
    <w:p w14:paraId="118A9C42" w14:textId="3FCC2F9E" w:rsidR="008F581C" w:rsidRPr="00310135" w:rsidRDefault="008F581C" w:rsidP="00D45313">
      <w:pPr>
        <w:pStyle w:val="ListParagraph"/>
        <w:numPr>
          <w:ilvl w:val="0"/>
          <w:numId w:val="4"/>
        </w:numPr>
        <w:contextualSpacing w:val="0"/>
        <w:rPr>
          <w:rFonts w:cs="Segoe UI"/>
          <w:sz w:val="22"/>
          <w:szCs w:val="22"/>
        </w:rPr>
      </w:pPr>
      <w:r w:rsidRPr="00310135">
        <w:rPr>
          <w:rFonts w:cs="Segoe UI"/>
          <w:sz w:val="22"/>
          <w:szCs w:val="22"/>
        </w:rPr>
        <w:t>Descriptive sociology analyses, and multivariable analyses</w:t>
      </w:r>
    </w:p>
    <w:p w14:paraId="0D9950CB" w14:textId="488334B1" w:rsidR="008F581C" w:rsidRPr="00310135" w:rsidRDefault="008F581C" w:rsidP="00D45313">
      <w:pPr>
        <w:pStyle w:val="ListParagraph"/>
        <w:numPr>
          <w:ilvl w:val="0"/>
          <w:numId w:val="4"/>
        </w:numPr>
        <w:contextualSpacing w:val="0"/>
        <w:rPr>
          <w:rFonts w:cs="Segoe UI"/>
          <w:sz w:val="22"/>
          <w:szCs w:val="22"/>
        </w:rPr>
      </w:pPr>
      <w:r w:rsidRPr="00310135">
        <w:rPr>
          <w:rFonts w:cs="Segoe UI"/>
          <w:sz w:val="22"/>
          <w:szCs w:val="22"/>
        </w:rPr>
        <w:t xml:space="preserve">Qualitative analysis through case studies </w:t>
      </w:r>
    </w:p>
    <w:p w14:paraId="4DBD33CB" w14:textId="77777777" w:rsidR="008F581C" w:rsidRPr="00310135" w:rsidRDefault="008F581C" w:rsidP="00D45313">
      <w:pPr>
        <w:pStyle w:val="ListParagraph"/>
        <w:numPr>
          <w:ilvl w:val="0"/>
          <w:numId w:val="4"/>
        </w:numPr>
        <w:contextualSpacing w:val="0"/>
        <w:rPr>
          <w:rFonts w:cs="Segoe UI"/>
          <w:sz w:val="22"/>
          <w:szCs w:val="22"/>
        </w:rPr>
      </w:pPr>
      <w:r w:rsidRPr="00310135">
        <w:rPr>
          <w:rFonts w:cs="Segoe UI"/>
          <w:sz w:val="22"/>
          <w:szCs w:val="22"/>
        </w:rPr>
        <w:t>Interpretation of survey and digital data, and secondary research</w:t>
      </w:r>
    </w:p>
    <w:p w14:paraId="6E78C77D" w14:textId="77777777" w:rsidR="008F581C" w:rsidRPr="00310135" w:rsidRDefault="008F581C" w:rsidP="00D45313">
      <w:pPr>
        <w:pStyle w:val="ListParagraph"/>
        <w:numPr>
          <w:ilvl w:val="0"/>
          <w:numId w:val="4"/>
        </w:numPr>
        <w:spacing w:after="240"/>
        <w:ind w:left="714" w:hanging="357"/>
        <w:contextualSpacing w:val="0"/>
        <w:rPr>
          <w:rFonts w:cs="Segoe UI"/>
          <w:sz w:val="22"/>
          <w:szCs w:val="22"/>
        </w:rPr>
      </w:pPr>
      <w:r w:rsidRPr="00310135">
        <w:rPr>
          <w:rFonts w:cs="Segoe UI"/>
          <w:sz w:val="22"/>
          <w:szCs w:val="22"/>
        </w:rPr>
        <w:t>Targeted evaluation studies of interventions and policies</w:t>
      </w:r>
    </w:p>
    <w:p w14:paraId="2A89F0F6" w14:textId="5317E2F0" w:rsidR="008F581C" w:rsidRPr="00310135" w:rsidRDefault="008F581C" w:rsidP="007C61EA">
      <w:pPr>
        <w:pStyle w:val="Heading3"/>
      </w:pPr>
      <w:bookmarkStart w:id="29" w:name="_Toc90411201"/>
      <w:r w:rsidRPr="00310135">
        <w:t>Structural and population risk factors surveillance</w:t>
      </w:r>
      <w:bookmarkEnd w:id="29"/>
    </w:p>
    <w:p w14:paraId="08EDCC3C" w14:textId="77777777" w:rsidR="008F581C" w:rsidRPr="00310135" w:rsidRDefault="008F581C" w:rsidP="00D45313">
      <w:pPr>
        <w:rPr>
          <w:rFonts w:cs="Segoe UI"/>
          <w:sz w:val="22"/>
          <w:szCs w:val="22"/>
        </w:rPr>
      </w:pPr>
      <w:r w:rsidRPr="00310135">
        <w:rPr>
          <w:rFonts w:cs="Segoe UI"/>
          <w:sz w:val="22"/>
          <w:szCs w:val="22"/>
        </w:rPr>
        <w:t>Structural risk factors include material deprivation (including measures in NZDep18), occupation, employment, income, rural/urban segmentation, housing (including transitional, boarding and emergency housing), homelessness, historical inequalities, racism, stigma, discrimination, access to services, social determinants, risk of exposure, transmission, and poor outcomes. Furthermore, poverty, health literacy, mental health and addictions, disability, age, sex/gender, ethnicity, over-crowding,</w:t>
      </w:r>
      <w:r w:rsidRPr="00310135">
        <w:rPr>
          <w:sz w:val="22"/>
          <w:szCs w:val="22"/>
          <w:vertAlign w:val="superscript"/>
        </w:rPr>
        <w:footnoteReference w:id="13"/>
      </w:r>
      <w:r w:rsidRPr="00310135">
        <w:rPr>
          <w:rFonts w:cs="Segoe UI"/>
          <w:sz w:val="22"/>
          <w:szCs w:val="22"/>
          <w:vertAlign w:val="superscript"/>
        </w:rPr>
        <w:t xml:space="preserve"> </w:t>
      </w:r>
      <w:r w:rsidRPr="00310135">
        <w:rPr>
          <w:rFonts w:cs="Segoe UI"/>
          <w:sz w:val="22"/>
          <w:szCs w:val="22"/>
        </w:rPr>
        <w:t>comorbidities, smoking, illicit drug use and distribution (and associated social exclusion), vaccine status and health service use (including primary care, mental health, CADS) determine the risk of both poor clinical and non-clinical outcomes. These structural risk factors represent leading risk for COVID-19 in the community. Māori and Te Tiriti organisations will be important partners for monitoring risk.</w:t>
      </w:r>
    </w:p>
    <w:p w14:paraId="25C0DC7C" w14:textId="77777777" w:rsidR="008F581C" w:rsidRPr="00310135" w:rsidRDefault="008F581C" w:rsidP="00D45313">
      <w:pPr>
        <w:rPr>
          <w:rFonts w:cs="Segoe UI"/>
          <w:sz w:val="22"/>
          <w:szCs w:val="22"/>
        </w:rPr>
      </w:pPr>
      <w:r w:rsidRPr="00310135">
        <w:rPr>
          <w:rFonts w:cs="Segoe UI"/>
          <w:sz w:val="22"/>
          <w:szCs w:val="22"/>
        </w:rPr>
        <w:t>The Ministry of Social Development (MSD) is collecting information based on vulnerability for those who have required care and support services. Multivariant analyses will be conducted with data measuring hardship payment claimant rates, main benefit claimant rates, housing benefit claimant rates, against the health indicators referenced above.</w:t>
      </w:r>
    </w:p>
    <w:p w14:paraId="72D74DD8" w14:textId="77777777" w:rsidR="008F581C" w:rsidRPr="00310135" w:rsidRDefault="008F581C" w:rsidP="00D45313">
      <w:pPr>
        <w:rPr>
          <w:rFonts w:cs="Segoe UI"/>
          <w:sz w:val="22"/>
          <w:szCs w:val="22"/>
        </w:rPr>
      </w:pPr>
      <w:r w:rsidRPr="00310135">
        <w:rPr>
          <w:rFonts w:cs="Segoe UI"/>
          <w:sz w:val="22"/>
          <w:szCs w:val="22"/>
        </w:rPr>
        <w:t xml:space="preserve">These factors provide a focus for surveillance to monitor transmission dynamics and distribution of disease by lead risk factors that increase risk of exposure, transmission, and poor outcomes. </w:t>
      </w:r>
    </w:p>
    <w:p w14:paraId="48D25EA4" w14:textId="77777777" w:rsidR="008F581C" w:rsidRPr="00310135" w:rsidRDefault="008F581C" w:rsidP="00D45313">
      <w:pPr>
        <w:rPr>
          <w:rFonts w:cs="Segoe UI"/>
          <w:sz w:val="22"/>
          <w:szCs w:val="22"/>
        </w:rPr>
      </w:pPr>
      <w:r w:rsidRPr="00310135">
        <w:rPr>
          <w:rFonts w:cs="Segoe UI"/>
          <w:sz w:val="22"/>
          <w:szCs w:val="22"/>
        </w:rPr>
        <w:t>If case rates grow by structural risk factors, then more targeted interventions such as care and support services through case management may be offered to prevent exposure, transmission and/or poor outcomes to individuals, their whānau, iwi, and community.</w:t>
      </w:r>
    </w:p>
    <w:p w14:paraId="1FEF05A3" w14:textId="18D91AB0" w:rsidR="008F1D3A" w:rsidRPr="00D45313" w:rsidRDefault="008F581C" w:rsidP="00D45313">
      <w:pPr>
        <w:spacing w:after="240"/>
        <w:rPr>
          <w:rFonts w:cs="Segoe UI"/>
          <w:sz w:val="22"/>
          <w:szCs w:val="22"/>
        </w:rPr>
      </w:pPr>
      <w:r w:rsidRPr="00310135">
        <w:rPr>
          <w:rFonts w:cs="Segoe UI"/>
          <w:sz w:val="22"/>
          <w:szCs w:val="22"/>
        </w:rPr>
        <w:t>Structural risk factors will be assessed regularly through the Structural Risk Factors matrix and the results of this analysis will inform early warning systems and the COVID-19 Protection Framework lights system, as well as testing and vaccination systems.</w:t>
      </w:r>
    </w:p>
    <w:p w14:paraId="4B3D769D" w14:textId="619CD4C6" w:rsidR="00BD3E8D" w:rsidRPr="004E07B5" w:rsidRDefault="00786575" w:rsidP="00BD3E8D">
      <w:pPr>
        <w:pStyle w:val="Heading2"/>
        <w:ind w:right="260"/>
        <w:rPr>
          <w:b/>
          <w:bCs/>
          <w:color w:val="000000" w:themeColor="text1"/>
        </w:rPr>
      </w:pPr>
      <w:bookmarkStart w:id="30" w:name="_Toc90411202"/>
      <w:r>
        <w:rPr>
          <w:b/>
          <w:bCs/>
          <w:color w:val="000000" w:themeColor="text1"/>
        </w:rPr>
        <w:t>Key outputs of the surveillance system</w:t>
      </w:r>
      <w:bookmarkEnd w:id="30"/>
    </w:p>
    <w:p w14:paraId="0FFC447F" w14:textId="147D890A" w:rsidR="00BD3E8D" w:rsidRPr="00310135" w:rsidRDefault="00BD3E8D" w:rsidP="00D45313">
      <w:pPr>
        <w:rPr>
          <w:sz w:val="22"/>
          <w:szCs w:val="22"/>
        </w:rPr>
      </w:pPr>
      <w:r w:rsidRPr="00310135">
        <w:rPr>
          <w:sz w:val="22"/>
          <w:szCs w:val="22"/>
        </w:rPr>
        <w:t>Transitioning regionally between COVID-19 protection framework levels will rely on the use of expertise and data to inform a robust assessment of both the evolving COVID-19 situation, and the capacity and capability of the health system to respond. Decisions will need to be based on data, public health science, and local and regional knowledge about impact, health system capacity and capability. Structural risk factors, epidemiological insights, and other information will enhance the robustness of intelligence. The decision-making process will draw in expertise from local and regional District Health Board leaders, Māori/iwi leaders, and other stakeholders.</w:t>
      </w:r>
    </w:p>
    <w:p w14:paraId="5BDC7F59" w14:textId="1D2A4A03" w:rsidR="00BD3E8D" w:rsidRPr="00310135" w:rsidRDefault="00BD3E8D" w:rsidP="00D45313">
      <w:pPr>
        <w:rPr>
          <w:sz w:val="22"/>
          <w:szCs w:val="22"/>
        </w:rPr>
      </w:pPr>
      <w:r w:rsidRPr="00310135">
        <w:rPr>
          <w:sz w:val="22"/>
          <w:szCs w:val="22"/>
        </w:rPr>
        <w:t xml:space="preserve">Ultimately, effective implementation of COVID-19 surveillance gives decision-makers timely access to information and evidence that is generated from a complex and ever-changing data environment. </w:t>
      </w:r>
      <w:r w:rsidRPr="00310135">
        <w:rPr>
          <w:sz w:val="22"/>
          <w:szCs w:val="22"/>
        </w:rPr>
        <w:lastRenderedPageBreak/>
        <w:t>The strengthening of surveillance systems is a partnership between the health sector, social development sector, border agencies and experts about what information Aotearoa New Zealand needs for decision-making; and what should be measured and how data can be collected.</w:t>
      </w:r>
    </w:p>
    <w:p w14:paraId="350E508D" w14:textId="38AB259B" w:rsidR="00BD3E8D" w:rsidRPr="00310135" w:rsidRDefault="00BD3E8D" w:rsidP="00D45313">
      <w:pPr>
        <w:rPr>
          <w:rFonts w:eastAsia="Segoe UI" w:cs="Segoe UI"/>
          <w:sz w:val="22"/>
          <w:szCs w:val="22"/>
        </w:rPr>
      </w:pPr>
      <w:r w:rsidRPr="00310135">
        <w:rPr>
          <w:rFonts w:eastAsia="Segoe UI" w:cs="Segoe UI"/>
          <w:sz w:val="22"/>
          <w:szCs w:val="22"/>
        </w:rPr>
        <w:t>Analysis and interpretation will include:</w:t>
      </w:r>
    </w:p>
    <w:p w14:paraId="0134F530" w14:textId="01538C25" w:rsidR="00BD3E8D" w:rsidRPr="00310135" w:rsidRDefault="00BD3E8D" w:rsidP="00D45313">
      <w:pPr>
        <w:pStyle w:val="ListParagraph"/>
        <w:numPr>
          <w:ilvl w:val="0"/>
          <w:numId w:val="4"/>
        </w:numPr>
        <w:contextualSpacing w:val="0"/>
        <w:rPr>
          <w:rFonts w:cs="Segoe UI"/>
          <w:sz w:val="22"/>
          <w:szCs w:val="22"/>
        </w:rPr>
      </w:pPr>
      <w:r w:rsidRPr="00310135">
        <w:rPr>
          <w:rFonts w:cs="Segoe UI"/>
          <w:sz w:val="22"/>
          <w:szCs w:val="22"/>
        </w:rPr>
        <w:t>descriptive analyses, multivariable analyses, reporting numbers, proportions, and distributions by cluster, population group, person, place, and time</w:t>
      </w:r>
    </w:p>
    <w:p w14:paraId="67AEDC3F" w14:textId="4F6EAD26" w:rsidR="00BD3E8D" w:rsidRPr="00310135" w:rsidRDefault="00BD3E8D" w:rsidP="00D45313">
      <w:pPr>
        <w:pStyle w:val="ListParagraph"/>
        <w:numPr>
          <w:ilvl w:val="0"/>
          <w:numId w:val="4"/>
        </w:numPr>
        <w:contextualSpacing w:val="0"/>
        <w:rPr>
          <w:rFonts w:cs="Segoe UI"/>
          <w:sz w:val="22"/>
          <w:szCs w:val="22"/>
        </w:rPr>
      </w:pPr>
      <w:r w:rsidRPr="00310135">
        <w:rPr>
          <w:rFonts w:cs="Segoe UI"/>
          <w:sz w:val="22"/>
          <w:szCs w:val="22"/>
        </w:rPr>
        <w:t>quantitative epidemiology focused on gathering and analysing data to answer carefully formulated questions about the nature of the disease and its transmission</w:t>
      </w:r>
    </w:p>
    <w:p w14:paraId="3A44445D" w14:textId="5784C6BA" w:rsidR="00BD3E8D" w:rsidRPr="00310135" w:rsidRDefault="00BD3E8D" w:rsidP="00D45313">
      <w:pPr>
        <w:pStyle w:val="ListParagraph"/>
        <w:numPr>
          <w:ilvl w:val="0"/>
          <w:numId w:val="4"/>
        </w:numPr>
        <w:contextualSpacing w:val="0"/>
        <w:rPr>
          <w:rFonts w:cs="Segoe UI"/>
          <w:sz w:val="22"/>
          <w:szCs w:val="22"/>
        </w:rPr>
      </w:pPr>
      <w:r w:rsidRPr="00310135">
        <w:rPr>
          <w:rFonts w:cs="Segoe UI"/>
          <w:sz w:val="22"/>
          <w:szCs w:val="22"/>
        </w:rPr>
        <w:t>short-term forecasting and mathematical modelling of pandemic and response scenarios to explore options for control</w:t>
      </w:r>
    </w:p>
    <w:p w14:paraId="67FF832B" w14:textId="69BB971C" w:rsidR="00BD3E8D" w:rsidRPr="00310135" w:rsidRDefault="00BD3E8D" w:rsidP="00D45313">
      <w:pPr>
        <w:pStyle w:val="ListParagraph"/>
        <w:numPr>
          <w:ilvl w:val="0"/>
          <w:numId w:val="4"/>
        </w:numPr>
        <w:contextualSpacing w:val="0"/>
        <w:rPr>
          <w:rFonts w:cs="Segoe UI"/>
          <w:sz w:val="22"/>
          <w:szCs w:val="22"/>
        </w:rPr>
      </w:pPr>
      <w:r w:rsidRPr="00310135">
        <w:rPr>
          <w:rFonts w:cs="Segoe UI"/>
          <w:sz w:val="22"/>
          <w:szCs w:val="22"/>
        </w:rPr>
        <w:t>genomic analysis to identify viral lineages with features of concern, monitoring new introductions of variants from beyond the border, supporting epidemiological investigations and studying transmission dynamics</w:t>
      </w:r>
    </w:p>
    <w:p w14:paraId="5057EB3A" w14:textId="24D3A3DE" w:rsidR="00BD3E8D" w:rsidRPr="00310135" w:rsidRDefault="00BD3E8D" w:rsidP="00D45313">
      <w:pPr>
        <w:pStyle w:val="ListParagraph"/>
        <w:numPr>
          <w:ilvl w:val="0"/>
          <w:numId w:val="4"/>
        </w:numPr>
        <w:contextualSpacing w:val="0"/>
        <w:rPr>
          <w:rFonts w:cs="Segoe UI"/>
          <w:sz w:val="22"/>
          <w:szCs w:val="22"/>
        </w:rPr>
      </w:pPr>
      <w:r w:rsidRPr="00310135">
        <w:rPr>
          <w:rFonts w:cs="Segoe UI"/>
          <w:sz w:val="22"/>
          <w:szCs w:val="22"/>
        </w:rPr>
        <w:t>monitoring of vaccine effectiveness through secondary evaluations and ad hoc studies</w:t>
      </w:r>
    </w:p>
    <w:p w14:paraId="57E7EB68" w14:textId="08508319" w:rsidR="00BD3E8D" w:rsidRPr="00310135" w:rsidRDefault="00BD3E8D" w:rsidP="00D45313">
      <w:pPr>
        <w:pStyle w:val="ListParagraph"/>
        <w:numPr>
          <w:ilvl w:val="0"/>
          <w:numId w:val="4"/>
        </w:numPr>
        <w:contextualSpacing w:val="0"/>
        <w:rPr>
          <w:rFonts w:cs="Segoe UI"/>
          <w:sz w:val="22"/>
          <w:szCs w:val="22"/>
        </w:rPr>
      </w:pPr>
      <w:r w:rsidRPr="00310135">
        <w:rPr>
          <w:rFonts w:cs="Segoe UI"/>
          <w:sz w:val="22"/>
          <w:szCs w:val="22"/>
        </w:rPr>
        <w:t>other analysis such as surveys and other research methods to answer specific questions, such as understanding societal behaviours and risk factors in response to public health measures</w:t>
      </w:r>
    </w:p>
    <w:p w14:paraId="35741948" w14:textId="3BCD461D" w:rsidR="00BD3E8D" w:rsidRPr="00C62E41" w:rsidRDefault="00BD3E8D" w:rsidP="00D45313">
      <w:pPr>
        <w:rPr>
          <w:rFonts w:eastAsia="Segoe UI" w:cs="Segoe UI"/>
          <w:sz w:val="22"/>
          <w:szCs w:val="22"/>
        </w:rPr>
      </w:pPr>
      <w:r w:rsidRPr="00310135">
        <w:rPr>
          <w:rFonts w:eastAsia="Segoe UI" w:cs="Segoe UI"/>
          <w:sz w:val="22"/>
          <w:szCs w:val="22"/>
        </w:rPr>
        <w:t>Many surveillance systems contribute to more than one surveillance objective. The surveillance systems range from existing and COVID-19-specific collections to research and intelligence from front line workers, the health sector, and community.</w:t>
      </w:r>
      <w:r w:rsidR="00C62E41">
        <w:rPr>
          <w:rFonts w:eastAsia="Segoe UI" w:cs="Segoe UI"/>
          <w:sz w:val="22"/>
          <w:szCs w:val="22"/>
        </w:rPr>
        <w:t xml:space="preserve"> </w:t>
      </w:r>
      <w:r w:rsidRPr="00C62E41">
        <w:rPr>
          <w:sz w:val="22"/>
          <w:szCs w:val="22"/>
        </w:rPr>
        <w:t>COVID-19 disease surveillance will inform many aspects of disease management and impact mitigation. Data management and reporting requirements will include:</w:t>
      </w:r>
    </w:p>
    <w:p w14:paraId="41FAB82C" w14:textId="22DE47FE" w:rsidR="00BD3E8D" w:rsidRPr="00C62E41" w:rsidRDefault="00BD3E8D" w:rsidP="00D45313">
      <w:pPr>
        <w:pStyle w:val="ListParagraph"/>
        <w:numPr>
          <w:ilvl w:val="0"/>
          <w:numId w:val="5"/>
        </w:numPr>
        <w:contextualSpacing w:val="0"/>
        <w:rPr>
          <w:rFonts w:cs="Segoe UI"/>
          <w:sz w:val="22"/>
          <w:szCs w:val="22"/>
        </w:rPr>
      </w:pPr>
      <w:r w:rsidRPr="00C62E41">
        <w:rPr>
          <w:rFonts w:cs="Segoe UI"/>
          <w:sz w:val="22"/>
          <w:szCs w:val="22"/>
        </w:rPr>
        <w:t xml:space="preserve">High-level daily data for national </w:t>
      </w:r>
      <w:r w:rsidR="001702CF">
        <w:rPr>
          <w:rFonts w:cs="Segoe UI"/>
          <w:sz w:val="22"/>
          <w:szCs w:val="22"/>
        </w:rPr>
        <w:t xml:space="preserve">and regional </w:t>
      </w:r>
      <w:r w:rsidRPr="00C62E41">
        <w:rPr>
          <w:rFonts w:cs="Segoe UI"/>
          <w:sz w:val="22"/>
          <w:szCs w:val="22"/>
        </w:rPr>
        <w:t>situational awareness and early warning indicators</w:t>
      </w:r>
    </w:p>
    <w:p w14:paraId="4A7841BB" w14:textId="77777777" w:rsidR="00BD3E8D" w:rsidRPr="00C62E41" w:rsidRDefault="00BD3E8D" w:rsidP="00D45313">
      <w:pPr>
        <w:pStyle w:val="ListParagraph"/>
        <w:numPr>
          <w:ilvl w:val="0"/>
          <w:numId w:val="5"/>
        </w:numPr>
        <w:contextualSpacing w:val="0"/>
        <w:rPr>
          <w:rFonts w:cs="Segoe UI"/>
          <w:sz w:val="22"/>
          <w:szCs w:val="22"/>
        </w:rPr>
      </w:pPr>
      <w:r w:rsidRPr="00C62E41">
        <w:rPr>
          <w:rFonts w:cs="Segoe UI"/>
          <w:sz w:val="22"/>
          <w:szCs w:val="22"/>
        </w:rPr>
        <w:t xml:space="preserve">Structural risk factors matrix </w:t>
      </w:r>
    </w:p>
    <w:p w14:paraId="027E834C" w14:textId="77777777" w:rsidR="00BD3E8D" w:rsidRPr="00C62E41" w:rsidRDefault="00BD3E8D" w:rsidP="00D45313">
      <w:pPr>
        <w:pStyle w:val="ListParagraph"/>
        <w:numPr>
          <w:ilvl w:val="0"/>
          <w:numId w:val="5"/>
        </w:numPr>
        <w:contextualSpacing w:val="0"/>
        <w:rPr>
          <w:rFonts w:eastAsiaTheme="minorEastAsia" w:cs="Segoe UI"/>
          <w:sz w:val="22"/>
          <w:szCs w:val="22"/>
        </w:rPr>
      </w:pPr>
      <w:r w:rsidRPr="00C62E41">
        <w:rPr>
          <w:rFonts w:cs="Segoe UI"/>
          <w:sz w:val="22"/>
          <w:szCs w:val="22"/>
        </w:rPr>
        <w:t xml:space="preserve">Epidemiological trends and insights report </w:t>
      </w:r>
    </w:p>
    <w:p w14:paraId="4A7F9E5A" w14:textId="77777777" w:rsidR="00BD3E8D" w:rsidRPr="00C62E41" w:rsidRDefault="00BD3E8D" w:rsidP="00D45313">
      <w:pPr>
        <w:pStyle w:val="ListParagraph"/>
        <w:numPr>
          <w:ilvl w:val="0"/>
          <w:numId w:val="5"/>
        </w:numPr>
        <w:contextualSpacing w:val="0"/>
        <w:rPr>
          <w:rFonts w:cs="Segoe UI"/>
          <w:sz w:val="22"/>
          <w:szCs w:val="22"/>
        </w:rPr>
      </w:pPr>
      <w:r w:rsidRPr="00C62E41">
        <w:rPr>
          <w:rFonts w:cs="Segoe UI"/>
          <w:sz w:val="22"/>
          <w:szCs w:val="22"/>
        </w:rPr>
        <w:t xml:space="preserve">Reporting on new variants and global health intelligence </w:t>
      </w:r>
    </w:p>
    <w:p w14:paraId="1CEAAED4" w14:textId="77777777" w:rsidR="00BD3E8D" w:rsidRPr="00C62E41" w:rsidRDefault="00BD3E8D" w:rsidP="00D45313">
      <w:pPr>
        <w:pStyle w:val="ListParagraph"/>
        <w:numPr>
          <w:ilvl w:val="0"/>
          <w:numId w:val="5"/>
        </w:numPr>
        <w:contextualSpacing w:val="0"/>
        <w:rPr>
          <w:rFonts w:cs="Segoe UI"/>
          <w:sz w:val="22"/>
          <w:szCs w:val="22"/>
        </w:rPr>
      </w:pPr>
      <w:r w:rsidRPr="00C62E41">
        <w:rPr>
          <w:rFonts w:cs="Segoe UI"/>
          <w:sz w:val="22"/>
          <w:szCs w:val="22"/>
        </w:rPr>
        <w:t xml:space="preserve"> Modelling and forecasting </w:t>
      </w:r>
    </w:p>
    <w:p w14:paraId="7241B41C" w14:textId="77777777" w:rsidR="00BD3E8D" w:rsidRPr="00C62E41" w:rsidRDefault="00BD3E8D" w:rsidP="00D45313">
      <w:pPr>
        <w:pStyle w:val="ListParagraph"/>
        <w:numPr>
          <w:ilvl w:val="0"/>
          <w:numId w:val="6"/>
        </w:numPr>
        <w:ind w:left="1276"/>
        <w:contextualSpacing w:val="0"/>
        <w:rPr>
          <w:rFonts w:cs="Segoe UI"/>
          <w:sz w:val="22"/>
          <w:szCs w:val="22"/>
        </w:rPr>
      </w:pPr>
      <w:r w:rsidRPr="00C62E41">
        <w:rPr>
          <w:rFonts w:cs="Segoe UI"/>
          <w:sz w:val="22"/>
          <w:szCs w:val="22"/>
        </w:rPr>
        <w:t>For system-level risk models and strategic planning</w:t>
      </w:r>
    </w:p>
    <w:p w14:paraId="5DA77FBF" w14:textId="77777777" w:rsidR="00BD3E8D" w:rsidRPr="00C62E41" w:rsidRDefault="00BD3E8D" w:rsidP="00D45313">
      <w:pPr>
        <w:pStyle w:val="ListParagraph"/>
        <w:numPr>
          <w:ilvl w:val="0"/>
          <w:numId w:val="6"/>
        </w:numPr>
        <w:ind w:left="1276"/>
        <w:contextualSpacing w:val="0"/>
        <w:rPr>
          <w:rFonts w:cs="Segoe UI"/>
          <w:sz w:val="22"/>
          <w:szCs w:val="22"/>
        </w:rPr>
      </w:pPr>
      <w:r w:rsidRPr="00C62E41">
        <w:rPr>
          <w:rFonts w:cs="Segoe UI"/>
          <w:sz w:val="22"/>
          <w:szCs w:val="22"/>
        </w:rPr>
        <w:t>For local/regional case number and health system impact forecasting</w:t>
      </w:r>
    </w:p>
    <w:p w14:paraId="7DDC99AD" w14:textId="77777777" w:rsidR="00BD3E8D" w:rsidRPr="00C62E41" w:rsidRDefault="00BD3E8D" w:rsidP="00E45873">
      <w:pPr>
        <w:pStyle w:val="ListParagraph"/>
        <w:numPr>
          <w:ilvl w:val="0"/>
          <w:numId w:val="5"/>
        </w:numPr>
        <w:spacing w:after="240"/>
        <w:ind w:left="714" w:hanging="357"/>
        <w:contextualSpacing w:val="0"/>
        <w:rPr>
          <w:rFonts w:cs="Segoe UI"/>
          <w:sz w:val="22"/>
          <w:szCs w:val="22"/>
        </w:rPr>
      </w:pPr>
      <w:r w:rsidRPr="00C62E41">
        <w:rPr>
          <w:rFonts w:cs="Segoe UI"/>
          <w:sz w:val="22"/>
          <w:szCs w:val="22"/>
        </w:rPr>
        <w:t>Operational changes as required, such as adjustment to regional testing plans</w:t>
      </w:r>
    </w:p>
    <w:p w14:paraId="13007324" w14:textId="47070A6C" w:rsidR="00BD3E8D" w:rsidRPr="00C62E41" w:rsidRDefault="00BD3E8D" w:rsidP="00BD3E8D">
      <w:pPr>
        <w:pStyle w:val="Heading2"/>
        <w:ind w:right="260"/>
        <w:rPr>
          <w:b/>
          <w:bCs/>
          <w:color w:val="000000" w:themeColor="text1"/>
        </w:rPr>
      </w:pPr>
      <w:bookmarkStart w:id="31" w:name="_Toc90411203"/>
      <w:r w:rsidRPr="00C62E41">
        <w:rPr>
          <w:b/>
          <w:bCs/>
          <w:color w:val="000000" w:themeColor="text1"/>
        </w:rPr>
        <w:t>Surveillance Indicators</w:t>
      </w:r>
      <w:bookmarkEnd w:id="31"/>
    </w:p>
    <w:p w14:paraId="134DF822" w14:textId="77777777" w:rsidR="00BD3E8D" w:rsidRPr="00C62E41" w:rsidRDefault="00BD3E8D" w:rsidP="00BD3E8D">
      <w:pPr>
        <w:spacing w:after="240"/>
        <w:rPr>
          <w:rFonts w:eastAsia="Segoe UI" w:cs="Segoe UI"/>
          <w:sz w:val="22"/>
          <w:szCs w:val="22"/>
        </w:rPr>
      </w:pPr>
      <w:r w:rsidRPr="00C62E41">
        <w:rPr>
          <w:rFonts w:eastAsia="Segoe UI" w:cs="Segoe UI"/>
          <w:sz w:val="22"/>
          <w:szCs w:val="22"/>
        </w:rPr>
        <w:t xml:space="preserve">Each surveillance objective links to multiple surveillance indicators. Indicators are assessed through a variety of data sources and analysis methods. An illustrative example of indicators by surveillance objective are in Appendix 1. Monitoring of each indicator will be undertaken by the full range of surveillance activities, nationally and locally. The analyses will contribute to several products and processes, including advising on CPF colour change. The links between these parts of the system are described in Appendix 2. </w:t>
      </w:r>
    </w:p>
    <w:p w14:paraId="5E844B50" w14:textId="77777777" w:rsidR="00E45873" w:rsidRDefault="00E45873" w:rsidP="00BD3E8D">
      <w:pPr>
        <w:rPr>
          <w:b/>
          <w:bCs/>
          <w:color w:val="000000" w:themeColor="text1"/>
          <w:sz w:val="28"/>
        </w:rPr>
      </w:pPr>
    </w:p>
    <w:p w14:paraId="3134F1D7" w14:textId="0AF11A22" w:rsidR="00BD3E8D" w:rsidRPr="00C62E41" w:rsidRDefault="00BD3E8D" w:rsidP="00BD3E8D">
      <w:pPr>
        <w:rPr>
          <w:b/>
          <w:bCs/>
          <w:color w:val="000000" w:themeColor="text1"/>
          <w:sz w:val="28"/>
        </w:rPr>
      </w:pPr>
      <w:r w:rsidRPr="00C62E41">
        <w:rPr>
          <w:b/>
          <w:bCs/>
          <w:color w:val="000000" w:themeColor="text1"/>
          <w:sz w:val="28"/>
        </w:rPr>
        <w:lastRenderedPageBreak/>
        <w:t>Factors to inform CPF changes</w:t>
      </w:r>
    </w:p>
    <w:p w14:paraId="572E9581" w14:textId="77777777" w:rsidR="00BD3E8D" w:rsidRPr="00C62E41" w:rsidRDefault="00BD3E8D" w:rsidP="00BD3E8D">
      <w:pPr>
        <w:rPr>
          <w:rFonts w:cs="Segoe UI"/>
          <w:sz w:val="22"/>
          <w:szCs w:val="22"/>
        </w:rPr>
      </w:pPr>
      <w:r w:rsidRPr="00C62E41">
        <w:rPr>
          <w:rFonts w:cs="Segoe UI"/>
          <w:sz w:val="22"/>
          <w:szCs w:val="22"/>
        </w:rPr>
        <w:t>Cabinet agreed to the following health-based factors to inform colour changes in the CPF:</w:t>
      </w:r>
    </w:p>
    <w:p w14:paraId="312A4BE2" w14:textId="77777777" w:rsidR="00BD3E8D" w:rsidRPr="00C62E41" w:rsidRDefault="00BD3E8D" w:rsidP="000B069A">
      <w:pPr>
        <w:pStyle w:val="ListParagraph"/>
        <w:numPr>
          <w:ilvl w:val="0"/>
          <w:numId w:val="4"/>
        </w:numPr>
        <w:spacing w:line="256" w:lineRule="auto"/>
        <w:rPr>
          <w:rFonts w:cs="Segoe UI"/>
          <w:sz w:val="22"/>
          <w:szCs w:val="22"/>
        </w:rPr>
      </w:pPr>
      <w:r w:rsidRPr="00C62E41">
        <w:rPr>
          <w:rFonts w:cs="Segoe UI"/>
          <w:sz w:val="22"/>
          <w:szCs w:val="22"/>
        </w:rPr>
        <w:t>Vaccination coverage across the overall population and equity of vaccination coverage</w:t>
      </w:r>
    </w:p>
    <w:p w14:paraId="3EADE4A9" w14:textId="77777777" w:rsidR="00BD3E8D" w:rsidRPr="00C62E41" w:rsidRDefault="00BD3E8D" w:rsidP="000B069A">
      <w:pPr>
        <w:pStyle w:val="ListParagraph"/>
        <w:numPr>
          <w:ilvl w:val="0"/>
          <w:numId w:val="4"/>
        </w:numPr>
        <w:spacing w:line="256" w:lineRule="auto"/>
        <w:rPr>
          <w:rFonts w:cs="Segoe UI"/>
          <w:sz w:val="22"/>
          <w:szCs w:val="22"/>
        </w:rPr>
      </w:pPr>
      <w:r w:rsidRPr="00C62E41">
        <w:rPr>
          <w:rFonts w:cs="Segoe UI"/>
          <w:sz w:val="22"/>
          <w:szCs w:val="22"/>
        </w:rPr>
        <w:t>Capacity of the health and disability system to manage COVID-19 cases, including across public health, primary care, community services, and secondary care</w:t>
      </w:r>
    </w:p>
    <w:p w14:paraId="3029ECC8" w14:textId="77777777" w:rsidR="00BD3E8D" w:rsidRPr="00C62E41" w:rsidRDefault="00BD3E8D" w:rsidP="000B069A">
      <w:pPr>
        <w:pStyle w:val="ListParagraph"/>
        <w:numPr>
          <w:ilvl w:val="0"/>
          <w:numId w:val="4"/>
        </w:numPr>
        <w:spacing w:line="256" w:lineRule="auto"/>
        <w:rPr>
          <w:rFonts w:cs="Segoe UI"/>
          <w:sz w:val="22"/>
          <w:szCs w:val="22"/>
        </w:rPr>
      </w:pPr>
      <w:r w:rsidRPr="00C62E41">
        <w:rPr>
          <w:rFonts w:cs="Segoe UI"/>
          <w:sz w:val="22"/>
          <w:szCs w:val="22"/>
        </w:rPr>
        <w:t>Testing, contact tracing and case management capacity</w:t>
      </w:r>
    </w:p>
    <w:p w14:paraId="536D6FC6" w14:textId="77777777" w:rsidR="00BD3E8D" w:rsidRPr="00C62E41" w:rsidRDefault="00BD3E8D" w:rsidP="000B069A">
      <w:pPr>
        <w:pStyle w:val="ListParagraph"/>
        <w:numPr>
          <w:ilvl w:val="0"/>
          <w:numId w:val="4"/>
        </w:numPr>
        <w:spacing w:line="256" w:lineRule="auto"/>
        <w:rPr>
          <w:rFonts w:cs="Segoe UI"/>
          <w:sz w:val="22"/>
          <w:szCs w:val="22"/>
        </w:rPr>
      </w:pPr>
      <w:r w:rsidRPr="00C62E41">
        <w:rPr>
          <w:rFonts w:cs="Segoe UI"/>
          <w:sz w:val="22"/>
          <w:szCs w:val="22"/>
        </w:rPr>
        <w:t>Transmission of COVID-19 within the community, including its impact on the most vulnerable populations</w:t>
      </w:r>
    </w:p>
    <w:p w14:paraId="2865E4D5" w14:textId="77777777" w:rsidR="00BD3E8D" w:rsidRPr="00020C98" w:rsidRDefault="00BD3E8D" w:rsidP="00693106">
      <w:pPr>
        <w:spacing w:after="240"/>
        <w:rPr>
          <w:rFonts w:cs="Segoe UI"/>
          <w:sz w:val="22"/>
          <w:szCs w:val="22"/>
        </w:rPr>
      </w:pPr>
      <w:r w:rsidRPr="00C62E41">
        <w:rPr>
          <w:rFonts w:cs="Segoe UI"/>
          <w:sz w:val="22"/>
          <w:szCs w:val="22"/>
        </w:rPr>
        <w:t>In addition, Cabinet agreed to consider evidence of the impact of COVID-19 mitigation measures on the populations a whole, and for at-risk populations specifically. Surveillance indicators are designed to monitor these factors, as well as others as defined by the surveillance objectives. The implementation plan will provide further detail.</w:t>
      </w:r>
    </w:p>
    <w:p w14:paraId="06F58E39" w14:textId="77777777" w:rsidR="004A5071" w:rsidRPr="00C62E41" w:rsidRDefault="004A5071" w:rsidP="004A5071">
      <w:pPr>
        <w:pStyle w:val="Heading2"/>
        <w:ind w:right="260"/>
        <w:rPr>
          <w:b/>
          <w:bCs/>
          <w:color w:val="000000" w:themeColor="text1"/>
        </w:rPr>
      </w:pPr>
      <w:bookmarkStart w:id="32" w:name="_Toc90411204"/>
      <w:r w:rsidRPr="00C62E41">
        <w:rPr>
          <w:b/>
          <w:bCs/>
          <w:color w:val="000000" w:themeColor="text1"/>
        </w:rPr>
        <w:t>Population Risk and High-Risk Settings</w:t>
      </w:r>
      <w:bookmarkEnd w:id="32"/>
    </w:p>
    <w:p w14:paraId="155DD89B" w14:textId="77777777" w:rsidR="004A5071" w:rsidRPr="00693106" w:rsidRDefault="004A5071" w:rsidP="00693106">
      <w:pPr>
        <w:rPr>
          <w:sz w:val="22"/>
          <w:szCs w:val="22"/>
        </w:rPr>
      </w:pPr>
      <w:r w:rsidRPr="00693106">
        <w:rPr>
          <w:rFonts w:eastAsia="Segoe UI" w:cs="Segoe UI"/>
          <w:sz w:val="22"/>
          <w:szCs w:val="22"/>
        </w:rPr>
        <w:t xml:space="preserve">The surveillance system </w:t>
      </w:r>
      <w:r w:rsidRPr="00693106">
        <w:rPr>
          <w:rFonts w:cs="Segoe UI"/>
          <w:sz w:val="22"/>
          <w:szCs w:val="22"/>
          <w:shd w:val="clear" w:color="auto" w:fill="FFFFFF"/>
        </w:rPr>
        <w:t xml:space="preserve">considers the importance of integrating equity values and principles in order to </w:t>
      </w:r>
      <w:r w:rsidRPr="00693106">
        <w:rPr>
          <w:sz w:val="22"/>
          <w:szCs w:val="22"/>
        </w:rPr>
        <w:t>measure and monitor population risk and high-risk settings. Data will be recorded and presented by age, sex/gender, ethnicity, income, and exposure to risk by geography.</w:t>
      </w:r>
    </w:p>
    <w:p w14:paraId="4C4B791E" w14:textId="77777777" w:rsidR="004A5071" w:rsidRPr="00693106" w:rsidRDefault="004A5071" w:rsidP="00693106">
      <w:pPr>
        <w:rPr>
          <w:sz w:val="22"/>
          <w:szCs w:val="22"/>
        </w:rPr>
      </w:pPr>
      <w:r w:rsidRPr="00693106">
        <w:rPr>
          <w:sz w:val="22"/>
          <w:szCs w:val="22"/>
        </w:rPr>
        <w:t>High vaccination rates provide a level of population and individual protection from COVID-19. However, groups who are likely to have poor outcomes will require additional layers of support and protection as restrictions are relaxed.</w:t>
      </w:r>
    </w:p>
    <w:p w14:paraId="06724054" w14:textId="77777777" w:rsidR="004A5071" w:rsidRPr="00693106" w:rsidRDefault="004A5071" w:rsidP="00693106">
      <w:pPr>
        <w:spacing w:after="240"/>
        <w:rPr>
          <w:sz w:val="22"/>
          <w:szCs w:val="22"/>
        </w:rPr>
      </w:pPr>
      <w:r w:rsidRPr="00693106">
        <w:rPr>
          <w:sz w:val="22"/>
          <w:szCs w:val="22"/>
        </w:rPr>
        <w:t xml:space="preserve">When decisions are made about the level of protection a community may need, local population risks are assessed with the community leadership. This may be over and above the usual public health measures included in the COVID-19 Protection Framework. The information and processes outlined in this strategy will be the base for a risk-based assessment, including through Structural Risk Factors analysis. </w:t>
      </w:r>
    </w:p>
    <w:p w14:paraId="5EBF14D7" w14:textId="77777777" w:rsidR="004A5071" w:rsidRPr="00C62E41" w:rsidRDefault="004A5071" w:rsidP="007C61EA">
      <w:pPr>
        <w:pStyle w:val="Heading3"/>
      </w:pPr>
      <w:bookmarkStart w:id="33" w:name="_Toc90411205"/>
      <w:r w:rsidRPr="00C62E41">
        <w:t>Defining structural, population and community risks</w:t>
      </w:r>
      <w:bookmarkEnd w:id="33"/>
    </w:p>
    <w:p w14:paraId="638F53FF" w14:textId="77777777" w:rsidR="004A5071" w:rsidRPr="00C62E41" w:rsidRDefault="004A5071" w:rsidP="00693106">
      <w:pPr>
        <w:pStyle w:val="CommentText"/>
        <w:rPr>
          <w:rFonts w:cs="Segoe UI"/>
          <w:sz w:val="22"/>
          <w:szCs w:val="22"/>
        </w:rPr>
      </w:pPr>
      <w:r w:rsidRPr="00C62E41">
        <w:rPr>
          <w:rFonts w:eastAsia="Segoe UI" w:cs="Segoe UI"/>
          <w:sz w:val="22"/>
          <w:szCs w:val="22"/>
        </w:rPr>
        <w:t xml:space="preserve">Risk for individuals and communities from COVID-19 has four parts: 1) </w:t>
      </w:r>
      <w:r w:rsidRPr="00C62E41">
        <w:rPr>
          <w:rFonts w:cs="Segoe UI"/>
          <w:sz w:val="22"/>
          <w:szCs w:val="22"/>
        </w:rPr>
        <w:t xml:space="preserve">risk of introduction, either of any virus in elimination state, or new variants across international border, 2) </w:t>
      </w:r>
      <w:r w:rsidRPr="00C62E41">
        <w:rPr>
          <w:rFonts w:eastAsia="Segoe UI" w:cs="Segoe UI"/>
          <w:sz w:val="22"/>
          <w:szCs w:val="22"/>
        </w:rPr>
        <w:t>risk of exposure, 3) risk of transmission of the virus, and 4) risk of poor outcomes if contracted. Therefore, the elements to consider in a disease management approach are risk of:</w:t>
      </w:r>
    </w:p>
    <w:p w14:paraId="0C9639F4" w14:textId="77777777" w:rsidR="004A5071" w:rsidRPr="00C62E41" w:rsidRDefault="004A5071" w:rsidP="00693106">
      <w:pPr>
        <w:pStyle w:val="ReportBody2-MOH"/>
        <w:tabs>
          <w:tab w:val="clear" w:pos="284"/>
        </w:tabs>
        <w:spacing w:before="0" w:after="120"/>
        <w:rPr>
          <w:rFonts w:eastAsiaTheme="minorEastAsia"/>
        </w:rPr>
      </w:pPr>
      <w:r w:rsidRPr="00C62E41">
        <w:rPr>
          <w:rFonts w:eastAsia="Segoe UI"/>
        </w:rPr>
        <w:t>Clinical outcomes, such as hospitalisation, long-term impacts of COVID-19, and death</w:t>
      </w:r>
    </w:p>
    <w:p w14:paraId="7A39F0B9" w14:textId="77777777" w:rsidR="004A5071" w:rsidRPr="00C62E41" w:rsidRDefault="004A5071" w:rsidP="00693106">
      <w:pPr>
        <w:pStyle w:val="ReportBody2-MOH"/>
        <w:tabs>
          <w:tab w:val="clear" w:pos="284"/>
        </w:tabs>
        <w:spacing w:before="0" w:after="120"/>
        <w:rPr>
          <w:rFonts w:eastAsiaTheme="minorEastAsia"/>
        </w:rPr>
      </w:pPr>
      <w:r w:rsidRPr="00C62E41">
        <w:rPr>
          <w:rFonts w:eastAsia="Segoe UI"/>
        </w:rPr>
        <w:t>High rates of transmission, even without the additional risk of poor clinical outcomes, and/or</w:t>
      </w:r>
    </w:p>
    <w:p w14:paraId="1BD4D40F" w14:textId="77777777" w:rsidR="004A5071" w:rsidRPr="00C62E41" w:rsidRDefault="004A5071" w:rsidP="00693106">
      <w:pPr>
        <w:pStyle w:val="ReportBody2-MOH"/>
        <w:tabs>
          <w:tab w:val="clear" w:pos="284"/>
        </w:tabs>
        <w:spacing w:before="0" w:after="120"/>
        <w:rPr>
          <w:rFonts w:eastAsiaTheme="minorEastAsia"/>
        </w:rPr>
      </w:pPr>
      <w:r w:rsidRPr="00C62E41">
        <w:rPr>
          <w:rFonts w:eastAsia="Segoe UI"/>
        </w:rPr>
        <w:t xml:space="preserve">Communities and individuals for whom large numbers of cases and/or lockdown restrictions will be more difficult to withstand and recover </w:t>
      </w:r>
    </w:p>
    <w:p w14:paraId="4ED7F7D3" w14:textId="77777777" w:rsidR="004A5071" w:rsidRPr="00C62E41" w:rsidRDefault="004A5071" w:rsidP="00693106">
      <w:pPr>
        <w:rPr>
          <w:rFonts w:eastAsia="Segoe UI" w:cs="Segoe UI"/>
          <w:sz w:val="22"/>
          <w:szCs w:val="22"/>
        </w:rPr>
      </w:pPr>
      <w:r w:rsidRPr="00C62E41">
        <w:rPr>
          <w:rFonts w:eastAsia="Segoe UI" w:cs="Segoe UI"/>
          <w:sz w:val="22"/>
          <w:szCs w:val="22"/>
        </w:rPr>
        <w:t>Several factors have the potential to impact on the above elements that are specific for COVID-19. These include vaccination, age, occupation, ethnicity, access to health services, cultural safety of health services, and socio-cultural and socio-economic factors.</w:t>
      </w:r>
    </w:p>
    <w:p w14:paraId="4E4B3238" w14:textId="77777777" w:rsidR="004A5071" w:rsidRPr="00C62E41" w:rsidRDefault="004A5071" w:rsidP="00693106">
      <w:pPr>
        <w:rPr>
          <w:rFonts w:eastAsia="Segoe UI" w:cs="Segoe UI"/>
          <w:sz w:val="22"/>
          <w:szCs w:val="22"/>
        </w:rPr>
      </w:pPr>
      <w:r w:rsidRPr="00C62E41">
        <w:rPr>
          <w:rFonts w:eastAsia="Segoe UI" w:cs="Segoe UI"/>
          <w:sz w:val="22"/>
          <w:szCs w:val="22"/>
        </w:rPr>
        <w:t xml:space="preserve">The factors for higher COVID-19 risk tend to compound for the Māori and Pacific communities. While ethnicity is not a risk factor in and of itself, these groups are at high risk of poor outcomes </w:t>
      </w:r>
      <w:r w:rsidRPr="00C62E41">
        <w:rPr>
          <w:rFonts w:eastAsia="Segoe UI" w:cs="Segoe UI"/>
          <w:sz w:val="22"/>
          <w:szCs w:val="22"/>
        </w:rPr>
        <w:lastRenderedPageBreak/>
        <w:t>from COVID-19 because of the compounded effects of underlying health conditions, socio-economic disadvantage, and historical and structural racism and discrimination.</w:t>
      </w:r>
    </w:p>
    <w:p w14:paraId="35D25CA5" w14:textId="77777777" w:rsidR="004A5071" w:rsidRPr="008213CA" w:rsidRDefault="004A5071" w:rsidP="00693106">
      <w:pPr>
        <w:spacing w:after="240"/>
        <w:rPr>
          <w:rFonts w:eastAsia="Segoe UI" w:cs="Segoe UI"/>
          <w:sz w:val="22"/>
          <w:szCs w:val="22"/>
        </w:rPr>
      </w:pPr>
      <w:r w:rsidRPr="00C62E41">
        <w:rPr>
          <w:rFonts w:eastAsia="Segoe UI" w:cs="Segoe UI"/>
          <w:sz w:val="22"/>
          <w:szCs w:val="22"/>
        </w:rPr>
        <w:t>We use the term structural risk factors to explain how the disparities of class, culture, sex/gender, and ethnicity impact on individuals, whānau, iwi, and communities. Living in temporary, rudimentary, or inadequate housing, overcrowding, poor maintenance, intermittent power, lack of fuel and water, an insanitary environment, and lack of municipal services, compromised health, and exacerbating mental health problems all nurture the transmission of COVID-19. Early indication of COVID-19 transmission in communities of highest risk can help direct resources to where it will support the aims of minimisation and protection the most.</w:t>
      </w:r>
    </w:p>
    <w:p w14:paraId="6716ACEC" w14:textId="77777777" w:rsidR="004A5071" w:rsidRPr="00C62E41" w:rsidRDefault="004A5071" w:rsidP="00E74B50">
      <w:pPr>
        <w:pStyle w:val="Heading3"/>
        <w:spacing w:before="0" w:after="240"/>
      </w:pPr>
      <w:bookmarkStart w:id="34" w:name="_Toc90411206"/>
      <w:r w:rsidRPr="00C62E41">
        <w:t>Factors that determine risk of exposure, transmission, and poorer outcomes</w:t>
      </w:r>
      <w:bookmarkEnd w:id="34"/>
    </w:p>
    <w:p w14:paraId="6BF4CD0C" w14:textId="77777777" w:rsidR="004A5071" w:rsidRPr="00693106" w:rsidRDefault="004A5071" w:rsidP="00693106">
      <w:pPr>
        <w:pStyle w:val="paragraph"/>
        <w:spacing w:before="0" w:beforeAutospacing="0" w:after="120" w:afterAutospacing="0"/>
        <w:textAlignment w:val="baseline"/>
        <w:rPr>
          <w:rFonts w:ascii="Segoe UI" w:hAnsi="Segoe UI" w:cs="Segoe UI"/>
          <w:sz w:val="22"/>
          <w:szCs w:val="22"/>
        </w:rPr>
      </w:pPr>
      <w:r w:rsidRPr="00693106">
        <w:rPr>
          <w:rStyle w:val="normaltextrun"/>
          <w:rFonts w:ascii="Segoe UI" w:hAnsi="Segoe UI" w:cs="Segoe UI"/>
          <w:sz w:val="22"/>
          <w:szCs w:val="22"/>
        </w:rPr>
        <w:t>The aim of determining population risk factors is to identify regions and population groups that are exposed to an underlying structural risk factor, and their relation to COVID-19 specific risk.</w:t>
      </w:r>
      <w:r w:rsidRPr="00693106">
        <w:rPr>
          <w:rStyle w:val="normaltextrun"/>
          <w:rFonts w:ascii="Segoe UI" w:hAnsi="Segoe UI" w:cs="Segoe UI"/>
          <w:b/>
          <w:bCs/>
          <w:sz w:val="22"/>
          <w:szCs w:val="22"/>
        </w:rPr>
        <w:t> </w:t>
      </w:r>
    </w:p>
    <w:p w14:paraId="296B341B" w14:textId="77777777" w:rsidR="004A5071" w:rsidRPr="00693106" w:rsidRDefault="004A5071" w:rsidP="00693106">
      <w:pPr>
        <w:pStyle w:val="paragraph"/>
        <w:spacing w:before="0" w:beforeAutospacing="0" w:after="120" w:afterAutospacing="0"/>
        <w:textAlignment w:val="baseline"/>
        <w:rPr>
          <w:rFonts w:ascii="Segoe UI" w:hAnsi="Segoe UI" w:cs="Segoe UI"/>
          <w:sz w:val="22"/>
          <w:szCs w:val="22"/>
        </w:rPr>
      </w:pPr>
      <w:r w:rsidRPr="00693106">
        <w:rPr>
          <w:rStyle w:val="normaltextrun"/>
          <w:rFonts w:ascii="Segoe UI" w:hAnsi="Segoe UI" w:cs="Segoe UI"/>
          <w:b/>
          <w:bCs/>
          <w:sz w:val="22"/>
          <w:szCs w:val="22"/>
        </w:rPr>
        <w:t>COVID-19 specific risks</w:t>
      </w:r>
      <w:r w:rsidRPr="00693106">
        <w:rPr>
          <w:rStyle w:val="normaltextrun"/>
          <w:rFonts w:ascii="Segoe UI" w:hAnsi="Segoe UI" w:cs="Segoe UI"/>
          <w:sz w:val="22"/>
          <w:szCs w:val="22"/>
        </w:rPr>
        <w:t xml:space="preserve"> in terms of factors that can change include:</w:t>
      </w:r>
      <w:r w:rsidRPr="00693106">
        <w:rPr>
          <w:rStyle w:val="eop"/>
          <w:rFonts w:ascii="Segoe UI" w:hAnsi="Segoe UI" w:cs="Segoe UI"/>
          <w:sz w:val="22"/>
          <w:szCs w:val="22"/>
        </w:rPr>
        <w:t> </w:t>
      </w:r>
    </w:p>
    <w:p w14:paraId="10BAB545" w14:textId="77777777" w:rsidR="004A5071" w:rsidRPr="00693106" w:rsidRDefault="004A5071" w:rsidP="00693106">
      <w:pPr>
        <w:pStyle w:val="paragraph"/>
        <w:numPr>
          <w:ilvl w:val="0"/>
          <w:numId w:val="8"/>
        </w:numPr>
        <w:spacing w:before="0" w:beforeAutospacing="0" w:after="120" w:afterAutospacing="0"/>
        <w:ind w:left="1215" w:firstLine="0"/>
        <w:textAlignment w:val="baseline"/>
        <w:rPr>
          <w:rFonts w:ascii="Segoe UI" w:hAnsi="Segoe UI" w:cs="Segoe UI"/>
          <w:sz w:val="22"/>
          <w:szCs w:val="22"/>
        </w:rPr>
      </w:pPr>
      <w:r w:rsidRPr="00693106">
        <w:rPr>
          <w:rStyle w:val="normaltextrun"/>
          <w:rFonts w:ascii="Segoe UI" w:hAnsi="Segoe UI" w:cs="Segoe UI"/>
          <w:sz w:val="22"/>
          <w:szCs w:val="22"/>
        </w:rPr>
        <w:t>Low/high vaccination rates</w:t>
      </w:r>
      <w:r w:rsidRPr="00693106">
        <w:rPr>
          <w:rStyle w:val="eop"/>
          <w:rFonts w:ascii="Segoe UI" w:hAnsi="Segoe UI" w:cs="Segoe UI"/>
          <w:sz w:val="22"/>
          <w:szCs w:val="22"/>
        </w:rPr>
        <w:t> </w:t>
      </w:r>
    </w:p>
    <w:p w14:paraId="65C8DA27" w14:textId="77777777" w:rsidR="004A5071" w:rsidRPr="00693106" w:rsidRDefault="004A5071" w:rsidP="00693106">
      <w:pPr>
        <w:pStyle w:val="paragraph"/>
        <w:numPr>
          <w:ilvl w:val="0"/>
          <w:numId w:val="9"/>
        </w:numPr>
        <w:spacing w:before="0" w:beforeAutospacing="0" w:after="120" w:afterAutospacing="0"/>
        <w:ind w:left="1215" w:firstLine="0"/>
        <w:textAlignment w:val="baseline"/>
        <w:rPr>
          <w:rFonts w:ascii="Segoe UI" w:hAnsi="Segoe UI" w:cs="Segoe UI"/>
          <w:sz w:val="22"/>
          <w:szCs w:val="22"/>
        </w:rPr>
      </w:pPr>
      <w:r w:rsidRPr="00693106">
        <w:rPr>
          <w:rStyle w:val="normaltextrun"/>
          <w:rFonts w:ascii="Segoe UI" w:hAnsi="Segoe UI" w:cs="Segoe UI"/>
          <w:sz w:val="22"/>
          <w:szCs w:val="22"/>
        </w:rPr>
        <w:t>Low/high testing rates</w:t>
      </w:r>
      <w:r w:rsidRPr="00693106">
        <w:rPr>
          <w:rStyle w:val="eop"/>
          <w:rFonts w:ascii="Segoe UI" w:hAnsi="Segoe UI" w:cs="Segoe UI"/>
          <w:sz w:val="22"/>
          <w:szCs w:val="22"/>
        </w:rPr>
        <w:t> </w:t>
      </w:r>
    </w:p>
    <w:p w14:paraId="6565EBF3" w14:textId="77777777" w:rsidR="004A5071" w:rsidRPr="00693106" w:rsidRDefault="004A5071" w:rsidP="00693106">
      <w:pPr>
        <w:pStyle w:val="paragraph"/>
        <w:numPr>
          <w:ilvl w:val="0"/>
          <w:numId w:val="10"/>
        </w:numPr>
        <w:spacing w:before="0" w:beforeAutospacing="0" w:after="120" w:afterAutospacing="0"/>
        <w:ind w:left="1215" w:firstLine="0"/>
        <w:textAlignment w:val="baseline"/>
        <w:rPr>
          <w:rFonts w:ascii="Segoe UI" w:hAnsi="Segoe UI" w:cs="Segoe UI"/>
          <w:sz w:val="22"/>
          <w:szCs w:val="22"/>
        </w:rPr>
      </w:pPr>
      <w:r w:rsidRPr="00693106">
        <w:rPr>
          <w:rStyle w:val="normaltextrun"/>
          <w:rFonts w:ascii="Segoe UI" w:hAnsi="Segoe UI" w:cs="Segoe UI"/>
          <w:sz w:val="22"/>
          <w:szCs w:val="22"/>
        </w:rPr>
        <w:t>Wastewater detections</w:t>
      </w:r>
      <w:r w:rsidRPr="00693106">
        <w:rPr>
          <w:rStyle w:val="eop"/>
          <w:rFonts w:ascii="Segoe UI" w:hAnsi="Segoe UI" w:cs="Segoe UI"/>
          <w:sz w:val="22"/>
          <w:szCs w:val="22"/>
        </w:rPr>
        <w:t> </w:t>
      </w:r>
    </w:p>
    <w:p w14:paraId="1219A4B1" w14:textId="77777777" w:rsidR="004A5071" w:rsidRPr="00693106" w:rsidRDefault="004A5071" w:rsidP="00693106">
      <w:pPr>
        <w:pStyle w:val="paragraph"/>
        <w:numPr>
          <w:ilvl w:val="0"/>
          <w:numId w:val="11"/>
        </w:numPr>
        <w:spacing w:before="0" w:beforeAutospacing="0" w:after="120" w:afterAutospacing="0"/>
        <w:ind w:left="1215" w:firstLine="0"/>
        <w:textAlignment w:val="baseline"/>
        <w:rPr>
          <w:rFonts w:ascii="Segoe UI" w:hAnsi="Segoe UI" w:cs="Segoe UI"/>
          <w:sz w:val="22"/>
          <w:szCs w:val="22"/>
        </w:rPr>
      </w:pPr>
      <w:r w:rsidRPr="00693106">
        <w:rPr>
          <w:rStyle w:val="normaltextrun"/>
          <w:rFonts w:ascii="Segoe UI" w:hAnsi="Segoe UI" w:cs="Segoe UI"/>
          <w:sz w:val="22"/>
          <w:szCs w:val="22"/>
        </w:rPr>
        <w:t>As cases increase – high prevalence estimates</w:t>
      </w:r>
      <w:r w:rsidRPr="00693106">
        <w:rPr>
          <w:rStyle w:val="eop"/>
          <w:rFonts w:ascii="Segoe UI" w:hAnsi="Segoe UI" w:cs="Segoe UI"/>
          <w:sz w:val="22"/>
          <w:szCs w:val="22"/>
        </w:rPr>
        <w:t> </w:t>
      </w:r>
    </w:p>
    <w:p w14:paraId="7CCFE4DA" w14:textId="77777777" w:rsidR="004A5071" w:rsidRPr="00693106" w:rsidRDefault="004A5071" w:rsidP="00693106">
      <w:pPr>
        <w:pStyle w:val="paragraph"/>
        <w:numPr>
          <w:ilvl w:val="0"/>
          <w:numId w:val="12"/>
        </w:numPr>
        <w:spacing w:before="0" w:beforeAutospacing="0" w:after="120" w:afterAutospacing="0"/>
        <w:ind w:left="1215" w:firstLine="0"/>
        <w:textAlignment w:val="baseline"/>
        <w:rPr>
          <w:rStyle w:val="eop"/>
          <w:rFonts w:ascii="Segoe UI" w:hAnsi="Segoe UI" w:cs="Segoe UI"/>
          <w:sz w:val="22"/>
          <w:szCs w:val="22"/>
        </w:rPr>
      </w:pPr>
      <w:r w:rsidRPr="00693106">
        <w:rPr>
          <w:rStyle w:val="normaltextrun"/>
          <w:rFonts w:ascii="Segoe UI" w:hAnsi="Segoe UI" w:cs="Segoe UI"/>
          <w:sz w:val="22"/>
          <w:szCs w:val="22"/>
        </w:rPr>
        <w:t>As booster vaccines are used – low uptake of vaccine booster shots </w:t>
      </w:r>
      <w:r w:rsidRPr="00693106">
        <w:rPr>
          <w:rStyle w:val="eop"/>
          <w:rFonts w:ascii="Segoe UI" w:hAnsi="Segoe UI" w:cs="Segoe UI"/>
          <w:sz w:val="22"/>
          <w:szCs w:val="22"/>
        </w:rPr>
        <w:t> </w:t>
      </w:r>
    </w:p>
    <w:p w14:paraId="4E8B7522" w14:textId="77777777" w:rsidR="004A5071" w:rsidRPr="00693106" w:rsidRDefault="004A5071" w:rsidP="00693106">
      <w:pPr>
        <w:pStyle w:val="paragraph"/>
        <w:numPr>
          <w:ilvl w:val="0"/>
          <w:numId w:val="12"/>
        </w:numPr>
        <w:spacing w:before="0" w:beforeAutospacing="0" w:after="120" w:afterAutospacing="0"/>
        <w:ind w:left="1213" w:firstLine="0"/>
        <w:textAlignment w:val="baseline"/>
        <w:rPr>
          <w:rStyle w:val="normaltextrun"/>
          <w:rFonts w:ascii="Segoe UI" w:hAnsi="Segoe UI" w:cs="Segoe UI"/>
          <w:sz w:val="22"/>
          <w:szCs w:val="22"/>
        </w:rPr>
      </w:pPr>
      <w:r w:rsidRPr="00693106">
        <w:rPr>
          <w:rStyle w:val="eop"/>
          <w:rFonts w:ascii="Segoe UI" w:hAnsi="Segoe UI" w:cs="Segoe UI"/>
          <w:sz w:val="22"/>
          <w:szCs w:val="22"/>
        </w:rPr>
        <w:t>Health behaviours; and adherence to testing, infection, prevention, and control requirements</w:t>
      </w:r>
    </w:p>
    <w:p w14:paraId="57196F98" w14:textId="77777777" w:rsidR="004A5071" w:rsidRPr="00693106" w:rsidRDefault="004A5071" w:rsidP="00693106">
      <w:pPr>
        <w:rPr>
          <w:rFonts w:eastAsia="Segoe UI" w:cs="Segoe UI"/>
          <w:sz w:val="22"/>
          <w:szCs w:val="22"/>
        </w:rPr>
      </w:pPr>
      <w:r w:rsidRPr="00693106">
        <w:rPr>
          <w:rFonts w:eastAsia="Segoe UI"/>
          <w:b/>
          <w:bCs/>
          <w:sz w:val="22"/>
          <w:szCs w:val="22"/>
        </w:rPr>
        <w:t>Underlying structural risk factors</w:t>
      </w:r>
      <w:r w:rsidRPr="00693106">
        <w:rPr>
          <w:rFonts w:eastAsia="Segoe UI"/>
          <w:sz w:val="22"/>
          <w:szCs w:val="22"/>
        </w:rPr>
        <w:t xml:space="preserve"> that could be considered as part of defining ‘population risk factors’ in the context of the COVID-19 pandemic include:</w:t>
      </w:r>
    </w:p>
    <w:p w14:paraId="3C365098" w14:textId="6DE888EC" w:rsidR="004A5071" w:rsidRPr="00693106" w:rsidRDefault="004A5071" w:rsidP="00693106">
      <w:pPr>
        <w:pStyle w:val="ListParagraph"/>
        <w:numPr>
          <w:ilvl w:val="0"/>
          <w:numId w:val="4"/>
        </w:numPr>
        <w:ind w:left="425" w:hanging="357"/>
        <w:contextualSpacing w:val="0"/>
        <w:rPr>
          <w:rFonts w:cs="Segoe UI"/>
          <w:sz w:val="22"/>
          <w:szCs w:val="22"/>
        </w:rPr>
      </w:pPr>
      <w:r w:rsidRPr="00693106">
        <w:rPr>
          <w:rFonts w:cs="Segoe UI"/>
          <w:b/>
          <w:bCs/>
          <w:sz w:val="22"/>
          <w:szCs w:val="22"/>
        </w:rPr>
        <w:t>Vaccine status</w:t>
      </w:r>
      <w:r w:rsidRPr="00693106">
        <w:rPr>
          <w:rFonts w:cs="Segoe UI"/>
          <w:sz w:val="22"/>
          <w:szCs w:val="22"/>
        </w:rPr>
        <w:t xml:space="preserve"> - Vaccination against COVID-19 is effective at preventing infection, symptoms, hospitalisation, severe disease, death, and reducing transmission. Vaccination therefore protects individuals and the health system from the impact of severe disease. However, vaccine effectiveness is reliant on several factors, such as time since full immunisation, interval between vaccines, virus variants, and an individual's immune function, and other host factors. Vaccinations do not eliminate the risk of transmission and breakthrough cases can still be highly infectious, particularly during the presymptomatic period at the beginning of their illness. Therefore, even those fully vaccinated who are at risk from structural vulnerabilities will experience more transmission and severity of illness and require more care and support.  </w:t>
      </w:r>
    </w:p>
    <w:p w14:paraId="51EBAEFD" w14:textId="619C5E90" w:rsidR="004A5071" w:rsidRPr="00693106" w:rsidRDefault="004A5071" w:rsidP="00693106">
      <w:pPr>
        <w:pStyle w:val="ListParagraph"/>
        <w:numPr>
          <w:ilvl w:val="0"/>
          <w:numId w:val="4"/>
        </w:numPr>
        <w:ind w:left="425" w:hanging="357"/>
        <w:contextualSpacing w:val="0"/>
        <w:rPr>
          <w:rFonts w:cs="Segoe UI"/>
          <w:sz w:val="22"/>
          <w:szCs w:val="22"/>
        </w:rPr>
      </w:pPr>
      <w:r w:rsidRPr="00693106">
        <w:rPr>
          <w:rFonts w:cs="Segoe UI"/>
          <w:b/>
          <w:bCs/>
          <w:sz w:val="22"/>
          <w:szCs w:val="22"/>
        </w:rPr>
        <w:t>Age</w:t>
      </w:r>
      <w:r w:rsidRPr="00693106">
        <w:rPr>
          <w:rFonts w:cs="Segoe UI"/>
          <w:sz w:val="22"/>
          <w:szCs w:val="22"/>
        </w:rPr>
        <w:t xml:space="preserve"> - Risk of poorer outcomes from COVID-19 is somewhat J-shaped, with very young children at slightly higher risk, 1–10-year-olds at lowest risk, and then an exponential increase in risk with advancing age. Young children are not generally efficient transmitters of COVID-19 (although sporadic superspreading events may occur with young index cases), while risk of transmission and exposure gradually increases, peaking in young adults with high levels of social mixing and behaviours conducive to transmission. </w:t>
      </w:r>
    </w:p>
    <w:p w14:paraId="2B78109E" w14:textId="233F5106" w:rsidR="004A5071" w:rsidRPr="00693106" w:rsidRDefault="004A5071" w:rsidP="00693106">
      <w:pPr>
        <w:pStyle w:val="ListParagraph"/>
        <w:numPr>
          <w:ilvl w:val="0"/>
          <w:numId w:val="4"/>
        </w:numPr>
        <w:ind w:left="425" w:hanging="357"/>
        <w:contextualSpacing w:val="0"/>
        <w:rPr>
          <w:rFonts w:cs="Segoe UI"/>
          <w:sz w:val="22"/>
          <w:szCs w:val="22"/>
        </w:rPr>
      </w:pPr>
      <w:r w:rsidRPr="00693106">
        <w:rPr>
          <w:rFonts w:cs="Segoe UI"/>
          <w:b/>
          <w:bCs/>
          <w:sz w:val="22"/>
          <w:szCs w:val="22"/>
        </w:rPr>
        <w:t>Sex/gender</w:t>
      </w:r>
      <w:r w:rsidRPr="00693106">
        <w:rPr>
          <w:rFonts w:cs="Segoe UI"/>
          <w:sz w:val="22"/>
          <w:szCs w:val="22"/>
        </w:rPr>
        <w:t xml:space="preserve"> - Men are at higher risk for poor outcomes, transmission, and exposure to COVID-19 but women are over-represented in essential work in high-risk healthcare and social care settings and are more likely to suffer secondary effects such as family violence, loss of income, and inordinate domestic and household workloads due to parenting and children not being </w:t>
      </w:r>
      <w:r w:rsidRPr="00693106">
        <w:rPr>
          <w:rFonts w:cs="Segoe UI"/>
          <w:sz w:val="22"/>
          <w:szCs w:val="22"/>
        </w:rPr>
        <w:lastRenderedPageBreak/>
        <w:t>able to attend school. The LGBTQ+ community experience more health disparities compared to their straight counterparts, in part due to sexual stigma and discrimination. These health disparities also make them more likely to be exposed (i.e., through housing instability or overcrowding), and more susceptible to infection.</w:t>
      </w:r>
      <w:r w:rsidRPr="00693106">
        <w:rPr>
          <w:rFonts w:cs="Segoe UI"/>
          <w:sz w:val="22"/>
          <w:szCs w:val="22"/>
          <w:vertAlign w:val="superscript"/>
        </w:rPr>
        <w:footnoteReference w:id="14"/>
      </w:r>
    </w:p>
    <w:p w14:paraId="17DB77F3" w14:textId="18F6D3A9" w:rsidR="004A5071" w:rsidRPr="00693106" w:rsidRDefault="004A5071" w:rsidP="00693106">
      <w:pPr>
        <w:pStyle w:val="ListParagraph"/>
        <w:numPr>
          <w:ilvl w:val="0"/>
          <w:numId w:val="4"/>
        </w:numPr>
        <w:ind w:left="425" w:hanging="357"/>
        <w:contextualSpacing w:val="0"/>
        <w:rPr>
          <w:rFonts w:cs="Segoe UI"/>
          <w:sz w:val="22"/>
          <w:szCs w:val="22"/>
        </w:rPr>
      </w:pPr>
      <w:r w:rsidRPr="00693106">
        <w:rPr>
          <w:rFonts w:eastAsia="Segoe UI" w:cs="Segoe UI"/>
          <w:b/>
          <w:bCs/>
          <w:sz w:val="22"/>
          <w:szCs w:val="22"/>
        </w:rPr>
        <w:t>P</w:t>
      </w:r>
      <w:r w:rsidRPr="00693106">
        <w:rPr>
          <w:rFonts w:cs="Segoe UI"/>
          <w:b/>
          <w:bCs/>
          <w:sz w:val="22"/>
          <w:szCs w:val="22"/>
        </w:rPr>
        <w:t>regnancy</w:t>
      </w:r>
      <w:r w:rsidRPr="00693106">
        <w:rPr>
          <w:rFonts w:cs="Segoe UI"/>
          <w:sz w:val="22"/>
          <w:szCs w:val="22"/>
        </w:rPr>
        <w:t xml:space="preserve"> – Pregnancy is associated with worse outcomes from COVID-19. Pregnancy is associated with a higher rate of hospitalisation, transfer to ICU, ventilation and ECMO, and a 70% higher mortality risk compared to non-pregnant women.</w:t>
      </w:r>
      <w:r w:rsidRPr="00693106">
        <w:rPr>
          <w:rFonts w:cs="Segoe UI"/>
          <w:sz w:val="22"/>
          <w:szCs w:val="22"/>
          <w:vertAlign w:val="superscript"/>
        </w:rPr>
        <w:footnoteReference w:id="15"/>
      </w:r>
      <w:r w:rsidRPr="00693106">
        <w:rPr>
          <w:rFonts w:cs="Segoe UI"/>
          <w:sz w:val="22"/>
          <w:szCs w:val="22"/>
        </w:rPr>
        <w:t xml:space="preserve"> Vaccination substantially reduces the risk of severe outcomes for pregnant women. In one study among women with COVID-19, approximately one third (31.5%) of pregnant women were reported to have been hospitalized compared with 5.8% of nonpregnant women. After adjusting for age, presence of underlying medical conditions, and race/ethnicity, pregnant women were significantly more likely to be admitted to the intensive care unit (ICU).</w:t>
      </w:r>
      <w:r w:rsidRPr="00693106">
        <w:rPr>
          <w:rFonts w:cs="Segoe UI"/>
          <w:sz w:val="22"/>
          <w:szCs w:val="22"/>
          <w:vertAlign w:val="superscript"/>
        </w:rPr>
        <w:footnoteReference w:id="16"/>
      </w:r>
      <w:r w:rsidRPr="00693106">
        <w:rPr>
          <w:rFonts w:cs="Segoe UI"/>
          <w:sz w:val="22"/>
          <w:szCs w:val="22"/>
          <w:vertAlign w:val="superscript"/>
        </w:rPr>
        <w:t xml:space="preserve"> </w:t>
      </w:r>
    </w:p>
    <w:p w14:paraId="50E25CA4" w14:textId="2C003A52" w:rsidR="004A5071" w:rsidRPr="00693106" w:rsidRDefault="004A5071" w:rsidP="00693106">
      <w:pPr>
        <w:pStyle w:val="ListParagraph"/>
        <w:numPr>
          <w:ilvl w:val="0"/>
          <w:numId w:val="4"/>
        </w:numPr>
        <w:ind w:left="425" w:hanging="357"/>
        <w:contextualSpacing w:val="0"/>
        <w:rPr>
          <w:rFonts w:cs="Segoe UI"/>
          <w:sz w:val="22"/>
          <w:szCs w:val="22"/>
        </w:rPr>
      </w:pPr>
      <w:r w:rsidRPr="00693106">
        <w:rPr>
          <w:rFonts w:cs="Segoe UI"/>
          <w:b/>
          <w:bCs/>
          <w:sz w:val="22"/>
          <w:szCs w:val="22"/>
        </w:rPr>
        <w:t>Ethnicity</w:t>
      </w:r>
      <w:r w:rsidRPr="00693106">
        <w:rPr>
          <w:rFonts w:cs="Segoe UI"/>
          <w:sz w:val="22"/>
          <w:szCs w:val="22"/>
        </w:rPr>
        <w:t xml:space="preserve"> - Historically, Māori and Pacific communities both in Aotearoa New Zealand and in the Pacific have had worse experiences of pandemics. They also have a higher risk of poor outcomes due to having higher likelihood that socially determined health conditions, pre-existing co-morbidities, systemic racism, and discrimination, and/or historic mistrust in the healthcare system are serious barriers to accessing healthcare, testing and vaccination services. </w:t>
      </w:r>
    </w:p>
    <w:p w14:paraId="47B5249F" w14:textId="45FB4ED4" w:rsidR="004A5071" w:rsidRPr="00693106" w:rsidRDefault="004A5071" w:rsidP="00693106">
      <w:pPr>
        <w:pStyle w:val="ListParagraph"/>
        <w:numPr>
          <w:ilvl w:val="0"/>
          <w:numId w:val="4"/>
        </w:numPr>
        <w:ind w:left="425" w:hanging="357"/>
        <w:contextualSpacing w:val="0"/>
        <w:rPr>
          <w:rFonts w:cs="Segoe UI"/>
          <w:sz w:val="22"/>
          <w:szCs w:val="22"/>
        </w:rPr>
      </w:pPr>
      <w:r w:rsidRPr="00693106">
        <w:rPr>
          <w:rFonts w:cs="Segoe UI"/>
          <w:b/>
          <w:bCs/>
          <w:sz w:val="22"/>
          <w:szCs w:val="22"/>
        </w:rPr>
        <w:t>Co-morbidities</w:t>
      </w:r>
      <w:r w:rsidRPr="00693106">
        <w:rPr>
          <w:rFonts w:cs="Segoe UI"/>
          <w:sz w:val="22"/>
          <w:szCs w:val="22"/>
        </w:rPr>
        <w:t xml:space="preserve"> – pre-existing health conditions, such as cardiovascular disease, respiratory disease, diabetes, inflammatory conditions, immunodeficient states and autoimmune diseases, increase the risk of poor outcomes from COVID-19, including in children with these chronic conditions.</w:t>
      </w:r>
    </w:p>
    <w:p w14:paraId="4DD4A2A4" w14:textId="77777777" w:rsidR="001403C9" w:rsidRPr="00693106" w:rsidRDefault="004A5071" w:rsidP="00693106">
      <w:pPr>
        <w:pStyle w:val="ListParagraph"/>
        <w:numPr>
          <w:ilvl w:val="0"/>
          <w:numId w:val="4"/>
        </w:numPr>
        <w:ind w:left="425" w:hanging="357"/>
        <w:contextualSpacing w:val="0"/>
        <w:rPr>
          <w:rFonts w:cs="Segoe UI"/>
          <w:sz w:val="22"/>
          <w:szCs w:val="22"/>
        </w:rPr>
      </w:pPr>
      <w:r w:rsidRPr="00693106">
        <w:rPr>
          <w:rFonts w:cs="Segoe UI"/>
          <w:b/>
          <w:bCs/>
          <w:sz w:val="22"/>
          <w:szCs w:val="22"/>
        </w:rPr>
        <w:t>Disability</w:t>
      </w:r>
      <w:r w:rsidRPr="00693106">
        <w:rPr>
          <w:rFonts w:cs="Segoe UI"/>
          <w:sz w:val="22"/>
          <w:szCs w:val="22"/>
        </w:rPr>
        <w:t xml:space="preserve"> – those with an intellectual or physical disability, or living in shared residential care homes, may be at higher risk of transmission and poor clinical outcomes of COVID-19. The reasons are multifactorial and may include shared living, accessibility to services, and interactions with more healthcare providers. </w:t>
      </w:r>
    </w:p>
    <w:p w14:paraId="08D53751" w14:textId="1B23F758" w:rsidR="004A5071" w:rsidRPr="00693106" w:rsidRDefault="004A5071" w:rsidP="00693106">
      <w:pPr>
        <w:pStyle w:val="ListParagraph"/>
        <w:numPr>
          <w:ilvl w:val="0"/>
          <w:numId w:val="4"/>
        </w:numPr>
        <w:ind w:left="425" w:hanging="357"/>
        <w:contextualSpacing w:val="0"/>
        <w:rPr>
          <w:rFonts w:cs="Segoe UI"/>
          <w:sz w:val="22"/>
          <w:szCs w:val="22"/>
        </w:rPr>
      </w:pPr>
      <w:r w:rsidRPr="00693106">
        <w:rPr>
          <w:rFonts w:cs="Segoe UI"/>
          <w:b/>
          <w:bCs/>
          <w:sz w:val="22"/>
          <w:szCs w:val="22"/>
        </w:rPr>
        <w:t>Mental health and addictions</w:t>
      </w:r>
      <w:r w:rsidRPr="00693106">
        <w:rPr>
          <w:rFonts w:cs="Segoe UI"/>
          <w:sz w:val="22"/>
          <w:szCs w:val="22"/>
        </w:rPr>
        <w:t xml:space="preserve"> – Mental health and addiction issues are pre-existing health conditions that place people at higher risk of serious outcomes or illness. People with mental health and addictions have two to three times the risk of dying before the age of 65 compared to the general population. Smoking, and synthetic and methamphetamine drug use are major co-morbidities and risk factors for transmission and exposure to COVID-19. The reasons for these associations have not yet been fully explained but are thought to be based on causal mechanisms and shared determinants.</w:t>
      </w:r>
      <w:r w:rsidRPr="00693106">
        <w:rPr>
          <w:sz w:val="22"/>
          <w:szCs w:val="22"/>
          <w:vertAlign w:val="superscript"/>
        </w:rPr>
        <w:footnoteReference w:id="17"/>
      </w:r>
      <w:r w:rsidRPr="00693106">
        <w:rPr>
          <w:rFonts w:cs="Segoe UI"/>
          <w:sz w:val="22"/>
          <w:szCs w:val="22"/>
          <w:vertAlign w:val="superscript"/>
        </w:rPr>
        <w:t xml:space="preserve"> </w:t>
      </w:r>
      <w:r w:rsidRPr="00693106">
        <w:rPr>
          <w:rFonts w:cs="Segoe UI"/>
          <w:sz w:val="22"/>
          <w:szCs w:val="22"/>
        </w:rPr>
        <w:t>Causal mechanisms include a variety of biological, psychological, pharmacological, and service delivery pathways, combined with racism and discrimination.</w:t>
      </w:r>
      <w:r w:rsidRPr="00693106">
        <w:rPr>
          <w:rFonts w:cs="Segoe UI"/>
          <w:sz w:val="22"/>
          <w:szCs w:val="22"/>
          <w:vertAlign w:val="superscript"/>
        </w:rPr>
        <w:footnoteReference w:id="18"/>
      </w:r>
      <w:r w:rsidRPr="00693106">
        <w:rPr>
          <w:rFonts w:cs="Segoe UI"/>
          <w:sz w:val="22"/>
          <w:szCs w:val="22"/>
          <w:vertAlign w:val="superscript"/>
        </w:rPr>
        <w:t xml:space="preserve"> </w:t>
      </w:r>
      <w:r w:rsidRPr="00693106">
        <w:rPr>
          <w:rFonts w:cs="Segoe UI"/>
          <w:sz w:val="22"/>
          <w:szCs w:val="22"/>
        </w:rPr>
        <w:t xml:space="preserve">Other factors leading to potentially greater risk of COVID-19 and poor clinical </w:t>
      </w:r>
      <w:r w:rsidRPr="00693106">
        <w:rPr>
          <w:rFonts w:cs="Segoe UI"/>
          <w:sz w:val="22"/>
          <w:szCs w:val="22"/>
        </w:rPr>
        <w:lastRenderedPageBreak/>
        <w:t xml:space="preserve">outcomes include appropriate and considerate provision of testing and other COVID-19-related services. </w:t>
      </w:r>
    </w:p>
    <w:p w14:paraId="0646EDB9" w14:textId="7FBE5845" w:rsidR="004A5071" w:rsidRPr="00693106" w:rsidRDefault="004A5071" w:rsidP="00693106">
      <w:pPr>
        <w:pStyle w:val="ListParagraph"/>
        <w:numPr>
          <w:ilvl w:val="0"/>
          <w:numId w:val="4"/>
        </w:numPr>
        <w:ind w:left="425" w:hanging="357"/>
        <w:contextualSpacing w:val="0"/>
        <w:rPr>
          <w:rFonts w:cs="Segoe UI"/>
          <w:sz w:val="22"/>
          <w:szCs w:val="22"/>
        </w:rPr>
      </w:pPr>
      <w:r w:rsidRPr="00693106">
        <w:rPr>
          <w:rFonts w:cs="Segoe UI"/>
          <w:b/>
          <w:bCs/>
          <w:sz w:val="22"/>
          <w:szCs w:val="22"/>
        </w:rPr>
        <w:t>Material deprivation and poverty</w:t>
      </w:r>
      <w:r w:rsidRPr="00693106">
        <w:rPr>
          <w:rFonts w:cs="Segoe UI"/>
          <w:sz w:val="22"/>
          <w:szCs w:val="22"/>
        </w:rPr>
        <w:t xml:space="preserve"> – are highly correlated to both poor outcomes and transmission risk for COVID-19. Those living with socio-economic disadvantages and inequalities are more likely to experience poorer health, housing and education, and lower income.</w:t>
      </w:r>
    </w:p>
    <w:p w14:paraId="1470B44E" w14:textId="0E9B0A39" w:rsidR="004A5071" w:rsidRPr="00693106" w:rsidRDefault="004A5071" w:rsidP="00693106">
      <w:pPr>
        <w:pStyle w:val="ListParagraph"/>
        <w:numPr>
          <w:ilvl w:val="0"/>
          <w:numId w:val="4"/>
        </w:numPr>
        <w:ind w:left="425" w:hanging="357"/>
        <w:contextualSpacing w:val="0"/>
        <w:rPr>
          <w:rFonts w:cs="Segoe UI"/>
          <w:sz w:val="22"/>
          <w:szCs w:val="22"/>
        </w:rPr>
      </w:pPr>
      <w:r w:rsidRPr="00693106">
        <w:rPr>
          <w:rFonts w:cs="Segoe UI"/>
          <w:b/>
          <w:bCs/>
          <w:sz w:val="22"/>
          <w:szCs w:val="22"/>
        </w:rPr>
        <w:t>Access to health care</w:t>
      </w:r>
      <w:r w:rsidRPr="00693106">
        <w:rPr>
          <w:rFonts w:cs="Segoe UI"/>
          <w:sz w:val="22"/>
          <w:szCs w:val="22"/>
        </w:rPr>
        <w:t xml:space="preserve"> – Appropriate local, culturally-relevant health care services that provide the range of services the community needs are essential to support public health initiatives and preventative healthcare programmes. These include access to COVID-19 specific health care services.</w:t>
      </w:r>
    </w:p>
    <w:p w14:paraId="1EED4A4E" w14:textId="7214221B" w:rsidR="004A5071" w:rsidRPr="00693106" w:rsidRDefault="004A5071" w:rsidP="00693106">
      <w:pPr>
        <w:pStyle w:val="ListParagraph"/>
        <w:numPr>
          <w:ilvl w:val="0"/>
          <w:numId w:val="4"/>
        </w:numPr>
        <w:ind w:left="425" w:hanging="357"/>
        <w:contextualSpacing w:val="0"/>
        <w:rPr>
          <w:rFonts w:cs="Segoe UI"/>
          <w:sz w:val="22"/>
          <w:szCs w:val="22"/>
        </w:rPr>
      </w:pPr>
      <w:r w:rsidRPr="00693106">
        <w:rPr>
          <w:rFonts w:cs="Segoe UI"/>
          <w:b/>
          <w:bCs/>
          <w:sz w:val="22"/>
          <w:szCs w:val="22"/>
        </w:rPr>
        <w:t>Timely COVID-19 testing</w:t>
      </w:r>
      <w:r w:rsidRPr="00693106">
        <w:rPr>
          <w:rFonts w:cs="Segoe UI"/>
          <w:sz w:val="22"/>
          <w:szCs w:val="22"/>
        </w:rPr>
        <w:t xml:space="preserve"> – Symptomatic individuals undertaking testing as soon as symptoms emerge reduces the chance of widespread onwards transmission as isolation of the case and effective contact tracing can be undertaken. The timeliness of testing is dependent on multiple variables, including access to testing, lab capacity, and willingness to be tested (including the perceived consequences of a positive test).</w:t>
      </w:r>
    </w:p>
    <w:p w14:paraId="43BB9F6B" w14:textId="4DA7489A" w:rsidR="004A5071" w:rsidRPr="00693106" w:rsidRDefault="004A5071" w:rsidP="00693106">
      <w:pPr>
        <w:pStyle w:val="ListParagraph"/>
        <w:numPr>
          <w:ilvl w:val="0"/>
          <w:numId w:val="4"/>
        </w:numPr>
        <w:ind w:left="425" w:hanging="357"/>
        <w:contextualSpacing w:val="0"/>
        <w:rPr>
          <w:rFonts w:cs="Segoe UI"/>
          <w:sz w:val="22"/>
          <w:szCs w:val="22"/>
        </w:rPr>
      </w:pPr>
      <w:r w:rsidRPr="00693106">
        <w:rPr>
          <w:rFonts w:cs="Segoe UI"/>
          <w:b/>
          <w:bCs/>
          <w:sz w:val="22"/>
          <w:szCs w:val="22"/>
        </w:rPr>
        <w:t>Occupation</w:t>
      </w:r>
      <w:r w:rsidRPr="00693106">
        <w:rPr>
          <w:rFonts w:cs="Segoe UI"/>
          <w:sz w:val="22"/>
          <w:szCs w:val="22"/>
        </w:rPr>
        <w:t xml:space="preserve"> – Workplaces and whole of life occupational roles, are significant influences on likelihood of exposure and transmission risk for COVID-19. Occupational roles of work and unpaid occupations are both similarly implicated due to the activities involved in them. For example, transport workers who travel across boundaries, people attending a faith-based event or attending a gym, are all occupations that have risk due to the environments and activities involved. Health and safety measures are pertinent, such as proximity to others, precarious and informal work contracts, in any setting. Occupational status and factors such as low pay, inadequate access to sick pay, financial insecurity, and unemployment are also considerations for risk. Working in occupations requiring vaccine certification or with workplace vaccination policies is likely to reduce risk of exposure and transmission.</w:t>
      </w:r>
    </w:p>
    <w:p w14:paraId="127A8211" w14:textId="02533F42" w:rsidR="004A5071" w:rsidRPr="00693106" w:rsidRDefault="004A5071" w:rsidP="00693106">
      <w:pPr>
        <w:pStyle w:val="ListParagraph"/>
        <w:numPr>
          <w:ilvl w:val="0"/>
          <w:numId w:val="4"/>
        </w:numPr>
        <w:ind w:left="425" w:hanging="357"/>
        <w:contextualSpacing w:val="0"/>
        <w:rPr>
          <w:rFonts w:cs="Segoe UI"/>
          <w:sz w:val="22"/>
          <w:szCs w:val="22"/>
        </w:rPr>
      </w:pPr>
      <w:r w:rsidRPr="00693106">
        <w:rPr>
          <w:rFonts w:cs="Segoe UI"/>
          <w:b/>
          <w:bCs/>
          <w:sz w:val="22"/>
          <w:szCs w:val="22"/>
        </w:rPr>
        <w:t>Household tenure type and characteristics</w:t>
      </w:r>
      <w:r w:rsidRPr="00693106">
        <w:rPr>
          <w:rFonts w:cs="Segoe UI"/>
          <w:sz w:val="22"/>
          <w:szCs w:val="22"/>
        </w:rPr>
        <w:t> - Overcrowded houses lacking adequate amenities for separation of cases and/or contacts from other household members, poor ventilation, and multigenerational households where different risks overlap. Inability to access food and other essentials deliveries due to geographical location may increase risk of onwards transmission due to cases/contacts leaving the place of isolation.</w:t>
      </w:r>
    </w:p>
    <w:p w14:paraId="2783F2B3" w14:textId="19E1BC12" w:rsidR="004A5071" w:rsidRPr="00693106" w:rsidRDefault="004A5071" w:rsidP="00693106">
      <w:pPr>
        <w:pStyle w:val="ListParagraph"/>
        <w:numPr>
          <w:ilvl w:val="0"/>
          <w:numId w:val="4"/>
        </w:numPr>
        <w:ind w:left="425" w:hanging="357"/>
        <w:contextualSpacing w:val="0"/>
        <w:rPr>
          <w:rFonts w:cs="Segoe UI"/>
          <w:sz w:val="22"/>
          <w:szCs w:val="22"/>
        </w:rPr>
      </w:pPr>
      <w:r w:rsidRPr="00693106">
        <w:rPr>
          <w:rFonts w:cs="Segoe UI"/>
          <w:b/>
          <w:bCs/>
          <w:sz w:val="22"/>
          <w:szCs w:val="22"/>
        </w:rPr>
        <w:t>High-risk settings</w:t>
      </w:r>
      <w:r w:rsidRPr="00693106">
        <w:rPr>
          <w:rFonts w:cs="Segoe UI"/>
          <w:sz w:val="22"/>
          <w:szCs w:val="22"/>
        </w:rPr>
        <w:t xml:space="preserve"> - Settings with poor ventilation and lack of space for physical distancing, and/or large numbers of people who are at high risk of poor outcomes from COVID-19 (e.g., aged residential care facilities, hospitals, shelters, and prisons).</w:t>
      </w:r>
    </w:p>
    <w:p w14:paraId="0C02917A" w14:textId="77777777" w:rsidR="004A5071" w:rsidRPr="00693106" w:rsidRDefault="004A5071" w:rsidP="00693106">
      <w:pPr>
        <w:pStyle w:val="ListParagraph"/>
        <w:numPr>
          <w:ilvl w:val="0"/>
          <w:numId w:val="4"/>
        </w:numPr>
        <w:ind w:left="425" w:hanging="357"/>
        <w:contextualSpacing w:val="0"/>
        <w:rPr>
          <w:rFonts w:cs="Segoe UI"/>
          <w:sz w:val="22"/>
          <w:szCs w:val="22"/>
        </w:rPr>
      </w:pPr>
      <w:r w:rsidRPr="00693106">
        <w:rPr>
          <w:rFonts w:cs="Segoe UI"/>
          <w:b/>
          <w:bCs/>
          <w:sz w:val="22"/>
          <w:szCs w:val="22"/>
        </w:rPr>
        <w:t xml:space="preserve">Spatial distribution of vaccination centres, testing services and other essential services </w:t>
      </w:r>
      <w:r w:rsidRPr="00693106">
        <w:rPr>
          <w:rFonts w:cs="Segoe UI"/>
          <w:sz w:val="22"/>
          <w:szCs w:val="22"/>
        </w:rPr>
        <w:t xml:space="preserve">– inadequate access to vaccination and testing centres, health, and social services and other essential services increase all COVID-19 related risks and of poor outcomes. </w:t>
      </w:r>
    </w:p>
    <w:p w14:paraId="5993A922" w14:textId="77777777" w:rsidR="004A5071" w:rsidRPr="00693106" w:rsidRDefault="004A5071" w:rsidP="00693106">
      <w:pPr>
        <w:pStyle w:val="paragraph"/>
        <w:spacing w:before="0" w:beforeAutospacing="0" w:after="120" w:afterAutospacing="0"/>
        <w:rPr>
          <w:rFonts w:ascii="Segoe UI" w:hAnsi="Segoe UI" w:cs="Segoe UI"/>
          <w:sz w:val="22"/>
          <w:szCs w:val="22"/>
        </w:rPr>
      </w:pPr>
      <w:r w:rsidRPr="00693106">
        <w:rPr>
          <w:rStyle w:val="normaltextrun"/>
          <w:rFonts w:ascii="Segoe UI" w:hAnsi="Segoe UI" w:cs="Segoe UI"/>
          <w:sz w:val="22"/>
          <w:szCs w:val="22"/>
        </w:rPr>
        <w:t>Underlying structural risk factors are intersectional. They layer over and compound the effects of other risk factors on individuals and communities.</w:t>
      </w:r>
    </w:p>
    <w:p w14:paraId="10CC5B34" w14:textId="77777777" w:rsidR="004A5071" w:rsidRPr="00682BC1" w:rsidRDefault="004A5071" w:rsidP="007C61EA">
      <w:pPr>
        <w:pStyle w:val="Heading3"/>
      </w:pPr>
      <w:bookmarkStart w:id="35" w:name="_Toc90411207"/>
      <w:r w:rsidRPr="00682BC1">
        <w:lastRenderedPageBreak/>
        <w:t>Method for monitoring structural, population and community risk factors against COVID-19 specific risk</w:t>
      </w:r>
      <w:bookmarkEnd w:id="35"/>
    </w:p>
    <w:p w14:paraId="0AD38D98" w14:textId="77777777" w:rsidR="004A5071" w:rsidRPr="00E74B50" w:rsidRDefault="004A5071" w:rsidP="004A5071">
      <w:pPr>
        <w:rPr>
          <w:rFonts w:eastAsia="Calibri" w:cs="Segoe UI"/>
          <w:sz w:val="22"/>
          <w:szCs w:val="22"/>
        </w:rPr>
      </w:pPr>
      <w:r w:rsidRPr="00E74B50">
        <w:rPr>
          <w:rFonts w:eastAsia="Calibri" w:cs="Segoe UI"/>
          <w:sz w:val="22"/>
          <w:szCs w:val="22"/>
        </w:rPr>
        <w:t xml:space="preserve">For the surveillance implementation plan, a matrix is under development identify geographic regions and population groups that are exposed to underlying structural risk factors and their relation to COVID-19 specific risk. Surveillance data will be combined with datasets that capture socioeconomic, demographic, heath service use and spatial access of services. </w:t>
      </w:r>
    </w:p>
    <w:p w14:paraId="70EBC06E" w14:textId="77777777" w:rsidR="004A5071" w:rsidRPr="00E74B50" w:rsidRDefault="004A5071" w:rsidP="004A5071">
      <w:pPr>
        <w:rPr>
          <w:rFonts w:eastAsiaTheme="minorEastAsia" w:cs="Segoe UI"/>
          <w:sz w:val="22"/>
          <w:szCs w:val="22"/>
        </w:rPr>
      </w:pPr>
      <w:r w:rsidRPr="00E74B50">
        <w:rPr>
          <w:rFonts w:eastAsia="Calibri" w:cs="Segoe UI"/>
          <w:sz w:val="22"/>
          <w:szCs w:val="22"/>
        </w:rPr>
        <w:t>There will be a matrix of different representations of potential structural vulnerabilities. Surveillance will be focused on finding where the regions of that matrix correlate with COVID-19 specific risks that can change, including:</w:t>
      </w:r>
    </w:p>
    <w:p w14:paraId="1F422F5A" w14:textId="77777777" w:rsidR="004A5071" w:rsidRPr="00E74B50" w:rsidRDefault="004A5071" w:rsidP="000B069A">
      <w:pPr>
        <w:pStyle w:val="ListParagraph"/>
        <w:numPr>
          <w:ilvl w:val="2"/>
          <w:numId w:val="13"/>
        </w:numPr>
        <w:ind w:left="1315" w:hanging="181"/>
        <w:contextualSpacing w:val="0"/>
        <w:rPr>
          <w:rFonts w:eastAsiaTheme="minorEastAsia" w:cs="Segoe UI"/>
          <w:sz w:val="22"/>
          <w:szCs w:val="22"/>
        </w:rPr>
      </w:pPr>
      <w:r w:rsidRPr="00E74B50">
        <w:rPr>
          <w:rFonts w:cs="Segoe UI"/>
          <w:sz w:val="22"/>
          <w:szCs w:val="22"/>
        </w:rPr>
        <w:t>Total effective immunity</w:t>
      </w:r>
    </w:p>
    <w:p w14:paraId="491F5F0B" w14:textId="77777777" w:rsidR="004A5071" w:rsidRPr="00E74B50" w:rsidRDefault="004A5071" w:rsidP="000B069A">
      <w:pPr>
        <w:pStyle w:val="ListParagraph"/>
        <w:numPr>
          <w:ilvl w:val="2"/>
          <w:numId w:val="13"/>
        </w:numPr>
        <w:ind w:left="1315" w:hanging="181"/>
        <w:contextualSpacing w:val="0"/>
        <w:rPr>
          <w:rFonts w:eastAsiaTheme="minorEastAsia" w:cs="Segoe UI"/>
          <w:sz w:val="22"/>
          <w:szCs w:val="22"/>
        </w:rPr>
      </w:pPr>
      <w:r w:rsidRPr="00E74B50">
        <w:rPr>
          <w:rFonts w:eastAsia="Calibri" w:cs="Segoe UI"/>
          <w:sz w:val="22"/>
          <w:szCs w:val="22"/>
        </w:rPr>
        <w:t>Low testing rates</w:t>
      </w:r>
    </w:p>
    <w:p w14:paraId="538E108C" w14:textId="77777777" w:rsidR="004A5071" w:rsidRPr="00E74B50" w:rsidRDefault="004A5071" w:rsidP="000B069A">
      <w:pPr>
        <w:pStyle w:val="ListParagraph"/>
        <w:numPr>
          <w:ilvl w:val="2"/>
          <w:numId w:val="13"/>
        </w:numPr>
        <w:ind w:left="1315" w:hanging="181"/>
        <w:contextualSpacing w:val="0"/>
        <w:rPr>
          <w:rFonts w:eastAsiaTheme="minorEastAsia" w:cs="Segoe UI"/>
          <w:sz w:val="22"/>
          <w:szCs w:val="22"/>
        </w:rPr>
      </w:pPr>
      <w:r w:rsidRPr="00E74B50">
        <w:rPr>
          <w:rFonts w:eastAsia="Calibri" w:cs="Segoe UI"/>
          <w:sz w:val="22"/>
          <w:szCs w:val="22"/>
        </w:rPr>
        <w:t>Low MIQ capacity/likelihood of adherence to community-based self-isolation</w:t>
      </w:r>
    </w:p>
    <w:p w14:paraId="0C1DA5C0" w14:textId="77777777" w:rsidR="004A5071" w:rsidRPr="00E74B50" w:rsidRDefault="004A5071" w:rsidP="000B069A">
      <w:pPr>
        <w:pStyle w:val="ListParagraph"/>
        <w:numPr>
          <w:ilvl w:val="2"/>
          <w:numId w:val="13"/>
        </w:numPr>
        <w:ind w:left="1315" w:hanging="181"/>
        <w:contextualSpacing w:val="0"/>
        <w:rPr>
          <w:rFonts w:eastAsiaTheme="minorEastAsia" w:cs="Segoe UI"/>
          <w:sz w:val="22"/>
          <w:szCs w:val="22"/>
        </w:rPr>
      </w:pPr>
      <w:r w:rsidRPr="00E74B50">
        <w:rPr>
          <w:rFonts w:eastAsia="Calibri" w:cs="Segoe UI"/>
          <w:sz w:val="22"/>
          <w:szCs w:val="22"/>
        </w:rPr>
        <w:t>(Possibly) consistent (multiple positives temporally and/or geographically) or quantitative increase in wastewater detection</w:t>
      </w:r>
    </w:p>
    <w:p w14:paraId="686C76E3" w14:textId="77777777" w:rsidR="004A5071" w:rsidRPr="00E74B50" w:rsidRDefault="004A5071" w:rsidP="000B069A">
      <w:pPr>
        <w:pStyle w:val="ListParagraph"/>
        <w:numPr>
          <w:ilvl w:val="2"/>
          <w:numId w:val="13"/>
        </w:numPr>
        <w:ind w:left="1315" w:hanging="181"/>
        <w:contextualSpacing w:val="0"/>
        <w:rPr>
          <w:rFonts w:eastAsiaTheme="minorEastAsia" w:cs="Segoe UI"/>
          <w:sz w:val="22"/>
          <w:szCs w:val="22"/>
        </w:rPr>
      </w:pPr>
      <w:r w:rsidRPr="00E74B50">
        <w:rPr>
          <w:rFonts w:eastAsia="Calibri" w:cs="Segoe UI"/>
          <w:sz w:val="22"/>
          <w:szCs w:val="22"/>
        </w:rPr>
        <w:t>(Future) high prevalence estimates</w:t>
      </w:r>
    </w:p>
    <w:p w14:paraId="2419CEE3" w14:textId="77777777" w:rsidR="004A5071" w:rsidRPr="00E74B50" w:rsidRDefault="004A5071" w:rsidP="000B069A">
      <w:pPr>
        <w:pStyle w:val="ListParagraph"/>
        <w:numPr>
          <w:ilvl w:val="2"/>
          <w:numId w:val="13"/>
        </w:numPr>
        <w:ind w:left="1315" w:hanging="181"/>
        <w:contextualSpacing w:val="0"/>
        <w:rPr>
          <w:rFonts w:eastAsiaTheme="minorEastAsia" w:cs="Segoe UI"/>
          <w:sz w:val="22"/>
          <w:szCs w:val="22"/>
        </w:rPr>
      </w:pPr>
      <w:r w:rsidRPr="00E74B50">
        <w:rPr>
          <w:rFonts w:eastAsia="Calibri" w:cs="Segoe UI"/>
          <w:sz w:val="22"/>
          <w:szCs w:val="22"/>
        </w:rPr>
        <w:t xml:space="preserve">(Future) low uptake of vaccine booster shots </w:t>
      </w:r>
    </w:p>
    <w:p w14:paraId="34028B69" w14:textId="651A7B64" w:rsidR="004A5071" w:rsidRPr="00E74B50" w:rsidRDefault="004A5071" w:rsidP="000B069A">
      <w:pPr>
        <w:pStyle w:val="ListParagraph"/>
        <w:numPr>
          <w:ilvl w:val="2"/>
          <w:numId w:val="13"/>
        </w:numPr>
        <w:ind w:left="1315" w:hanging="181"/>
        <w:contextualSpacing w:val="0"/>
        <w:rPr>
          <w:rFonts w:eastAsiaTheme="minorEastAsia" w:cs="Segoe UI"/>
          <w:sz w:val="22"/>
          <w:szCs w:val="22"/>
        </w:rPr>
      </w:pPr>
      <w:r w:rsidRPr="00E74B50">
        <w:rPr>
          <w:rFonts w:eastAsia="Calibri" w:cs="Segoe UI"/>
          <w:sz w:val="22"/>
          <w:szCs w:val="22"/>
        </w:rPr>
        <w:t>(If approved) vaccination rates of 5–11-year-olds</w:t>
      </w:r>
    </w:p>
    <w:p w14:paraId="60AB0FE3" w14:textId="77777777" w:rsidR="004A5071" w:rsidRPr="00E74B50" w:rsidRDefault="004A5071" w:rsidP="004A5071">
      <w:pPr>
        <w:rPr>
          <w:rFonts w:eastAsiaTheme="minorEastAsia" w:cs="Segoe UI"/>
          <w:sz w:val="22"/>
          <w:szCs w:val="22"/>
        </w:rPr>
      </w:pPr>
      <w:r w:rsidRPr="00E74B50">
        <w:rPr>
          <w:rFonts w:eastAsia="Calibri" w:cs="Segoe UI"/>
          <w:b/>
          <w:bCs/>
          <w:sz w:val="22"/>
          <w:szCs w:val="22"/>
        </w:rPr>
        <w:t>The matrix of structural risk factors</w:t>
      </w:r>
      <w:r w:rsidRPr="00E74B50">
        <w:rPr>
          <w:rStyle w:val="FootnoteReference"/>
          <w:rFonts w:eastAsia="Calibri" w:cs="Segoe UI"/>
          <w:b/>
          <w:bCs/>
          <w:sz w:val="22"/>
          <w:szCs w:val="22"/>
        </w:rPr>
        <w:footnoteReference w:id="19"/>
      </w:r>
      <w:r w:rsidRPr="00E74B50">
        <w:rPr>
          <w:rFonts w:eastAsia="Calibri" w:cs="Segoe UI"/>
          <w:sz w:val="22"/>
          <w:szCs w:val="22"/>
        </w:rPr>
        <w:t xml:space="preserve"> will be constructed from the following datasets:</w:t>
      </w:r>
    </w:p>
    <w:p w14:paraId="1D8D6204" w14:textId="77777777" w:rsidR="004A5071" w:rsidRPr="00E74B50" w:rsidRDefault="004A5071" w:rsidP="000B069A">
      <w:pPr>
        <w:pStyle w:val="ListParagraph"/>
        <w:numPr>
          <w:ilvl w:val="2"/>
          <w:numId w:val="13"/>
        </w:numPr>
        <w:ind w:left="1315" w:hanging="181"/>
        <w:contextualSpacing w:val="0"/>
        <w:rPr>
          <w:rStyle w:val="Hyperlink"/>
          <w:rFonts w:eastAsiaTheme="minorEastAsia" w:cs="Segoe UI"/>
          <w:color w:val="auto"/>
          <w:sz w:val="22"/>
          <w:szCs w:val="22"/>
        </w:rPr>
      </w:pPr>
      <w:r w:rsidRPr="00E74B50">
        <w:rPr>
          <w:rFonts w:eastAsia="Segoe UI" w:cs="Segoe UI"/>
          <w:sz w:val="22"/>
          <w:szCs w:val="22"/>
        </w:rPr>
        <w:t>Data from the Integrated Data Infrastructure (IDI)</w:t>
      </w:r>
      <w:r w:rsidRPr="00E74B50">
        <w:rPr>
          <w:rFonts w:cs="Segoe UI"/>
          <w:sz w:val="22"/>
          <w:szCs w:val="22"/>
        </w:rPr>
        <w:t xml:space="preserve"> </w:t>
      </w:r>
      <w:r w:rsidRPr="00E74B50">
        <w:rPr>
          <w:rFonts w:eastAsia="Segoe UI" w:cs="Segoe UI"/>
          <w:sz w:val="22"/>
          <w:szCs w:val="22"/>
        </w:rPr>
        <w:t xml:space="preserve">will be utilised alongside the </w:t>
      </w:r>
      <w:r w:rsidRPr="00E74B50">
        <w:rPr>
          <w:rFonts w:eastAsia="Calibri" w:cs="Segoe UI"/>
          <w:sz w:val="22"/>
          <w:szCs w:val="22"/>
        </w:rPr>
        <w:t xml:space="preserve">2018 Index of Multiple Deprivation (IMD18) designed by Auckland University’s ‘Health geography and Deprivation’ research group that uses IDI. IMD is a deprivation indicator that has been developed to use as either an overall deprivation score or by separate domains. It is comprised of 28 indicators grouped into seven domains of deprivation: Employment, Income, Crime, Housing, Health, Education and Access to services. </w:t>
      </w:r>
      <w:hyperlink r:id="rId19">
        <w:r w:rsidRPr="00E74B50">
          <w:rPr>
            <w:rStyle w:val="Hyperlink"/>
            <w:rFonts w:eastAsia="Calibri" w:cs="Segoe UI"/>
            <w:color w:val="auto"/>
            <w:sz w:val="22"/>
            <w:szCs w:val="22"/>
          </w:rPr>
          <w:t>https://hgd.auckland.ac.nz/imd18/</w:t>
        </w:r>
      </w:hyperlink>
    </w:p>
    <w:p w14:paraId="53F5F22B" w14:textId="77777777" w:rsidR="004A5071" w:rsidRPr="00E74B50" w:rsidRDefault="004A5071" w:rsidP="000B069A">
      <w:pPr>
        <w:pStyle w:val="ListParagraph"/>
        <w:numPr>
          <w:ilvl w:val="2"/>
          <w:numId w:val="13"/>
        </w:numPr>
        <w:ind w:left="1315" w:hanging="181"/>
        <w:contextualSpacing w:val="0"/>
        <w:rPr>
          <w:rFonts w:eastAsiaTheme="minorEastAsia" w:cs="Segoe UI"/>
          <w:sz w:val="22"/>
          <w:szCs w:val="22"/>
        </w:rPr>
      </w:pPr>
      <w:r w:rsidRPr="00E74B50">
        <w:rPr>
          <w:rFonts w:eastAsia="Calibri" w:cs="Segoe UI"/>
          <w:sz w:val="22"/>
          <w:szCs w:val="22"/>
        </w:rPr>
        <w:t xml:space="preserve">A recently developed rural/urban classification protocol for New Zealand Health research and policy </w:t>
      </w:r>
      <w:hyperlink r:id="rId20">
        <w:r w:rsidRPr="00E74B50">
          <w:rPr>
            <w:rStyle w:val="Hyperlink"/>
            <w:rFonts w:eastAsia="Calibri" w:cs="Segoe UI"/>
            <w:color w:val="auto"/>
            <w:sz w:val="22"/>
            <w:szCs w:val="22"/>
          </w:rPr>
          <w:t>https://pubmed.ncbi.nlm.nih.gov/34494690/</w:t>
        </w:r>
      </w:hyperlink>
    </w:p>
    <w:p w14:paraId="1D5836BD" w14:textId="77777777" w:rsidR="004A5071" w:rsidRPr="00E74B50" w:rsidRDefault="004A5071" w:rsidP="000B069A">
      <w:pPr>
        <w:pStyle w:val="ListParagraph"/>
        <w:numPr>
          <w:ilvl w:val="2"/>
          <w:numId w:val="13"/>
        </w:numPr>
        <w:ind w:left="1315" w:hanging="181"/>
        <w:contextualSpacing w:val="0"/>
        <w:rPr>
          <w:rFonts w:eastAsiaTheme="minorEastAsia" w:cs="Segoe UI"/>
          <w:sz w:val="22"/>
          <w:szCs w:val="22"/>
        </w:rPr>
      </w:pPr>
      <w:r w:rsidRPr="00E74B50">
        <w:rPr>
          <w:rFonts w:eastAsia="Calibri" w:cs="Segoe UI"/>
          <w:sz w:val="22"/>
          <w:szCs w:val="22"/>
        </w:rPr>
        <w:t>Demographics, age, ethnicity, and sex/gender (using the Ministry of Health HSU population estimates)</w:t>
      </w:r>
    </w:p>
    <w:p w14:paraId="5C389F57" w14:textId="77777777" w:rsidR="004A5071" w:rsidRPr="00E74B50" w:rsidRDefault="004A5071" w:rsidP="000B069A">
      <w:pPr>
        <w:pStyle w:val="ListParagraph"/>
        <w:numPr>
          <w:ilvl w:val="2"/>
          <w:numId w:val="13"/>
        </w:numPr>
        <w:ind w:left="1315" w:hanging="181"/>
        <w:contextualSpacing w:val="0"/>
        <w:rPr>
          <w:rFonts w:eastAsiaTheme="minorEastAsia" w:cs="Segoe UI"/>
          <w:sz w:val="22"/>
          <w:szCs w:val="22"/>
        </w:rPr>
      </w:pPr>
      <w:r w:rsidRPr="00E74B50">
        <w:rPr>
          <w:rFonts w:eastAsia="Calibri" w:cs="Segoe UI"/>
          <w:sz w:val="22"/>
          <w:szCs w:val="22"/>
        </w:rPr>
        <w:t>The Ministry of Health’s M3/P3 comorbidity estimates. This dataset catalogues comorbidities based on previous hospitalisation and prescription records</w:t>
      </w:r>
    </w:p>
    <w:p w14:paraId="0345ACAB" w14:textId="77777777" w:rsidR="004A5071" w:rsidRPr="00E74B50" w:rsidRDefault="004A5071" w:rsidP="000B069A">
      <w:pPr>
        <w:pStyle w:val="ListParagraph"/>
        <w:numPr>
          <w:ilvl w:val="2"/>
          <w:numId w:val="13"/>
        </w:numPr>
        <w:ind w:left="1315" w:hanging="181"/>
        <w:contextualSpacing w:val="0"/>
        <w:rPr>
          <w:rFonts w:eastAsiaTheme="minorEastAsia" w:cs="Segoe UI"/>
          <w:sz w:val="22"/>
          <w:szCs w:val="22"/>
        </w:rPr>
      </w:pPr>
      <w:r w:rsidRPr="00E74B50">
        <w:rPr>
          <w:rFonts w:eastAsia="Calibri" w:cs="Segoe UI"/>
          <w:sz w:val="22"/>
          <w:szCs w:val="22"/>
        </w:rPr>
        <w:t>People who don’t interact with the health system. There is work currently underway to understand the differences between StatsNZ collection of all New Zealanders and the Ministry of Health’s HSU. Areas with a large number of people who do not appear in the HSU should be considered as lack of engagement with the health system could indicate underlying vulnerability.</w:t>
      </w:r>
    </w:p>
    <w:p w14:paraId="22FDCA5B" w14:textId="77777777" w:rsidR="004A5071" w:rsidRPr="00E74B50" w:rsidRDefault="004A5071" w:rsidP="000B069A">
      <w:pPr>
        <w:pStyle w:val="ListParagraph"/>
        <w:numPr>
          <w:ilvl w:val="2"/>
          <w:numId w:val="13"/>
        </w:numPr>
        <w:ind w:left="1315" w:hanging="181"/>
        <w:contextualSpacing w:val="0"/>
        <w:rPr>
          <w:rFonts w:eastAsiaTheme="minorEastAsia" w:cs="Segoe UI"/>
          <w:sz w:val="22"/>
          <w:szCs w:val="22"/>
        </w:rPr>
      </w:pPr>
      <w:r w:rsidRPr="00E74B50">
        <w:rPr>
          <w:rFonts w:eastAsiaTheme="minorEastAsia" w:cs="Segoe UI"/>
          <w:sz w:val="22"/>
          <w:szCs w:val="22"/>
        </w:rPr>
        <w:t xml:space="preserve">Public health response needs to facilitate timely dispensing of physical resources to the community through case management (e.g., wrap around care and support services). </w:t>
      </w:r>
      <w:r w:rsidRPr="00E74B50">
        <w:rPr>
          <w:rFonts w:eastAsiaTheme="minorEastAsia" w:cs="Segoe UI"/>
          <w:sz w:val="22"/>
          <w:szCs w:val="22"/>
        </w:rPr>
        <w:lastRenderedPageBreak/>
        <w:t>Plans for timely dispensing include explicit attention to the needs of and opportunities to involve disadvantaged populations, including by geographic location, sex/gender, ethnicity, and age.</w:t>
      </w:r>
      <w:r w:rsidRPr="00E74B50">
        <w:rPr>
          <w:rStyle w:val="FootnoteReference"/>
          <w:rFonts w:eastAsiaTheme="minorEastAsia" w:cs="Segoe UI"/>
          <w:sz w:val="22"/>
          <w:szCs w:val="22"/>
        </w:rPr>
        <w:footnoteReference w:id="20"/>
      </w:r>
    </w:p>
    <w:p w14:paraId="7D48BB4E" w14:textId="77777777" w:rsidR="004A5071" w:rsidRPr="00E74B50" w:rsidRDefault="004A5071" w:rsidP="000B069A">
      <w:pPr>
        <w:pStyle w:val="ListParagraph"/>
        <w:numPr>
          <w:ilvl w:val="2"/>
          <w:numId w:val="13"/>
        </w:numPr>
        <w:spacing w:after="240"/>
        <w:ind w:left="1315" w:hanging="181"/>
        <w:contextualSpacing w:val="0"/>
        <w:rPr>
          <w:rFonts w:eastAsiaTheme="minorEastAsia" w:cs="Segoe UI"/>
          <w:sz w:val="22"/>
          <w:szCs w:val="22"/>
        </w:rPr>
      </w:pPr>
      <w:r w:rsidRPr="00E74B50">
        <w:rPr>
          <w:rFonts w:eastAsia="Calibri" w:cs="Segoe UI"/>
          <w:sz w:val="22"/>
          <w:szCs w:val="22"/>
        </w:rPr>
        <w:t>Of particular interest will be the urban/rural segmentation of these indicators.</w:t>
      </w:r>
    </w:p>
    <w:p w14:paraId="6A46A3A8" w14:textId="77777777" w:rsidR="004A5071" w:rsidRPr="00E74B50" w:rsidRDefault="004A5071" w:rsidP="004A5071">
      <w:pPr>
        <w:rPr>
          <w:rFonts w:eastAsia="Calibri" w:cs="Segoe UI"/>
          <w:sz w:val="22"/>
          <w:szCs w:val="22"/>
        </w:rPr>
      </w:pPr>
      <w:r w:rsidRPr="00E74B50">
        <w:rPr>
          <w:rFonts w:eastAsia="Calibri" w:cs="Segoe UI"/>
          <w:sz w:val="22"/>
          <w:szCs w:val="22"/>
        </w:rPr>
        <w:t xml:space="preserve">An immediate area of development is the work to identify which of the underlying structural risk factors are stronger predictors of a COVID-19 case growth. </w:t>
      </w:r>
      <w:r w:rsidRPr="00E74B50">
        <w:rPr>
          <w:rStyle w:val="normaltextrun"/>
          <w:rFonts w:cs="Segoe UI"/>
          <w:sz w:val="22"/>
          <w:szCs w:val="22"/>
        </w:rPr>
        <w:t>The analyses will be able to be disaggregated by the factors listed above; and can be spatially mapped down to SA2 level to be used by DHBs and PHUs for surveillance and risk assessments.</w:t>
      </w:r>
      <w:r w:rsidRPr="00E74B50">
        <w:rPr>
          <w:rStyle w:val="normaltextrun"/>
          <w:rFonts w:cs="Segoe UI"/>
          <w:sz w:val="22"/>
          <w:szCs w:val="22"/>
          <w:lang w:val="en-US"/>
        </w:rPr>
        <w:t xml:space="preserve"> </w:t>
      </w:r>
      <w:r w:rsidRPr="00E74B50">
        <w:rPr>
          <w:rStyle w:val="normaltextrun"/>
          <w:rFonts w:cs="Segoe UI"/>
          <w:sz w:val="22"/>
          <w:szCs w:val="22"/>
        </w:rPr>
        <w:t>An immediate area of development of this work is to identify which underlying structural risk factors are stronger predictors and can be used as leading indicators for country risk assessments. </w:t>
      </w:r>
      <w:r w:rsidRPr="00E74B50">
        <w:rPr>
          <w:rFonts w:eastAsia="Calibri" w:cs="Segoe UI"/>
          <w:sz w:val="22"/>
          <w:szCs w:val="22"/>
        </w:rPr>
        <w:t>There will be ongoing assessment of the predictive value of each factor and the evaluation of potential new factors.</w:t>
      </w:r>
    </w:p>
    <w:p w14:paraId="526A9F85" w14:textId="77777777" w:rsidR="00E74B50" w:rsidRPr="00E74B50" w:rsidRDefault="004A5071" w:rsidP="00E74B50">
      <w:pPr>
        <w:pStyle w:val="paragraph"/>
        <w:widowControl w:val="0"/>
        <w:spacing w:before="0" w:beforeAutospacing="0" w:after="120" w:afterAutospacing="0"/>
        <w:textAlignment w:val="baseline"/>
        <w:rPr>
          <w:rStyle w:val="normaltextrun"/>
          <w:rFonts w:ascii="Segoe UI" w:hAnsi="Segoe UI" w:cs="Segoe UI"/>
          <w:sz w:val="22"/>
          <w:szCs w:val="22"/>
        </w:rPr>
      </w:pPr>
      <w:r w:rsidRPr="00E74B50">
        <w:rPr>
          <w:rStyle w:val="normaltextrun"/>
          <w:rFonts w:ascii="Segoe UI" w:hAnsi="Segoe UI" w:cs="Segoe UI"/>
          <w:sz w:val="22"/>
          <w:szCs w:val="22"/>
        </w:rPr>
        <w:t>The risk factor matrix will provide a focus for surveillance to monitor transmission dynamics and distribution of disease by lead risk factors that increase risk of exposure, transmission, and poor outcomes.</w:t>
      </w:r>
    </w:p>
    <w:p w14:paraId="74F1A02B" w14:textId="4C361905" w:rsidR="00E74B50" w:rsidRPr="00E74B50" w:rsidRDefault="004A5071" w:rsidP="00E74B50">
      <w:pPr>
        <w:pStyle w:val="paragraph"/>
        <w:widowControl w:val="0"/>
        <w:spacing w:before="0" w:beforeAutospacing="0" w:after="240" w:afterAutospacing="0"/>
        <w:textAlignment w:val="baseline"/>
        <w:rPr>
          <w:rStyle w:val="eop"/>
          <w:rFonts w:ascii="Segoe UI" w:hAnsi="Segoe UI" w:cs="Segoe UI"/>
          <w:sz w:val="22"/>
          <w:szCs w:val="22"/>
          <w:lang w:val="en-US"/>
        </w:rPr>
      </w:pPr>
      <w:r w:rsidRPr="00E74B50">
        <w:rPr>
          <w:rStyle w:val="normaltextrun"/>
          <w:rFonts w:ascii="Segoe UI" w:hAnsi="Segoe UI" w:cs="Segoe UI"/>
          <w:sz w:val="22"/>
          <w:szCs w:val="22"/>
        </w:rPr>
        <w:t>If cases rates grow in a community with high structural risk factors, then more targeted interventions such as care and support services through case management can be offered to prevent poor outcomes to the individuals, their whānau, iwi, and communities</w:t>
      </w:r>
      <w:r w:rsidRPr="00E74B50">
        <w:rPr>
          <w:rStyle w:val="eop"/>
          <w:rFonts w:ascii="Segoe UI" w:hAnsi="Segoe UI" w:cs="Segoe UI"/>
          <w:sz w:val="22"/>
          <w:szCs w:val="22"/>
        </w:rPr>
        <w:t>.</w:t>
      </w:r>
    </w:p>
    <w:p w14:paraId="17E92A9E" w14:textId="5FFFD740" w:rsidR="004E3583" w:rsidRPr="008213CA" w:rsidRDefault="004E3583" w:rsidP="004E3583">
      <w:pPr>
        <w:pStyle w:val="Heading2"/>
        <w:ind w:right="260"/>
        <w:rPr>
          <w:b/>
          <w:bCs/>
          <w:color w:val="000000" w:themeColor="text1"/>
        </w:rPr>
      </w:pPr>
      <w:bookmarkStart w:id="36" w:name="_Toc90411208"/>
      <w:r w:rsidRPr="008213CA">
        <w:rPr>
          <w:b/>
          <w:bCs/>
          <w:color w:val="000000" w:themeColor="text1"/>
        </w:rPr>
        <w:t>Roles and Responsibilities</w:t>
      </w:r>
      <w:bookmarkEnd w:id="36"/>
    </w:p>
    <w:p w14:paraId="6714B262" w14:textId="77777777" w:rsidR="004E3583" w:rsidRPr="008213CA" w:rsidRDefault="004E3583" w:rsidP="004E3583">
      <w:pPr>
        <w:rPr>
          <w:rFonts w:eastAsia="Segoe UI" w:cs="Segoe UI"/>
          <w:sz w:val="22"/>
          <w:szCs w:val="22"/>
        </w:rPr>
      </w:pPr>
      <w:r w:rsidRPr="008213CA">
        <w:rPr>
          <w:rFonts w:eastAsia="Segoe UI" w:cs="Segoe UI"/>
          <w:sz w:val="22"/>
          <w:szCs w:val="22"/>
        </w:rPr>
        <w:t xml:space="preserve">Comprehensive surveillance should ensure the systematic and ongoing, collection, management, analysis, and interpretation of data, closely integrated with the timely dissemination of those data to the people and agencies responsible for health action. In this context, fostering partnerships is important to empower decision makers and stakeholders to manage COVID-19 more effectively by providing timely and accurate information. </w:t>
      </w:r>
    </w:p>
    <w:p w14:paraId="11576E1F" w14:textId="5246AC28" w:rsidR="004E3583" w:rsidRPr="008213CA" w:rsidRDefault="004E3583" w:rsidP="00E74B50">
      <w:pPr>
        <w:spacing w:after="240"/>
        <w:rPr>
          <w:rFonts w:eastAsia="Segoe UI" w:cs="Segoe UI"/>
          <w:sz w:val="22"/>
          <w:szCs w:val="22"/>
        </w:rPr>
      </w:pPr>
      <w:r w:rsidRPr="008213CA">
        <w:rPr>
          <w:rFonts w:eastAsia="Segoe UI" w:cs="Segoe UI"/>
          <w:sz w:val="22"/>
          <w:szCs w:val="22"/>
        </w:rPr>
        <w:t xml:space="preserve">Surveillance is a nation-wide activity. It is carried out by and informs the actions and decisions of communities, health service providers and funders, public health units, front-line agencies, iwi, universities and researchers, testing laboratories, the Institute of Environmental and Science Research (ESR), and local and central government. The following highlights key partner groups and agencies that are part of the implementation structure for ensuring that the surveillance objectives are met. </w:t>
      </w:r>
    </w:p>
    <w:p w14:paraId="622843F2" w14:textId="77777777" w:rsidR="004E3583" w:rsidRPr="008213CA" w:rsidRDefault="004E3583" w:rsidP="007F65DE">
      <w:pPr>
        <w:pStyle w:val="Heading3"/>
      </w:pPr>
      <w:bookmarkStart w:id="37" w:name="_Toc90411209"/>
      <w:r w:rsidRPr="008213CA">
        <w:t>The Ministry of Health</w:t>
      </w:r>
      <w:bookmarkEnd w:id="37"/>
    </w:p>
    <w:p w14:paraId="3DC38CF5" w14:textId="77777777" w:rsidR="004E3583" w:rsidRPr="008213CA" w:rsidRDefault="004E3583" w:rsidP="004E3583">
      <w:pPr>
        <w:rPr>
          <w:rFonts w:eastAsia="Segoe UI" w:cs="Segoe UI"/>
          <w:sz w:val="22"/>
          <w:szCs w:val="22"/>
        </w:rPr>
      </w:pPr>
      <w:r w:rsidRPr="008213CA">
        <w:rPr>
          <w:rFonts w:eastAsia="Segoe UI" w:cs="Segoe UI"/>
          <w:sz w:val="22"/>
          <w:szCs w:val="22"/>
        </w:rPr>
        <w:t xml:space="preserve">The Ministry is responsible for updating the COVID-19 Surveillance Strategy and is the responsibility of the COVID-19 Science &amp; Insights Group, in consultation with the Office of the Director of Public Health, Communicable Disease team, Population Health and Prevention Directorate, Māori Insights Team, Pacific Insights Team, COVID-19 Oversight Equity Advisory Group, Public Health Units, and ESR as a lead provider of surveillance to the Ministry. Advisory groups, including the Public Health </w:t>
      </w:r>
      <w:r w:rsidRPr="008213CA">
        <w:rPr>
          <w:rFonts w:eastAsia="Segoe UI" w:cs="Segoe UI"/>
          <w:sz w:val="22"/>
          <w:szCs w:val="22"/>
        </w:rPr>
        <w:lastRenderedPageBreak/>
        <w:t xml:space="preserve">Advisory Group and Te Kōtuku e Rere, and the COVID-19 Surveillance Oversight Group will provide coordination and prioritisation of surveillance actions. </w:t>
      </w:r>
    </w:p>
    <w:p w14:paraId="12035804" w14:textId="77777777" w:rsidR="004E3583" w:rsidRPr="008213CA" w:rsidRDefault="004E3583" w:rsidP="008213CA">
      <w:pPr>
        <w:spacing w:after="240"/>
        <w:rPr>
          <w:rFonts w:eastAsia="Segoe UI" w:cs="Segoe UI"/>
          <w:sz w:val="22"/>
          <w:szCs w:val="22"/>
        </w:rPr>
      </w:pPr>
      <w:r w:rsidRPr="008213CA">
        <w:rPr>
          <w:rFonts w:eastAsia="Segoe UI" w:cs="Segoe UI"/>
          <w:sz w:val="22"/>
          <w:szCs w:val="22"/>
        </w:rPr>
        <w:t>The Ministry’s Data Governance Group has overall responsibility for the governance of information, routine collection and use of information. The Group has responsibility for considering issues of governance and data sovereignty over surveillance information, while respecting the principle of being open and transparent. The Ministry is responsible for commissioning, maintaining, and operating the National Contract Tracing Solution (NCTS).</w:t>
      </w:r>
    </w:p>
    <w:p w14:paraId="25545018" w14:textId="1C2F2FC0" w:rsidR="004E3583" w:rsidRPr="008213CA" w:rsidRDefault="004E3583" w:rsidP="007F65DE">
      <w:pPr>
        <w:pStyle w:val="Heading3"/>
      </w:pPr>
      <w:bookmarkStart w:id="38" w:name="_Toc90411210"/>
      <w:r w:rsidRPr="008213CA">
        <w:t>District Health Boards</w:t>
      </w:r>
      <w:r w:rsidR="00370432" w:rsidRPr="008213CA">
        <w:t xml:space="preserve"> </w:t>
      </w:r>
      <w:r w:rsidRPr="008213CA">
        <w:t>and Public Health Units</w:t>
      </w:r>
      <w:bookmarkEnd w:id="38"/>
      <w:r w:rsidRPr="008213CA">
        <w:t xml:space="preserve"> </w:t>
      </w:r>
    </w:p>
    <w:p w14:paraId="2E917CDD" w14:textId="77777777" w:rsidR="004E3583" w:rsidRPr="009921D1" w:rsidRDefault="004E3583" w:rsidP="008213CA">
      <w:pPr>
        <w:spacing w:after="240"/>
        <w:rPr>
          <w:rFonts w:eastAsia="Segoe UI" w:cs="Segoe UI"/>
        </w:rPr>
      </w:pPr>
      <w:r>
        <w:rPr>
          <w:rFonts w:eastAsia="Segoe UI" w:cs="Segoe UI"/>
        </w:rPr>
        <w:t xml:space="preserve">DHBs </w:t>
      </w:r>
      <w:r w:rsidRPr="00C477DF">
        <w:rPr>
          <w:rFonts w:eastAsia="Segoe UI" w:cs="Segoe UI"/>
        </w:rPr>
        <w:t>provide key elements of surveillance information to aggregate to a national picture and are producers and users of surveillance information to support their response. Much of their key information is available from local sources, although guidance on surveillance testing is provided nationally. District Health Boards include</w:t>
      </w:r>
      <w:r>
        <w:rPr>
          <w:rFonts w:eastAsia="Segoe UI" w:cs="Segoe UI"/>
        </w:rPr>
        <w:t xml:space="preserve"> o</w:t>
      </w:r>
      <w:r w:rsidRPr="004B04E2">
        <w:rPr>
          <w:rFonts w:eastAsia="Segoe UI" w:cs="Segoe UI"/>
        </w:rPr>
        <w:t xml:space="preserve">perating </w:t>
      </w:r>
      <w:r>
        <w:rPr>
          <w:rFonts w:eastAsia="Segoe UI" w:cs="Segoe UI"/>
        </w:rPr>
        <w:t xml:space="preserve">PHUs </w:t>
      </w:r>
      <w:r w:rsidRPr="004B04E2">
        <w:rPr>
          <w:rFonts w:eastAsia="Segoe UI" w:cs="Segoe UI"/>
        </w:rPr>
        <w:t>and responsibility for key elements of the front-line public health response, including notification, contact tracing and investigation of outbreaks</w:t>
      </w:r>
      <w:r>
        <w:rPr>
          <w:rFonts w:eastAsia="Segoe UI" w:cs="Segoe UI"/>
        </w:rPr>
        <w:t>.</w:t>
      </w:r>
    </w:p>
    <w:p w14:paraId="1E700374" w14:textId="77777777" w:rsidR="004E3583" w:rsidRPr="008213CA" w:rsidRDefault="004E3583" w:rsidP="007F65DE">
      <w:pPr>
        <w:pStyle w:val="Heading3"/>
      </w:pPr>
      <w:bookmarkStart w:id="39" w:name="_Toc90411211"/>
      <w:r w:rsidRPr="008213CA">
        <w:t>Primary Health Organisations</w:t>
      </w:r>
      <w:bookmarkEnd w:id="39"/>
    </w:p>
    <w:p w14:paraId="4A413276" w14:textId="77777777" w:rsidR="004E3583" w:rsidRPr="00A75089" w:rsidRDefault="004E3583" w:rsidP="008213CA">
      <w:pPr>
        <w:spacing w:after="240"/>
        <w:rPr>
          <w:rFonts w:eastAsia="Segoe UI" w:cs="Segoe UI"/>
        </w:rPr>
      </w:pPr>
      <w:r w:rsidRPr="00C477DF">
        <w:rPr>
          <w:rFonts w:eastAsia="Segoe UI" w:cs="Segoe UI"/>
        </w:rPr>
        <w:t xml:space="preserve">Primary Health Organisations and community care are taking on more of the workload of managing and supporting people with COVID-19 as </w:t>
      </w:r>
      <w:r>
        <w:rPr>
          <w:rFonts w:eastAsia="Segoe UI" w:cs="Segoe UI"/>
        </w:rPr>
        <w:t xml:space="preserve">the country </w:t>
      </w:r>
      <w:r w:rsidRPr="00C477DF">
        <w:rPr>
          <w:rFonts w:eastAsia="Segoe UI" w:cs="Segoe UI"/>
        </w:rPr>
        <w:t>moves towards</w:t>
      </w:r>
      <w:r>
        <w:rPr>
          <w:rFonts w:eastAsia="Segoe UI" w:cs="Segoe UI"/>
        </w:rPr>
        <w:t xml:space="preserve"> an</w:t>
      </w:r>
      <w:r w:rsidRPr="00C477DF">
        <w:rPr>
          <w:rFonts w:eastAsia="Segoe UI" w:cs="Segoe UI"/>
        </w:rPr>
        <w:t xml:space="preserve"> endemic </w:t>
      </w:r>
      <w:r>
        <w:rPr>
          <w:rFonts w:eastAsia="Segoe UI" w:cs="Segoe UI"/>
        </w:rPr>
        <w:t>situation</w:t>
      </w:r>
      <w:r w:rsidRPr="00C477DF">
        <w:rPr>
          <w:rFonts w:eastAsia="Segoe UI" w:cs="Segoe UI"/>
        </w:rPr>
        <w:t>. In surveillance, primary health organisations both create and rely on valuable information. Some of these organisations have developed their own COVID-19 intelligence functions to allow them to allocate resources effectively at a very localised level. Primary Health Organisation</w:t>
      </w:r>
      <w:r>
        <w:rPr>
          <w:rFonts w:eastAsia="Segoe UI" w:cs="Segoe UI"/>
        </w:rPr>
        <w:t xml:space="preserve">s </w:t>
      </w:r>
      <w:r w:rsidRPr="00911DBB">
        <w:rPr>
          <w:rFonts w:eastAsia="Segoe UI" w:cs="Segoe UI"/>
        </w:rPr>
        <w:t>deliver clinical care for the majority of COVID-19 case</w:t>
      </w:r>
      <w:r>
        <w:rPr>
          <w:rFonts w:eastAsia="Segoe UI" w:cs="Segoe UI"/>
        </w:rPr>
        <w:t xml:space="preserve">s; and </w:t>
      </w:r>
      <w:r w:rsidRPr="00911DBB">
        <w:rPr>
          <w:rFonts w:eastAsia="Segoe UI" w:cs="Segoe UI"/>
        </w:rPr>
        <w:t>much of the COVID-19 testing for diagnosis and surveillance</w:t>
      </w:r>
      <w:r>
        <w:rPr>
          <w:rFonts w:eastAsia="Segoe UI" w:cs="Segoe UI"/>
        </w:rPr>
        <w:t xml:space="preserve"> </w:t>
      </w:r>
      <w:r w:rsidRPr="00911DBB">
        <w:rPr>
          <w:rFonts w:eastAsia="Segoe UI" w:cs="Segoe UI"/>
        </w:rPr>
        <w:t>in general practice</w:t>
      </w:r>
      <w:r>
        <w:rPr>
          <w:rFonts w:eastAsia="Segoe UI" w:cs="Segoe UI"/>
        </w:rPr>
        <w:t xml:space="preserve"> and through c</w:t>
      </w:r>
      <w:r w:rsidRPr="00911DBB">
        <w:rPr>
          <w:rFonts w:eastAsia="Segoe UI" w:cs="Segoe UI"/>
        </w:rPr>
        <w:t>ommunity</w:t>
      </w:r>
      <w:r>
        <w:rPr>
          <w:rFonts w:eastAsia="Segoe UI" w:cs="Segoe UI"/>
        </w:rPr>
        <w:t>-b</w:t>
      </w:r>
      <w:r w:rsidRPr="00911DBB">
        <w:rPr>
          <w:rFonts w:eastAsia="Segoe UI" w:cs="Segoe UI"/>
        </w:rPr>
        <w:t xml:space="preserve">ased </w:t>
      </w:r>
      <w:r>
        <w:rPr>
          <w:rFonts w:eastAsia="Segoe UI" w:cs="Segoe UI"/>
        </w:rPr>
        <w:t>a</w:t>
      </w:r>
      <w:r w:rsidRPr="00911DBB">
        <w:rPr>
          <w:rFonts w:eastAsia="Segoe UI" w:cs="Segoe UI"/>
        </w:rPr>
        <w:t xml:space="preserve">ssessment </w:t>
      </w:r>
      <w:r>
        <w:rPr>
          <w:rFonts w:eastAsia="Segoe UI" w:cs="Segoe UI"/>
        </w:rPr>
        <w:t>c</w:t>
      </w:r>
      <w:r w:rsidRPr="00911DBB">
        <w:rPr>
          <w:rFonts w:eastAsia="Segoe UI" w:cs="Segoe UI"/>
        </w:rPr>
        <w:t>entres and other community settings</w:t>
      </w:r>
      <w:r>
        <w:rPr>
          <w:rFonts w:eastAsia="Segoe UI" w:cs="Segoe UI"/>
        </w:rPr>
        <w:t>.</w:t>
      </w:r>
    </w:p>
    <w:p w14:paraId="4239B0FC" w14:textId="77777777" w:rsidR="004E3583" w:rsidRPr="008213CA" w:rsidRDefault="004E3583" w:rsidP="007F65DE">
      <w:pPr>
        <w:pStyle w:val="Heading3"/>
      </w:pPr>
      <w:bookmarkStart w:id="40" w:name="_Toc90411212"/>
      <w:r w:rsidRPr="008213CA">
        <w:t>Institute of Environmental Science and Research (ESR)</w:t>
      </w:r>
      <w:bookmarkEnd w:id="40"/>
      <w:r w:rsidRPr="008213CA">
        <w:t xml:space="preserve"> </w:t>
      </w:r>
    </w:p>
    <w:p w14:paraId="3A477E67" w14:textId="77777777" w:rsidR="004E3583" w:rsidRPr="00C477DF" w:rsidRDefault="004E3583" w:rsidP="004E3583">
      <w:pPr>
        <w:spacing w:after="240"/>
        <w:rPr>
          <w:rFonts w:eastAsia="Segoe UI" w:cs="Segoe UI"/>
        </w:rPr>
      </w:pPr>
      <w:r w:rsidRPr="2DCDB2E4">
        <w:rPr>
          <w:rFonts w:eastAsia="Segoe UI" w:cs="Segoe UI"/>
        </w:rPr>
        <w:t>ESR is contracted by the Ministry to undertake national, real-time surveillance for notifiable communicable diseases. For COVID-19</w:t>
      </w:r>
      <w:r>
        <w:rPr>
          <w:rFonts w:eastAsia="Segoe UI" w:cs="Segoe UI"/>
        </w:rPr>
        <w:t>,</w:t>
      </w:r>
      <w:r w:rsidRPr="2DCDB2E4">
        <w:rPr>
          <w:rFonts w:eastAsia="Segoe UI" w:cs="Segoe UI"/>
        </w:rPr>
        <w:t xml:space="preserve"> ESR is part of the Surveillance Oversight group.</w:t>
      </w:r>
      <w:r>
        <w:rPr>
          <w:rFonts w:eastAsia="Segoe UI" w:cs="Segoe UI"/>
        </w:rPr>
        <w:t xml:space="preserve"> They have </w:t>
      </w:r>
      <w:r w:rsidRPr="00C477DF">
        <w:rPr>
          <w:rFonts w:eastAsia="Segoe UI" w:cs="Segoe UI"/>
        </w:rPr>
        <w:t>also develop</w:t>
      </w:r>
      <w:r>
        <w:rPr>
          <w:rFonts w:eastAsia="Segoe UI" w:cs="Segoe UI"/>
        </w:rPr>
        <w:t>ed</w:t>
      </w:r>
      <w:r w:rsidRPr="00C477DF">
        <w:rPr>
          <w:rFonts w:eastAsia="Segoe UI" w:cs="Segoe UI"/>
        </w:rPr>
        <w:t xml:space="preserve"> and operate</w:t>
      </w:r>
      <w:r>
        <w:rPr>
          <w:rFonts w:eastAsia="Segoe UI" w:cs="Segoe UI"/>
        </w:rPr>
        <w:t>d</w:t>
      </w:r>
      <w:r w:rsidRPr="00C477DF">
        <w:rPr>
          <w:rFonts w:eastAsia="Segoe UI" w:cs="Segoe UI"/>
        </w:rPr>
        <w:t xml:space="preserve"> non-notifiable disease surveillance systems, including syndromic surveillance of acute respiratory illnesses. ESR has a central role as the national public health reference laboratory, undertaking diagnostic and reference testing, including genetic analysis of COVID-19 variants. ESR also conducts and reports on wastewater testing.</w:t>
      </w:r>
      <w:r>
        <w:rPr>
          <w:rFonts w:eastAsia="Segoe UI" w:cs="Segoe UI"/>
        </w:rPr>
        <w:t xml:space="preserve"> </w:t>
      </w:r>
      <w:r w:rsidRPr="0191B6EA">
        <w:rPr>
          <w:rFonts w:eastAsia="Segoe UI" w:cs="Segoe UI"/>
        </w:rPr>
        <w:t xml:space="preserve">The ESR national surveillance team operates EpiSurv, the national disease database, and other national information systems. </w:t>
      </w:r>
    </w:p>
    <w:p w14:paraId="63C8FA80" w14:textId="77777777" w:rsidR="004E3583" w:rsidRPr="008213CA" w:rsidRDefault="004E3583" w:rsidP="007F65DE">
      <w:pPr>
        <w:pStyle w:val="Heading3"/>
      </w:pPr>
      <w:bookmarkStart w:id="41" w:name="_Toc90411213"/>
      <w:r w:rsidRPr="008213CA">
        <w:t>Diagnostic Laboratories</w:t>
      </w:r>
      <w:bookmarkEnd w:id="41"/>
    </w:p>
    <w:p w14:paraId="303EEC79" w14:textId="77777777" w:rsidR="004E3583" w:rsidRPr="009921D1" w:rsidRDefault="004E3583" w:rsidP="004E3583">
      <w:pPr>
        <w:rPr>
          <w:color w:val="C85000"/>
          <w:sz w:val="28"/>
        </w:rPr>
      </w:pPr>
      <w:r w:rsidRPr="009921D1">
        <w:rPr>
          <w:sz w:val="22"/>
          <w:szCs w:val="22"/>
        </w:rPr>
        <w:t>Processing, interpreting, and reporting on tests, validation of new assays, design and setup of new testing platforms, pooling of specimens and specimen types to support the surveillance strategy objectives.</w:t>
      </w:r>
    </w:p>
    <w:p w14:paraId="7902ADFA" w14:textId="77777777" w:rsidR="004E3583" w:rsidRPr="008213CA" w:rsidRDefault="004E3583" w:rsidP="00C4250C">
      <w:pPr>
        <w:pStyle w:val="Heading3"/>
      </w:pPr>
      <w:bookmarkStart w:id="42" w:name="_Toc90411214"/>
      <w:r w:rsidRPr="008213CA">
        <w:t>Other Government Agencies</w:t>
      </w:r>
      <w:bookmarkEnd w:id="42"/>
    </w:p>
    <w:p w14:paraId="76D94FB8" w14:textId="77777777" w:rsidR="004E3583" w:rsidRPr="008213CA" w:rsidRDefault="004E3583" w:rsidP="004E3583">
      <w:pPr>
        <w:spacing w:after="240"/>
        <w:rPr>
          <w:rFonts w:eastAsia="Segoe UI" w:cs="Segoe UI"/>
          <w:sz w:val="22"/>
          <w:szCs w:val="22"/>
        </w:rPr>
      </w:pPr>
      <w:r w:rsidRPr="008213CA">
        <w:rPr>
          <w:rFonts w:eastAsia="Segoe UI" w:cs="Segoe UI"/>
          <w:sz w:val="22"/>
          <w:szCs w:val="22"/>
        </w:rPr>
        <w:t xml:space="preserve">The Ministry of Foreign Affairs and Trade (MFAT) provides an important contribution to the Ministry of Health’s global surveillance efforts, ensuring that the latest international COVID-19 reporting from New Zealand’s offshore network is shared with the Ministry’s Science &amp; Insights Group. MFAT’s work includes reporting by New Zealand embassies and high commissions on the evolving COVID-19 situations in host countries, and comprehensive COVID-19 international policy reporting on issues including border security, vaccine certification and vaccine rollout progress. The Ministry of Social Development (MSD) will also have critical data on vulnerability, care and support needs pertaining to structural risk factors. </w:t>
      </w:r>
    </w:p>
    <w:p w14:paraId="09D44873" w14:textId="77777777" w:rsidR="004E3583" w:rsidRPr="008213CA" w:rsidRDefault="004E3583" w:rsidP="00C4250C">
      <w:pPr>
        <w:pStyle w:val="Heading3"/>
      </w:pPr>
      <w:bookmarkStart w:id="43" w:name="_Toc90411215"/>
      <w:r w:rsidRPr="008213CA">
        <w:lastRenderedPageBreak/>
        <w:t>Community Groups and Non-Governmental Providers</w:t>
      </w:r>
      <w:bookmarkEnd w:id="43"/>
    </w:p>
    <w:p w14:paraId="2FEC07F8" w14:textId="77777777" w:rsidR="004E3583" w:rsidRPr="008213CA" w:rsidRDefault="004E3583" w:rsidP="004E3583">
      <w:pPr>
        <w:spacing w:after="240"/>
        <w:rPr>
          <w:rFonts w:cs="Segoe UI"/>
          <w:sz w:val="22"/>
          <w:szCs w:val="22"/>
        </w:rPr>
      </w:pPr>
      <w:r w:rsidRPr="008213CA">
        <w:rPr>
          <w:rFonts w:cs="Segoe UI"/>
          <w:sz w:val="22"/>
          <w:szCs w:val="22"/>
        </w:rPr>
        <w:t xml:space="preserve">Māori and Te Tiriti o Waitangi partners will be forefront of community partnerships. Community, </w:t>
      </w:r>
      <w:r w:rsidRPr="008213CA">
        <w:rPr>
          <w:rFonts w:eastAsia="Segoe UI" w:cs="Segoe UI"/>
          <w:sz w:val="22"/>
          <w:szCs w:val="22"/>
        </w:rPr>
        <w:t>hapū</w:t>
      </w:r>
      <w:r w:rsidRPr="008213CA">
        <w:rPr>
          <w:rFonts w:cs="Segoe UI"/>
          <w:sz w:val="22"/>
          <w:szCs w:val="22"/>
        </w:rPr>
        <w:t>, iwi, grassroots organisations, women, youth or religious leaders and civil society groups may provide informal reports of unusual health events or health risks that they witness in their communities.</w:t>
      </w:r>
      <w:r w:rsidRPr="008213CA">
        <w:rPr>
          <w:rFonts w:cs="Segoe UI"/>
          <w:sz w:val="22"/>
          <w:szCs w:val="22"/>
          <w:lang w:eastAsia="en-NZ"/>
        </w:rPr>
        <w:t xml:space="preserve"> The Ministry’s COVID-19 Lived Experience and Equity Advisory Group provides important </w:t>
      </w:r>
      <w:r w:rsidRPr="008213CA">
        <w:rPr>
          <w:rFonts w:cs="Segoe UI"/>
          <w:sz w:val="22"/>
          <w:szCs w:val="22"/>
        </w:rPr>
        <w:t>access to information regarding local community support and contact tracing, and supporting welfare, manaaki and community isolation.</w:t>
      </w:r>
    </w:p>
    <w:p w14:paraId="0CFA84AC" w14:textId="77777777" w:rsidR="004E3583" w:rsidRDefault="004E3583" w:rsidP="004E3583">
      <w:pPr>
        <w:spacing w:after="240"/>
        <w:rPr>
          <w:rFonts w:cs="Segoe UI"/>
        </w:rPr>
      </w:pPr>
    </w:p>
    <w:p w14:paraId="720C6351" w14:textId="77777777" w:rsidR="00BD3E8D" w:rsidRDefault="00BD3E8D" w:rsidP="00BD3E8D">
      <w:pPr>
        <w:spacing w:after="240"/>
        <w:rPr>
          <w:rFonts w:eastAsia="Segoe UI" w:cs="Segoe UI"/>
        </w:rPr>
      </w:pPr>
    </w:p>
    <w:p w14:paraId="604B1C5A" w14:textId="77777777" w:rsidR="00BD3E8D" w:rsidRDefault="00BD3E8D" w:rsidP="00BD3E8D">
      <w:pPr>
        <w:spacing w:after="240"/>
        <w:rPr>
          <w:rFonts w:eastAsia="Segoe UI" w:cs="Segoe UI"/>
        </w:rPr>
      </w:pPr>
    </w:p>
    <w:p w14:paraId="5DAE80D2" w14:textId="1154F83D" w:rsidR="0001081D" w:rsidRDefault="0001081D" w:rsidP="0001081D"/>
    <w:p w14:paraId="03C401FF" w14:textId="118D5234" w:rsidR="00900B06" w:rsidRDefault="00900B06" w:rsidP="0001081D"/>
    <w:p w14:paraId="75976210" w14:textId="4B9A0376" w:rsidR="00900B06" w:rsidRDefault="00900B06" w:rsidP="0001081D"/>
    <w:p w14:paraId="6E83A540" w14:textId="4B676ADB" w:rsidR="00900B06" w:rsidRDefault="00900B06" w:rsidP="0001081D"/>
    <w:p w14:paraId="597B2EE5" w14:textId="65C2F123" w:rsidR="00900B06" w:rsidRDefault="00900B06" w:rsidP="0001081D"/>
    <w:p w14:paraId="02A9C5C7" w14:textId="461512A6" w:rsidR="00900B06" w:rsidRDefault="00900B06" w:rsidP="0001081D"/>
    <w:p w14:paraId="31793C5B" w14:textId="130D3592" w:rsidR="00900B06" w:rsidRDefault="00900B06" w:rsidP="0001081D"/>
    <w:p w14:paraId="7CCCD297" w14:textId="58B7DFAB" w:rsidR="00900B06" w:rsidRDefault="00900B06" w:rsidP="0001081D"/>
    <w:p w14:paraId="210C83DB" w14:textId="782B2F23" w:rsidR="00900B06" w:rsidRDefault="00900B06" w:rsidP="0001081D"/>
    <w:p w14:paraId="2BBC55F7" w14:textId="733AAF22" w:rsidR="00900B06" w:rsidRDefault="00900B06" w:rsidP="0001081D"/>
    <w:p w14:paraId="2D5D935A" w14:textId="79EAC207" w:rsidR="00900B06" w:rsidRDefault="00900B06" w:rsidP="0001081D"/>
    <w:p w14:paraId="3E227AAF" w14:textId="4BC95408" w:rsidR="00900B06" w:rsidRDefault="00900B06" w:rsidP="0001081D"/>
    <w:p w14:paraId="05A98330" w14:textId="531A7877" w:rsidR="00900B06" w:rsidRDefault="00900B06" w:rsidP="0001081D"/>
    <w:p w14:paraId="398C57A1" w14:textId="580A92A1" w:rsidR="00900B06" w:rsidRDefault="00900B06" w:rsidP="0001081D"/>
    <w:p w14:paraId="52D8210D" w14:textId="77777777" w:rsidR="00B628EA" w:rsidRDefault="00B628EA" w:rsidP="00085F46">
      <w:pPr>
        <w:pStyle w:val="Heading2"/>
        <w:ind w:right="260"/>
      </w:pPr>
    </w:p>
    <w:p w14:paraId="5CAB6D0D" w14:textId="77777777" w:rsidR="00B628EA" w:rsidRDefault="00B628EA" w:rsidP="00085F46">
      <w:pPr>
        <w:pStyle w:val="Heading2"/>
        <w:ind w:right="260"/>
      </w:pPr>
    </w:p>
    <w:p w14:paraId="4B6A2A80" w14:textId="77777777" w:rsidR="00E74B50" w:rsidRDefault="00E74B50" w:rsidP="00085F46">
      <w:pPr>
        <w:pStyle w:val="Heading2"/>
        <w:ind w:right="260"/>
        <w:rPr>
          <w:b/>
          <w:bCs/>
          <w:color w:val="000000" w:themeColor="text1"/>
        </w:rPr>
      </w:pPr>
    </w:p>
    <w:p w14:paraId="277738AE" w14:textId="77777777" w:rsidR="00E74B50" w:rsidRDefault="00E74B50" w:rsidP="00085F46">
      <w:pPr>
        <w:pStyle w:val="Heading2"/>
        <w:ind w:right="260"/>
        <w:rPr>
          <w:b/>
          <w:bCs/>
          <w:color w:val="000000" w:themeColor="text1"/>
        </w:rPr>
      </w:pPr>
    </w:p>
    <w:p w14:paraId="05F550B0" w14:textId="77777777" w:rsidR="00E74B50" w:rsidRDefault="00E74B50" w:rsidP="00085F46">
      <w:pPr>
        <w:pStyle w:val="Heading2"/>
        <w:ind w:right="260"/>
        <w:rPr>
          <w:b/>
          <w:bCs/>
          <w:color w:val="000000" w:themeColor="text1"/>
        </w:rPr>
      </w:pPr>
    </w:p>
    <w:p w14:paraId="2CA0E6CB" w14:textId="23C6353E" w:rsidR="00085F46" w:rsidRPr="00B628EA" w:rsidRDefault="00085F46" w:rsidP="00085F46">
      <w:pPr>
        <w:pStyle w:val="Heading2"/>
        <w:ind w:right="260"/>
        <w:rPr>
          <w:b/>
          <w:bCs/>
          <w:color w:val="000000" w:themeColor="text1"/>
        </w:rPr>
      </w:pPr>
      <w:bookmarkStart w:id="44" w:name="_Toc90411216"/>
      <w:r w:rsidRPr="00B628EA">
        <w:rPr>
          <w:b/>
          <w:bCs/>
          <w:color w:val="000000" w:themeColor="text1"/>
        </w:rPr>
        <w:lastRenderedPageBreak/>
        <w:t>Appendices</w:t>
      </w:r>
      <w:bookmarkEnd w:id="44"/>
    </w:p>
    <w:p w14:paraId="33C2D4EF" w14:textId="77777777" w:rsidR="00085F46" w:rsidRPr="00B628EA" w:rsidRDefault="00085F46" w:rsidP="00C4250C">
      <w:pPr>
        <w:pStyle w:val="Heading3"/>
      </w:pPr>
      <w:bookmarkStart w:id="45" w:name="_Toc90411217"/>
      <w:r w:rsidRPr="00B628EA">
        <w:t>Appendix 1</w:t>
      </w:r>
      <w:bookmarkEnd w:id="45"/>
    </w:p>
    <w:p w14:paraId="5BDFDDAE" w14:textId="466160BD" w:rsidR="00085F46" w:rsidRPr="00B628EA" w:rsidRDefault="00085F46" w:rsidP="00085F46">
      <w:pPr>
        <w:rPr>
          <w:rFonts w:eastAsia="Segoe UI" w:cs="Segoe UI"/>
          <w:b/>
          <w:bCs/>
          <w:i/>
          <w:iCs/>
          <w:sz w:val="22"/>
          <w:szCs w:val="22"/>
        </w:rPr>
      </w:pPr>
      <w:r w:rsidRPr="00B628EA">
        <w:rPr>
          <w:rFonts w:eastAsia="Segoe UI" w:cs="Segoe UI"/>
          <w:b/>
          <w:bCs/>
          <w:i/>
          <w:iCs/>
          <w:sz w:val="22"/>
          <w:szCs w:val="22"/>
        </w:rPr>
        <w:t xml:space="preserve">Illustrative example of indicators and data sources by surveillance objective. </w:t>
      </w:r>
    </w:p>
    <w:p w14:paraId="0A938ACE" w14:textId="121312DB" w:rsidR="00085F46" w:rsidRPr="00B628EA" w:rsidRDefault="00085F46" w:rsidP="00085F46">
      <w:pPr>
        <w:rPr>
          <w:rFonts w:eastAsia="Segoe UI" w:cs="Segoe UI"/>
          <w:sz w:val="22"/>
          <w:szCs w:val="22"/>
        </w:rPr>
      </w:pPr>
      <w:r w:rsidRPr="00B628EA">
        <w:rPr>
          <w:rFonts w:eastAsia="Segoe UI" w:cs="Segoe UI"/>
          <w:b/>
          <w:bCs/>
          <w:sz w:val="22"/>
          <w:szCs w:val="22"/>
        </w:rPr>
        <w:t>Objective 1:</w:t>
      </w:r>
      <w:r w:rsidRPr="00B628EA">
        <w:rPr>
          <w:rFonts w:eastAsia="Segoe UI" w:cs="Segoe UI"/>
          <w:sz w:val="22"/>
          <w:szCs w:val="22"/>
        </w:rPr>
        <w:t xml:space="preserve"> Monitor and describe the incidence, prevalence, geographic spread, and severity of COVID-19 in the population to estimate the burden of disease, assess trends, viral changes, and inform appropriate prevention and mitigation measures.</w:t>
      </w:r>
    </w:p>
    <w:tbl>
      <w:tblPr>
        <w:tblStyle w:val="GridTable1Light"/>
        <w:tblW w:w="0" w:type="auto"/>
        <w:jc w:val="center"/>
        <w:tblLayout w:type="fixed"/>
        <w:tblLook w:val="04A0" w:firstRow="1" w:lastRow="0" w:firstColumn="1" w:lastColumn="0" w:noHBand="0" w:noVBand="1"/>
      </w:tblPr>
      <w:tblGrid>
        <w:gridCol w:w="6090"/>
        <w:gridCol w:w="2925"/>
      </w:tblGrid>
      <w:tr w:rsidR="00085F46" w:rsidRPr="009921D1" w14:paraId="5050FB53" w14:textId="77777777" w:rsidTr="007A608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90" w:type="dxa"/>
            <w:tcBorders>
              <w:top w:val="single" w:sz="8" w:space="0" w:color="999999"/>
              <w:left w:val="single" w:sz="8" w:space="0" w:color="999999"/>
              <w:bottom w:val="single" w:sz="12" w:space="0" w:color="666666"/>
              <w:right w:val="single" w:sz="8" w:space="0" w:color="999999"/>
            </w:tcBorders>
          </w:tcPr>
          <w:p w14:paraId="5940B330" w14:textId="77777777" w:rsidR="00085F46" w:rsidRPr="009921D1" w:rsidRDefault="00085F46" w:rsidP="007A6088">
            <w:pPr>
              <w:rPr>
                <w:rFonts w:cs="Segoe UI"/>
                <w:szCs w:val="21"/>
              </w:rPr>
            </w:pPr>
            <w:r w:rsidRPr="009921D1">
              <w:rPr>
                <w:rFonts w:eastAsia="Segoe UI" w:cs="Segoe UI"/>
                <w:szCs w:val="21"/>
              </w:rPr>
              <w:t>Indicators</w:t>
            </w:r>
          </w:p>
        </w:tc>
        <w:tc>
          <w:tcPr>
            <w:tcW w:w="2925" w:type="dxa"/>
            <w:tcBorders>
              <w:top w:val="single" w:sz="8" w:space="0" w:color="999999"/>
              <w:left w:val="single" w:sz="8" w:space="0" w:color="999999"/>
              <w:bottom w:val="single" w:sz="12" w:space="0" w:color="666666"/>
              <w:right w:val="single" w:sz="8" w:space="0" w:color="999999"/>
            </w:tcBorders>
          </w:tcPr>
          <w:p w14:paraId="222714AD" w14:textId="77777777" w:rsidR="00085F46" w:rsidRPr="009921D1" w:rsidRDefault="00085F46" w:rsidP="007A6088">
            <w:pPr>
              <w:cnfStyle w:val="100000000000" w:firstRow="1" w:lastRow="0" w:firstColumn="0" w:lastColumn="0" w:oddVBand="0" w:evenVBand="0" w:oddHBand="0" w:evenHBand="0" w:firstRowFirstColumn="0" w:firstRowLastColumn="0" w:lastRowFirstColumn="0" w:lastRowLastColumn="0"/>
              <w:rPr>
                <w:rFonts w:cs="Segoe UI"/>
                <w:szCs w:val="21"/>
              </w:rPr>
            </w:pPr>
            <w:r w:rsidRPr="009921D1">
              <w:rPr>
                <w:rFonts w:eastAsia="Segoe UI" w:cs="Segoe UI"/>
                <w:b w:val="0"/>
                <w:bCs w:val="0"/>
                <w:szCs w:val="21"/>
              </w:rPr>
              <w:t>Principle data source</w:t>
            </w:r>
          </w:p>
        </w:tc>
      </w:tr>
      <w:tr w:rsidR="00085F46" w:rsidRPr="009921D1" w14:paraId="230FB779" w14:textId="77777777" w:rsidTr="007A6088">
        <w:trPr>
          <w:jc w:val="center"/>
        </w:trPr>
        <w:tc>
          <w:tcPr>
            <w:cnfStyle w:val="001000000000" w:firstRow="0" w:lastRow="0" w:firstColumn="1" w:lastColumn="0" w:oddVBand="0" w:evenVBand="0" w:oddHBand="0" w:evenHBand="0" w:firstRowFirstColumn="0" w:firstRowLastColumn="0" w:lastRowFirstColumn="0" w:lastRowLastColumn="0"/>
            <w:tcW w:w="6090" w:type="dxa"/>
            <w:tcBorders>
              <w:top w:val="single" w:sz="12" w:space="0" w:color="666666"/>
              <w:left w:val="single" w:sz="8" w:space="0" w:color="999999"/>
              <w:bottom w:val="single" w:sz="8" w:space="0" w:color="999999"/>
              <w:right w:val="single" w:sz="8" w:space="0" w:color="999999"/>
            </w:tcBorders>
          </w:tcPr>
          <w:p w14:paraId="4DC68E1F" w14:textId="77777777" w:rsidR="00085F46" w:rsidRPr="009921D1" w:rsidRDefault="00085F46" w:rsidP="007A6088">
            <w:pPr>
              <w:rPr>
                <w:rFonts w:cs="Segoe UI"/>
                <w:szCs w:val="21"/>
              </w:rPr>
            </w:pPr>
            <w:r w:rsidRPr="009921D1">
              <w:rPr>
                <w:rFonts w:eastAsia="Segoe UI" w:cs="Segoe UI"/>
                <w:szCs w:val="21"/>
              </w:rPr>
              <w:t>Daily number of infections by region</w:t>
            </w:r>
          </w:p>
        </w:tc>
        <w:tc>
          <w:tcPr>
            <w:tcW w:w="2925" w:type="dxa"/>
            <w:tcBorders>
              <w:top w:val="single" w:sz="12" w:space="0" w:color="666666"/>
              <w:left w:val="single" w:sz="8" w:space="0" w:color="999999"/>
              <w:bottom w:val="single" w:sz="8" w:space="0" w:color="999999"/>
              <w:right w:val="single" w:sz="8" w:space="0" w:color="999999"/>
            </w:tcBorders>
          </w:tcPr>
          <w:p w14:paraId="55471579" w14:textId="77777777" w:rsidR="00085F46" w:rsidRPr="009921D1" w:rsidRDefault="00085F46" w:rsidP="007A6088">
            <w:pPr>
              <w:cnfStyle w:val="000000000000" w:firstRow="0" w:lastRow="0" w:firstColumn="0" w:lastColumn="0" w:oddVBand="0" w:evenVBand="0" w:oddHBand="0" w:evenHBand="0" w:firstRowFirstColumn="0" w:firstRowLastColumn="0" w:lastRowFirstColumn="0" w:lastRowLastColumn="0"/>
              <w:rPr>
                <w:rFonts w:cs="Segoe UI"/>
                <w:szCs w:val="21"/>
              </w:rPr>
            </w:pPr>
            <w:r w:rsidRPr="009921D1">
              <w:rPr>
                <w:rFonts w:eastAsia="Segoe UI" w:cs="Segoe UI"/>
                <w:szCs w:val="21"/>
              </w:rPr>
              <w:t>NCTS / EpiSurv</w:t>
            </w:r>
          </w:p>
        </w:tc>
      </w:tr>
      <w:tr w:rsidR="00085F46" w:rsidRPr="009921D1" w14:paraId="5F54E49B" w14:textId="77777777" w:rsidTr="007A6088">
        <w:trPr>
          <w:jc w:val="center"/>
        </w:trPr>
        <w:tc>
          <w:tcPr>
            <w:cnfStyle w:val="001000000000" w:firstRow="0" w:lastRow="0" w:firstColumn="1" w:lastColumn="0" w:oddVBand="0" w:evenVBand="0" w:oddHBand="0" w:evenHBand="0" w:firstRowFirstColumn="0" w:firstRowLastColumn="0" w:lastRowFirstColumn="0" w:lastRowLastColumn="0"/>
            <w:tcW w:w="6090" w:type="dxa"/>
            <w:tcBorders>
              <w:top w:val="single" w:sz="8" w:space="0" w:color="999999"/>
              <w:left w:val="single" w:sz="8" w:space="0" w:color="999999"/>
              <w:bottom w:val="single" w:sz="8" w:space="0" w:color="999999"/>
              <w:right w:val="single" w:sz="8" w:space="0" w:color="999999"/>
            </w:tcBorders>
          </w:tcPr>
          <w:p w14:paraId="2CFE61BE" w14:textId="77777777" w:rsidR="00085F46" w:rsidRPr="009921D1" w:rsidRDefault="00085F46" w:rsidP="007A6088">
            <w:pPr>
              <w:rPr>
                <w:rFonts w:cs="Segoe UI"/>
                <w:szCs w:val="21"/>
              </w:rPr>
            </w:pPr>
            <w:r w:rsidRPr="009921D1">
              <w:rPr>
                <w:rFonts w:eastAsia="Segoe UI" w:cs="Segoe UI"/>
                <w:szCs w:val="21"/>
              </w:rPr>
              <w:t>Ratio of COVID-19 cases to ILI (?)</w:t>
            </w:r>
          </w:p>
        </w:tc>
        <w:tc>
          <w:tcPr>
            <w:tcW w:w="2925" w:type="dxa"/>
            <w:tcBorders>
              <w:top w:val="single" w:sz="8" w:space="0" w:color="999999"/>
              <w:left w:val="single" w:sz="8" w:space="0" w:color="999999"/>
              <w:bottom w:val="single" w:sz="8" w:space="0" w:color="999999"/>
              <w:right w:val="single" w:sz="8" w:space="0" w:color="999999"/>
            </w:tcBorders>
          </w:tcPr>
          <w:p w14:paraId="35F8861F" w14:textId="77777777" w:rsidR="00085F46" w:rsidRPr="009921D1" w:rsidRDefault="00085F46" w:rsidP="007A6088">
            <w:pPr>
              <w:cnfStyle w:val="000000000000" w:firstRow="0" w:lastRow="0" w:firstColumn="0" w:lastColumn="0" w:oddVBand="0" w:evenVBand="0" w:oddHBand="0" w:evenHBand="0" w:firstRowFirstColumn="0" w:firstRowLastColumn="0" w:lastRowFirstColumn="0" w:lastRowLastColumn="0"/>
              <w:rPr>
                <w:rFonts w:cs="Segoe UI"/>
                <w:szCs w:val="21"/>
              </w:rPr>
            </w:pPr>
            <w:r w:rsidRPr="009921D1">
              <w:rPr>
                <w:rFonts w:eastAsia="Segoe UI" w:cs="Segoe UI"/>
                <w:szCs w:val="21"/>
              </w:rPr>
              <w:t>Cases – NCTS</w:t>
            </w:r>
          </w:p>
          <w:p w14:paraId="1A3E33C6" w14:textId="77777777" w:rsidR="00085F46" w:rsidRPr="009921D1" w:rsidRDefault="00085F46" w:rsidP="007A6088">
            <w:pPr>
              <w:cnfStyle w:val="000000000000" w:firstRow="0" w:lastRow="0" w:firstColumn="0" w:lastColumn="0" w:oddVBand="0" w:evenVBand="0" w:oddHBand="0" w:evenHBand="0" w:firstRowFirstColumn="0" w:firstRowLastColumn="0" w:lastRowFirstColumn="0" w:lastRowLastColumn="0"/>
              <w:rPr>
                <w:rFonts w:cs="Segoe UI"/>
                <w:szCs w:val="21"/>
              </w:rPr>
            </w:pPr>
            <w:r w:rsidRPr="009921D1">
              <w:rPr>
                <w:rFonts w:eastAsia="Segoe UI" w:cs="Segoe UI"/>
                <w:szCs w:val="21"/>
              </w:rPr>
              <w:t>ILI - ESR HealthStat ILI surveillance and FluTracker</w:t>
            </w:r>
          </w:p>
        </w:tc>
      </w:tr>
      <w:tr w:rsidR="00085F46" w:rsidRPr="009921D1" w14:paraId="7F6776C3" w14:textId="77777777" w:rsidTr="007A6088">
        <w:trPr>
          <w:jc w:val="center"/>
        </w:trPr>
        <w:tc>
          <w:tcPr>
            <w:cnfStyle w:val="001000000000" w:firstRow="0" w:lastRow="0" w:firstColumn="1" w:lastColumn="0" w:oddVBand="0" w:evenVBand="0" w:oddHBand="0" w:evenHBand="0" w:firstRowFirstColumn="0" w:firstRowLastColumn="0" w:lastRowFirstColumn="0" w:lastRowLastColumn="0"/>
            <w:tcW w:w="6090" w:type="dxa"/>
            <w:tcBorders>
              <w:top w:val="single" w:sz="8" w:space="0" w:color="999999"/>
              <w:left w:val="single" w:sz="8" w:space="0" w:color="999999"/>
              <w:bottom w:val="single" w:sz="8" w:space="0" w:color="999999"/>
              <w:right w:val="single" w:sz="8" w:space="0" w:color="999999"/>
            </w:tcBorders>
          </w:tcPr>
          <w:p w14:paraId="56D2F88E" w14:textId="77777777" w:rsidR="00085F46" w:rsidRPr="009921D1" w:rsidRDefault="00085F46" w:rsidP="007A6088">
            <w:pPr>
              <w:tabs>
                <w:tab w:val="left" w:pos="1152"/>
              </w:tabs>
              <w:rPr>
                <w:rFonts w:cs="Segoe UI"/>
                <w:szCs w:val="21"/>
              </w:rPr>
            </w:pPr>
            <w:r w:rsidRPr="009921D1">
              <w:rPr>
                <w:rFonts w:eastAsia="Segoe UI" w:cs="Segoe UI"/>
                <w:szCs w:val="21"/>
              </w:rPr>
              <w:t>Regional distribution and strength of SARS-CoV-2 RNA detected in wastewater</w:t>
            </w:r>
          </w:p>
        </w:tc>
        <w:tc>
          <w:tcPr>
            <w:tcW w:w="2925" w:type="dxa"/>
            <w:tcBorders>
              <w:top w:val="single" w:sz="8" w:space="0" w:color="999999"/>
              <w:left w:val="single" w:sz="8" w:space="0" w:color="999999"/>
              <w:bottom w:val="single" w:sz="8" w:space="0" w:color="999999"/>
              <w:right w:val="single" w:sz="8" w:space="0" w:color="999999"/>
            </w:tcBorders>
          </w:tcPr>
          <w:p w14:paraId="76964F27" w14:textId="77777777" w:rsidR="00085F46" w:rsidRPr="009921D1" w:rsidRDefault="00085F46" w:rsidP="007A6088">
            <w:pPr>
              <w:cnfStyle w:val="000000000000" w:firstRow="0" w:lastRow="0" w:firstColumn="0" w:lastColumn="0" w:oddVBand="0" w:evenVBand="0" w:oddHBand="0" w:evenHBand="0" w:firstRowFirstColumn="0" w:firstRowLastColumn="0" w:lastRowFirstColumn="0" w:lastRowLastColumn="0"/>
              <w:rPr>
                <w:rFonts w:cs="Segoe UI"/>
                <w:szCs w:val="21"/>
              </w:rPr>
            </w:pPr>
            <w:r w:rsidRPr="009921D1">
              <w:rPr>
                <w:rFonts w:eastAsia="Segoe UI" w:cs="Segoe UI"/>
                <w:szCs w:val="21"/>
              </w:rPr>
              <w:t>ESR wastewater report</w:t>
            </w:r>
          </w:p>
        </w:tc>
      </w:tr>
      <w:tr w:rsidR="00085F46" w:rsidRPr="009921D1" w14:paraId="006AE492" w14:textId="77777777" w:rsidTr="007A6088">
        <w:trPr>
          <w:jc w:val="center"/>
        </w:trPr>
        <w:tc>
          <w:tcPr>
            <w:cnfStyle w:val="001000000000" w:firstRow="0" w:lastRow="0" w:firstColumn="1" w:lastColumn="0" w:oddVBand="0" w:evenVBand="0" w:oddHBand="0" w:evenHBand="0" w:firstRowFirstColumn="0" w:firstRowLastColumn="0" w:lastRowFirstColumn="0" w:lastRowLastColumn="0"/>
            <w:tcW w:w="6090" w:type="dxa"/>
            <w:tcBorders>
              <w:top w:val="single" w:sz="8" w:space="0" w:color="999999"/>
              <w:left w:val="single" w:sz="8" w:space="0" w:color="999999"/>
              <w:bottom w:val="single" w:sz="8" w:space="0" w:color="999999"/>
              <w:right w:val="single" w:sz="8" w:space="0" w:color="999999"/>
            </w:tcBorders>
          </w:tcPr>
          <w:p w14:paraId="3F4410C0" w14:textId="77777777" w:rsidR="00085F46" w:rsidRPr="009921D1" w:rsidRDefault="00085F46" w:rsidP="007A6088">
            <w:pPr>
              <w:rPr>
                <w:rFonts w:cs="Segoe UI"/>
                <w:szCs w:val="21"/>
              </w:rPr>
            </w:pPr>
            <w:r w:rsidRPr="009921D1">
              <w:rPr>
                <w:rFonts w:eastAsia="Segoe UI" w:cs="Segoe UI"/>
                <w:szCs w:val="21"/>
              </w:rPr>
              <w:t>Case hospitalisation and ICU admission rate and hospitalisation/ICU duration</w:t>
            </w:r>
          </w:p>
        </w:tc>
        <w:tc>
          <w:tcPr>
            <w:tcW w:w="2925" w:type="dxa"/>
            <w:tcBorders>
              <w:top w:val="single" w:sz="8" w:space="0" w:color="999999"/>
              <w:left w:val="single" w:sz="8" w:space="0" w:color="999999"/>
              <w:bottom w:val="single" w:sz="8" w:space="0" w:color="999999"/>
              <w:right w:val="single" w:sz="8" w:space="0" w:color="999999"/>
            </w:tcBorders>
          </w:tcPr>
          <w:p w14:paraId="31435D9C" w14:textId="77777777" w:rsidR="00085F46" w:rsidRPr="009921D1" w:rsidRDefault="00085F46" w:rsidP="007A6088">
            <w:pPr>
              <w:cnfStyle w:val="000000000000" w:firstRow="0" w:lastRow="0" w:firstColumn="0" w:lastColumn="0" w:oddVBand="0" w:evenVBand="0" w:oddHBand="0" w:evenHBand="0" w:firstRowFirstColumn="0" w:firstRowLastColumn="0" w:lastRowFirstColumn="0" w:lastRowLastColumn="0"/>
              <w:rPr>
                <w:rFonts w:cs="Segoe UI"/>
                <w:szCs w:val="21"/>
              </w:rPr>
            </w:pPr>
            <w:r w:rsidRPr="009921D1">
              <w:rPr>
                <w:rFonts w:cs="Segoe UI"/>
                <w:color w:val="242424"/>
                <w:szCs w:val="21"/>
                <w:shd w:val="clear" w:color="auto" w:fill="FFFFFF"/>
              </w:rPr>
              <w:t>NMDS and ED</w:t>
            </w:r>
          </w:p>
        </w:tc>
      </w:tr>
      <w:tr w:rsidR="00085F46" w:rsidRPr="009921D1" w14:paraId="29DE4CEB" w14:textId="77777777" w:rsidTr="007A6088">
        <w:trPr>
          <w:jc w:val="center"/>
        </w:trPr>
        <w:tc>
          <w:tcPr>
            <w:cnfStyle w:val="001000000000" w:firstRow="0" w:lastRow="0" w:firstColumn="1" w:lastColumn="0" w:oddVBand="0" w:evenVBand="0" w:oddHBand="0" w:evenHBand="0" w:firstRowFirstColumn="0" w:firstRowLastColumn="0" w:lastRowFirstColumn="0" w:lastRowLastColumn="0"/>
            <w:tcW w:w="6090" w:type="dxa"/>
            <w:tcBorders>
              <w:top w:val="single" w:sz="8" w:space="0" w:color="999999"/>
              <w:left w:val="single" w:sz="8" w:space="0" w:color="999999"/>
              <w:bottom w:val="single" w:sz="8" w:space="0" w:color="999999"/>
              <w:right w:val="single" w:sz="8" w:space="0" w:color="999999"/>
            </w:tcBorders>
          </w:tcPr>
          <w:p w14:paraId="1FCF5FAD" w14:textId="77777777" w:rsidR="00085F46" w:rsidRPr="009921D1" w:rsidRDefault="00085F46" w:rsidP="007A6088">
            <w:pPr>
              <w:rPr>
                <w:rFonts w:cs="Segoe UI"/>
                <w:szCs w:val="21"/>
              </w:rPr>
            </w:pPr>
            <w:r w:rsidRPr="009921D1">
              <w:rPr>
                <w:rFonts w:eastAsia="Segoe UI" w:cs="Segoe UI"/>
                <w:szCs w:val="21"/>
              </w:rPr>
              <w:t>Variants sequenced in cases and the wastewater (could include but this is a future thing)</w:t>
            </w:r>
          </w:p>
        </w:tc>
        <w:tc>
          <w:tcPr>
            <w:tcW w:w="2925" w:type="dxa"/>
            <w:tcBorders>
              <w:top w:val="single" w:sz="8" w:space="0" w:color="999999"/>
              <w:left w:val="single" w:sz="8" w:space="0" w:color="999999"/>
              <w:bottom w:val="single" w:sz="8" w:space="0" w:color="999999"/>
              <w:right w:val="single" w:sz="8" w:space="0" w:color="999999"/>
            </w:tcBorders>
          </w:tcPr>
          <w:p w14:paraId="719630E2" w14:textId="77777777" w:rsidR="00085F46" w:rsidRPr="009921D1" w:rsidRDefault="00085F46" w:rsidP="007A6088">
            <w:pPr>
              <w:cnfStyle w:val="000000000000" w:firstRow="0" w:lastRow="0" w:firstColumn="0" w:lastColumn="0" w:oddVBand="0" w:evenVBand="0" w:oddHBand="0" w:evenHBand="0" w:firstRowFirstColumn="0" w:firstRowLastColumn="0" w:lastRowFirstColumn="0" w:lastRowLastColumn="0"/>
              <w:rPr>
                <w:rFonts w:cs="Segoe UI"/>
                <w:szCs w:val="21"/>
              </w:rPr>
            </w:pPr>
            <w:r w:rsidRPr="009921D1">
              <w:rPr>
                <w:rFonts w:eastAsia="Segoe UI" w:cs="Segoe UI"/>
                <w:szCs w:val="21"/>
              </w:rPr>
              <w:t>ESR WGS report</w:t>
            </w:r>
          </w:p>
        </w:tc>
      </w:tr>
    </w:tbl>
    <w:p w14:paraId="5039AA83" w14:textId="77777777" w:rsidR="00085F46" w:rsidRPr="009921D1" w:rsidRDefault="00085F46" w:rsidP="00085F46">
      <w:pPr>
        <w:rPr>
          <w:rFonts w:cs="Segoe UI"/>
          <w:szCs w:val="21"/>
        </w:rPr>
      </w:pPr>
      <w:r w:rsidRPr="009921D1">
        <w:rPr>
          <w:rFonts w:eastAsia="Calibri" w:cs="Segoe UI"/>
          <w:szCs w:val="21"/>
        </w:rPr>
        <w:t xml:space="preserve"> </w:t>
      </w:r>
    </w:p>
    <w:p w14:paraId="2F618636" w14:textId="1084108B" w:rsidR="00085F46" w:rsidRPr="00B628EA" w:rsidRDefault="00085F46" w:rsidP="00085F46">
      <w:pPr>
        <w:rPr>
          <w:rFonts w:eastAsia="Segoe UI" w:cs="Segoe UI"/>
          <w:color w:val="000000" w:themeColor="text1"/>
          <w:sz w:val="22"/>
          <w:szCs w:val="22"/>
        </w:rPr>
      </w:pPr>
      <w:r w:rsidRPr="00B628EA">
        <w:rPr>
          <w:rFonts w:eastAsia="Segoe UI" w:cs="Segoe UI"/>
          <w:b/>
          <w:bCs/>
          <w:sz w:val="22"/>
          <w:szCs w:val="22"/>
        </w:rPr>
        <w:t>Objective 2:</w:t>
      </w:r>
      <w:r w:rsidRPr="00B628EA">
        <w:rPr>
          <w:rFonts w:eastAsia="Segoe UI" w:cs="Segoe UI"/>
          <w:sz w:val="22"/>
          <w:szCs w:val="22"/>
        </w:rPr>
        <w:t xml:space="preserve"> </w:t>
      </w:r>
      <w:r w:rsidRPr="00B628EA">
        <w:rPr>
          <w:rFonts w:eastAsia="Segoe UI" w:cs="Segoe UI"/>
          <w:color w:val="000000" w:themeColor="text1"/>
          <w:sz w:val="22"/>
          <w:szCs w:val="22"/>
        </w:rPr>
        <w:t xml:space="preserve"> Assess COVID-19 relevant data and impacts on equity settings and populations at higher-risk for transmission, and poorer clinical and other outcomes.</w:t>
      </w:r>
    </w:p>
    <w:tbl>
      <w:tblPr>
        <w:tblStyle w:val="GridTable1Light"/>
        <w:tblW w:w="0" w:type="auto"/>
        <w:tblInd w:w="662" w:type="dxa"/>
        <w:tblLayout w:type="fixed"/>
        <w:tblLook w:val="04A0" w:firstRow="1" w:lastRow="0" w:firstColumn="1" w:lastColumn="0" w:noHBand="0" w:noVBand="1"/>
      </w:tblPr>
      <w:tblGrid>
        <w:gridCol w:w="6090"/>
        <w:gridCol w:w="2925"/>
      </w:tblGrid>
      <w:tr w:rsidR="00085F46" w:rsidRPr="009921D1" w14:paraId="40478F5E" w14:textId="77777777" w:rsidTr="007A60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0" w:type="dxa"/>
            <w:tcBorders>
              <w:top w:val="single" w:sz="8" w:space="0" w:color="999999"/>
              <w:left w:val="single" w:sz="8" w:space="0" w:color="999999"/>
              <w:bottom w:val="single" w:sz="12" w:space="0" w:color="666666"/>
              <w:right w:val="single" w:sz="8" w:space="0" w:color="999999"/>
            </w:tcBorders>
          </w:tcPr>
          <w:p w14:paraId="4B66865B" w14:textId="77777777" w:rsidR="00085F46" w:rsidRPr="009921D1" w:rsidRDefault="00085F46" w:rsidP="007A6088">
            <w:pPr>
              <w:rPr>
                <w:rFonts w:cs="Segoe UI"/>
                <w:szCs w:val="21"/>
              </w:rPr>
            </w:pPr>
            <w:r w:rsidRPr="009921D1">
              <w:rPr>
                <w:rFonts w:eastAsia="Segoe UI" w:cs="Segoe UI"/>
                <w:szCs w:val="21"/>
              </w:rPr>
              <w:t>Indicators</w:t>
            </w:r>
          </w:p>
        </w:tc>
        <w:tc>
          <w:tcPr>
            <w:tcW w:w="2925" w:type="dxa"/>
            <w:tcBorders>
              <w:top w:val="single" w:sz="8" w:space="0" w:color="999999"/>
              <w:left w:val="single" w:sz="8" w:space="0" w:color="999999"/>
              <w:bottom w:val="single" w:sz="12" w:space="0" w:color="666666"/>
              <w:right w:val="single" w:sz="8" w:space="0" w:color="999999"/>
            </w:tcBorders>
          </w:tcPr>
          <w:p w14:paraId="373D2880" w14:textId="77777777" w:rsidR="00085F46" w:rsidRPr="009921D1" w:rsidRDefault="00085F46" w:rsidP="007A6088">
            <w:pPr>
              <w:cnfStyle w:val="100000000000" w:firstRow="1" w:lastRow="0" w:firstColumn="0" w:lastColumn="0" w:oddVBand="0" w:evenVBand="0" w:oddHBand="0" w:evenHBand="0" w:firstRowFirstColumn="0" w:firstRowLastColumn="0" w:lastRowFirstColumn="0" w:lastRowLastColumn="0"/>
              <w:rPr>
                <w:rFonts w:cs="Segoe UI"/>
                <w:szCs w:val="21"/>
              </w:rPr>
            </w:pPr>
            <w:r w:rsidRPr="009921D1">
              <w:rPr>
                <w:rFonts w:eastAsia="Segoe UI" w:cs="Segoe UI"/>
                <w:b w:val="0"/>
                <w:bCs w:val="0"/>
                <w:szCs w:val="21"/>
              </w:rPr>
              <w:t>Principle data source</w:t>
            </w:r>
          </w:p>
        </w:tc>
      </w:tr>
      <w:tr w:rsidR="00085F46" w:rsidRPr="009921D1" w14:paraId="612BF2A9" w14:textId="77777777" w:rsidTr="007A6088">
        <w:tc>
          <w:tcPr>
            <w:cnfStyle w:val="001000000000" w:firstRow="0" w:lastRow="0" w:firstColumn="1" w:lastColumn="0" w:oddVBand="0" w:evenVBand="0" w:oddHBand="0" w:evenHBand="0" w:firstRowFirstColumn="0" w:firstRowLastColumn="0" w:lastRowFirstColumn="0" w:lastRowLastColumn="0"/>
            <w:tcW w:w="6090" w:type="dxa"/>
            <w:tcBorders>
              <w:top w:val="single" w:sz="12" w:space="0" w:color="666666"/>
              <w:left w:val="single" w:sz="8" w:space="0" w:color="999999"/>
              <w:bottom w:val="single" w:sz="8" w:space="0" w:color="999999"/>
              <w:right w:val="single" w:sz="8" w:space="0" w:color="999999"/>
            </w:tcBorders>
          </w:tcPr>
          <w:p w14:paraId="1453CCF6" w14:textId="77777777" w:rsidR="00085F46" w:rsidRPr="009921D1" w:rsidRDefault="00085F46" w:rsidP="007A6088">
            <w:pPr>
              <w:rPr>
                <w:rFonts w:cs="Segoe UI"/>
                <w:szCs w:val="21"/>
              </w:rPr>
            </w:pPr>
            <w:r w:rsidRPr="009921D1">
              <w:rPr>
                <w:rFonts w:eastAsia="Segoe UI" w:cs="Segoe UI"/>
                <w:szCs w:val="21"/>
              </w:rPr>
              <w:t xml:space="preserve">Vaccine status by region </w:t>
            </w:r>
          </w:p>
        </w:tc>
        <w:tc>
          <w:tcPr>
            <w:tcW w:w="2925" w:type="dxa"/>
            <w:tcBorders>
              <w:top w:val="single" w:sz="12" w:space="0" w:color="666666"/>
              <w:left w:val="single" w:sz="8" w:space="0" w:color="999999"/>
              <w:bottom w:val="single" w:sz="8" w:space="0" w:color="999999"/>
              <w:right w:val="single" w:sz="8" w:space="0" w:color="999999"/>
            </w:tcBorders>
          </w:tcPr>
          <w:p w14:paraId="6DEABB9A" w14:textId="77777777" w:rsidR="00085F46" w:rsidRPr="009921D1" w:rsidRDefault="00085F46" w:rsidP="007A6088">
            <w:pPr>
              <w:cnfStyle w:val="000000000000" w:firstRow="0" w:lastRow="0" w:firstColumn="0" w:lastColumn="0" w:oddVBand="0" w:evenVBand="0" w:oddHBand="0" w:evenHBand="0" w:firstRowFirstColumn="0" w:firstRowLastColumn="0" w:lastRowFirstColumn="0" w:lastRowLastColumn="0"/>
              <w:rPr>
                <w:rFonts w:cs="Segoe UI"/>
                <w:szCs w:val="21"/>
              </w:rPr>
            </w:pPr>
            <w:r w:rsidRPr="009921D1">
              <w:rPr>
                <w:rFonts w:eastAsia="Segoe UI" w:cs="Segoe UI"/>
                <w:szCs w:val="21"/>
              </w:rPr>
              <w:t xml:space="preserve">CVIP database </w:t>
            </w:r>
          </w:p>
        </w:tc>
      </w:tr>
      <w:tr w:rsidR="00085F46" w:rsidRPr="009921D1" w14:paraId="178278C7" w14:textId="77777777" w:rsidTr="007A6088">
        <w:tc>
          <w:tcPr>
            <w:cnfStyle w:val="001000000000" w:firstRow="0" w:lastRow="0" w:firstColumn="1" w:lastColumn="0" w:oddVBand="0" w:evenVBand="0" w:oddHBand="0" w:evenHBand="0" w:firstRowFirstColumn="0" w:firstRowLastColumn="0" w:lastRowFirstColumn="0" w:lastRowLastColumn="0"/>
            <w:tcW w:w="6090" w:type="dxa"/>
            <w:tcBorders>
              <w:top w:val="single" w:sz="8" w:space="0" w:color="999999"/>
              <w:left w:val="single" w:sz="8" w:space="0" w:color="999999"/>
              <w:bottom w:val="single" w:sz="8" w:space="0" w:color="999999"/>
              <w:right w:val="single" w:sz="8" w:space="0" w:color="999999"/>
            </w:tcBorders>
          </w:tcPr>
          <w:p w14:paraId="6E093700" w14:textId="77777777" w:rsidR="00085F46" w:rsidRPr="009921D1" w:rsidRDefault="00085F46" w:rsidP="007A6088">
            <w:pPr>
              <w:rPr>
                <w:rFonts w:cs="Segoe UI"/>
                <w:szCs w:val="21"/>
              </w:rPr>
            </w:pPr>
            <w:r w:rsidRPr="009921D1">
              <w:rPr>
                <w:rFonts w:eastAsia="Segoe UI" w:cs="Segoe UI"/>
                <w:szCs w:val="21"/>
              </w:rPr>
              <w:t xml:space="preserve">Age by region </w:t>
            </w:r>
          </w:p>
        </w:tc>
        <w:tc>
          <w:tcPr>
            <w:tcW w:w="2925" w:type="dxa"/>
            <w:tcBorders>
              <w:top w:val="single" w:sz="8" w:space="0" w:color="999999"/>
              <w:left w:val="single" w:sz="8" w:space="0" w:color="999999"/>
              <w:bottom w:val="single" w:sz="8" w:space="0" w:color="999999"/>
              <w:right w:val="single" w:sz="8" w:space="0" w:color="999999"/>
            </w:tcBorders>
          </w:tcPr>
          <w:p w14:paraId="728FF3A2" w14:textId="77777777" w:rsidR="00085F46" w:rsidRPr="009921D1" w:rsidRDefault="00085F46" w:rsidP="007A6088">
            <w:pPr>
              <w:cnfStyle w:val="000000000000" w:firstRow="0" w:lastRow="0" w:firstColumn="0" w:lastColumn="0" w:oddVBand="0" w:evenVBand="0" w:oddHBand="0" w:evenHBand="0" w:firstRowFirstColumn="0" w:firstRowLastColumn="0" w:lastRowFirstColumn="0" w:lastRowLastColumn="0"/>
              <w:rPr>
                <w:rFonts w:cs="Segoe UI"/>
                <w:szCs w:val="21"/>
              </w:rPr>
            </w:pPr>
            <w:r w:rsidRPr="009921D1">
              <w:rPr>
                <w:rFonts w:eastAsia="Segoe UI" w:cs="Segoe UI"/>
                <w:szCs w:val="21"/>
              </w:rPr>
              <w:t>HSU</w:t>
            </w:r>
          </w:p>
        </w:tc>
      </w:tr>
      <w:tr w:rsidR="00085F46" w:rsidRPr="009921D1" w14:paraId="1AAF4D8A" w14:textId="77777777" w:rsidTr="007A6088">
        <w:tc>
          <w:tcPr>
            <w:cnfStyle w:val="001000000000" w:firstRow="0" w:lastRow="0" w:firstColumn="1" w:lastColumn="0" w:oddVBand="0" w:evenVBand="0" w:oddHBand="0" w:evenHBand="0" w:firstRowFirstColumn="0" w:firstRowLastColumn="0" w:lastRowFirstColumn="0" w:lastRowLastColumn="0"/>
            <w:tcW w:w="6090" w:type="dxa"/>
            <w:tcBorders>
              <w:top w:val="single" w:sz="8" w:space="0" w:color="999999"/>
              <w:left w:val="single" w:sz="8" w:space="0" w:color="999999"/>
              <w:bottom w:val="single" w:sz="8" w:space="0" w:color="999999"/>
              <w:right w:val="single" w:sz="8" w:space="0" w:color="999999"/>
            </w:tcBorders>
          </w:tcPr>
          <w:p w14:paraId="03602591" w14:textId="77777777" w:rsidR="00085F46" w:rsidRPr="009921D1" w:rsidRDefault="00085F46" w:rsidP="007A6088">
            <w:pPr>
              <w:rPr>
                <w:rFonts w:cs="Segoe UI"/>
                <w:szCs w:val="21"/>
              </w:rPr>
            </w:pPr>
            <w:r w:rsidRPr="009921D1">
              <w:rPr>
                <w:rFonts w:eastAsia="Segoe UI" w:cs="Segoe UI"/>
                <w:szCs w:val="21"/>
              </w:rPr>
              <w:t xml:space="preserve">Sex/gender by region </w:t>
            </w:r>
          </w:p>
        </w:tc>
        <w:tc>
          <w:tcPr>
            <w:tcW w:w="2925" w:type="dxa"/>
            <w:tcBorders>
              <w:top w:val="single" w:sz="8" w:space="0" w:color="999999"/>
              <w:left w:val="single" w:sz="8" w:space="0" w:color="999999"/>
              <w:bottom w:val="single" w:sz="8" w:space="0" w:color="999999"/>
              <w:right w:val="single" w:sz="8" w:space="0" w:color="999999"/>
            </w:tcBorders>
          </w:tcPr>
          <w:p w14:paraId="1A8DD2CA" w14:textId="77777777" w:rsidR="00085F46" w:rsidRPr="009921D1" w:rsidRDefault="00085F46" w:rsidP="007A6088">
            <w:pPr>
              <w:cnfStyle w:val="000000000000" w:firstRow="0" w:lastRow="0" w:firstColumn="0" w:lastColumn="0" w:oddVBand="0" w:evenVBand="0" w:oddHBand="0" w:evenHBand="0" w:firstRowFirstColumn="0" w:firstRowLastColumn="0" w:lastRowFirstColumn="0" w:lastRowLastColumn="0"/>
              <w:rPr>
                <w:rFonts w:cs="Segoe UI"/>
                <w:szCs w:val="21"/>
              </w:rPr>
            </w:pPr>
            <w:r w:rsidRPr="009921D1">
              <w:rPr>
                <w:rFonts w:eastAsia="Segoe UI" w:cs="Segoe UI"/>
                <w:szCs w:val="21"/>
              </w:rPr>
              <w:t xml:space="preserve">HSU </w:t>
            </w:r>
          </w:p>
          <w:p w14:paraId="4DDC622E" w14:textId="77777777" w:rsidR="00085F46" w:rsidRPr="009921D1" w:rsidRDefault="00085F46" w:rsidP="007A6088">
            <w:pPr>
              <w:cnfStyle w:val="000000000000" w:firstRow="0" w:lastRow="0" w:firstColumn="0" w:lastColumn="0" w:oddVBand="0" w:evenVBand="0" w:oddHBand="0" w:evenHBand="0" w:firstRowFirstColumn="0" w:firstRowLastColumn="0" w:lastRowFirstColumn="0" w:lastRowLastColumn="0"/>
              <w:rPr>
                <w:rFonts w:cs="Segoe UI"/>
                <w:szCs w:val="21"/>
              </w:rPr>
            </w:pPr>
            <w:r w:rsidRPr="009921D1">
              <w:rPr>
                <w:rFonts w:eastAsia="Segoe UI" w:cs="Segoe UI"/>
                <w:szCs w:val="21"/>
              </w:rPr>
              <w:t xml:space="preserve"> </w:t>
            </w:r>
          </w:p>
        </w:tc>
      </w:tr>
      <w:tr w:rsidR="00085F46" w:rsidRPr="009921D1" w14:paraId="37E0A992" w14:textId="77777777" w:rsidTr="007A6088">
        <w:tc>
          <w:tcPr>
            <w:cnfStyle w:val="001000000000" w:firstRow="0" w:lastRow="0" w:firstColumn="1" w:lastColumn="0" w:oddVBand="0" w:evenVBand="0" w:oddHBand="0" w:evenHBand="0" w:firstRowFirstColumn="0" w:firstRowLastColumn="0" w:lastRowFirstColumn="0" w:lastRowLastColumn="0"/>
            <w:tcW w:w="6090" w:type="dxa"/>
            <w:tcBorders>
              <w:top w:val="single" w:sz="8" w:space="0" w:color="999999"/>
              <w:left w:val="single" w:sz="8" w:space="0" w:color="999999"/>
              <w:bottom w:val="single" w:sz="8" w:space="0" w:color="999999"/>
              <w:right w:val="single" w:sz="8" w:space="0" w:color="999999"/>
            </w:tcBorders>
          </w:tcPr>
          <w:p w14:paraId="523E5DE8" w14:textId="77777777" w:rsidR="00085F46" w:rsidRPr="009921D1" w:rsidRDefault="00085F46" w:rsidP="007A6088">
            <w:pPr>
              <w:rPr>
                <w:rFonts w:cs="Segoe UI"/>
                <w:szCs w:val="21"/>
              </w:rPr>
            </w:pPr>
            <w:r w:rsidRPr="009921D1">
              <w:rPr>
                <w:rFonts w:eastAsia="Segoe UI" w:cs="Segoe UI"/>
                <w:szCs w:val="21"/>
              </w:rPr>
              <w:t xml:space="preserve">Ethnicity by region </w:t>
            </w:r>
          </w:p>
        </w:tc>
        <w:tc>
          <w:tcPr>
            <w:tcW w:w="2925" w:type="dxa"/>
            <w:tcBorders>
              <w:top w:val="single" w:sz="8" w:space="0" w:color="999999"/>
              <w:left w:val="single" w:sz="8" w:space="0" w:color="999999"/>
              <w:bottom w:val="single" w:sz="8" w:space="0" w:color="999999"/>
              <w:right w:val="single" w:sz="8" w:space="0" w:color="999999"/>
            </w:tcBorders>
          </w:tcPr>
          <w:p w14:paraId="3DA55EA7" w14:textId="77777777" w:rsidR="00085F46" w:rsidRPr="009921D1" w:rsidRDefault="00085F46" w:rsidP="007A6088">
            <w:pPr>
              <w:cnfStyle w:val="000000000000" w:firstRow="0" w:lastRow="0" w:firstColumn="0" w:lastColumn="0" w:oddVBand="0" w:evenVBand="0" w:oddHBand="0" w:evenHBand="0" w:firstRowFirstColumn="0" w:firstRowLastColumn="0" w:lastRowFirstColumn="0" w:lastRowLastColumn="0"/>
              <w:rPr>
                <w:rFonts w:cs="Segoe UI"/>
                <w:szCs w:val="21"/>
              </w:rPr>
            </w:pPr>
            <w:r w:rsidRPr="009921D1">
              <w:rPr>
                <w:rFonts w:eastAsia="Segoe UI" w:cs="Segoe UI"/>
                <w:szCs w:val="21"/>
              </w:rPr>
              <w:t xml:space="preserve">HSU </w:t>
            </w:r>
          </w:p>
          <w:p w14:paraId="0C2D108D" w14:textId="77777777" w:rsidR="00085F46" w:rsidRPr="009921D1" w:rsidRDefault="00085F46" w:rsidP="007A6088">
            <w:pPr>
              <w:cnfStyle w:val="000000000000" w:firstRow="0" w:lastRow="0" w:firstColumn="0" w:lastColumn="0" w:oddVBand="0" w:evenVBand="0" w:oddHBand="0" w:evenHBand="0" w:firstRowFirstColumn="0" w:firstRowLastColumn="0" w:lastRowFirstColumn="0" w:lastRowLastColumn="0"/>
              <w:rPr>
                <w:rFonts w:cs="Segoe UI"/>
                <w:szCs w:val="21"/>
              </w:rPr>
            </w:pPr>
            <w:r w:rsidRPr="009921D1">
              <w:rPr>
                <w:rFonts w:eastAsia="Segoe UI" w:cs="Segoe UI"/>
                <w:szCs w:val="21"/>
              </w:rPr>
              <w:t xml:space="preserve"> </w:t>
            </w:r>
          </w:p>
        </w:tc>
      </w:tr>
      <w:tr w:rsidR="00085F46" w:rsidRPr="009921D1" w14:paraId="6825A846" w14:textId="77777777" w:rsidTr="007A6088">
        <w:tc>
          <w:tcPr>
            <w:cnfStyle w:val="001000000000" w:firstRow="0" w:lastRow="0" w:firstColumn="1" w:lastColumn="0" w:oddVBand="0" w:evenVBand="0" w:oddHBand="0" w:evenHBand="0" w:firstRowFirstColumn="0" w:firstRowLastColumn="0" w:lastRowFirstColumn="0" w:lastRowLastColumn="0"/>
            <w:tcW w:w="6090" w:type="dxa"/>
            <w:tcBorders>
              <w:top w:val="single" w:sz="8" w:space="0" w:color="999999"/>
              <w:left w:val="single" w:sz="8" w:space="0" w:color="999999"/>
              <w:bottom w:val="single" w:sz="8" w:space="0" w:color="999999"/>
              <w:right w:val="single" w:sz="8" w:space="0" w:color="999999"/>
            </w:tcBorders>
          </w:tcPr>
          <w:p w14:paraId="40D6104B" w14:textId="77777777" w:rsidR="00085F46" w:rsidRPr="009921D1" w:rsidRDefault="00085F46" w:rsidP="007A6088">
            <w:pPr>
              <w:rPr>
                <w:rFonts w:cs="Segoe UI"/>
                <w:szCs w:val="21"/>
              </w:rPr>
            </w:pPr>
            <w:r w:rsidRPr="009921D1">
              <w:rPr>
                <w:rFonts w:eastAsia="Segoe UI" w:cs="Segoe UI"/>
                <w:szCs w:val="21"/>
              </w:rPr>
              <w:t>Co-morbidities by region</w:t>
            </w:r>
          </w:p>
        </w:tc>
        <w:tc>
          <w:tcPr>
            <w:tcW w:w="2925" w:type="dxa"/>
            <w:tcBorders>
              <w:top w:val="single" w:sz="8" w:space="0" w:color="999999"/>
              <w:left w:val="single" w:sz="8" w:space="0" w:color="999999"/>
              <w:bottom w:val="single" w:sz="8" w:space="0" w:color="999999"/>
              <w:right w:val="single" w:sz="8" w:space="0" w:color="999999"/>
            </w:tcBorders>
          </w:tcPr>
          <w:p w14:paraId="6F3BE74F" w14:textId="77777777" w:rsidR="00085F46" w:rsidRPr="009921D1" w:rsidRDefault="00085F46" w:rsidP="007A6088">
            <w:pPr>
              <w:cnfStyle w:val="000000000000" w:firstRow="0" w:lastRow="0" w:firstColumn="0" w:lastColumn="0" w:oddVBand="0" w:evenVBand="0" w:oddHBand="0" w:evenHBand="0" w:firstRowFirstColumn="0" w:firstRowLastColumn="0" w:lastRowFirstColumn="0" w:lastRowLastColumn="0"/>
              <w:rPr>
                <w:rFonts w:eastAsia="Segoe UI" w:cs="Segoe UI"/>
                <w:szCs w:val="21"/>
              </w:rPr>
            </w:pPr>
            <w:r w:rsidRPr="009921D1">
              <w:rPr>
                <w:rFonts w:eastAsia="Segoe UI" w:cs="Segoe UI"/>
                <w:szCs w:val="21"/>
              </w:rPr>
              <w:t xml:space="preserve">M3 and P3 indicators </w:t>
            </w:r>
          </w:p>
        </w:tc>
      </w:tr>
      <w:tr w:rsidR="00085F46" w:rsidRPr="009921D1" w14:paraId="0A1EC1A9" w14:textId="77777777" w:rsidTr="007A6088">
        <w:tc>
          <w:tcPr>
            <w:cnfStyle w:val="001000000000" w:firstRow="0" w:lastRow="0" w:firstColumn="1" w:lastColumn="0" w:oddVBand="0" w:evenVBand="0" w:oddHBand="0" w:evenHBand="0" w:firstRowFirstColumn="0" w:firstRowLastColumn="0" w:lastRowFirstColumn="0" w:lastRowLastColumn="0"/>
            <w:tcW w:w="6090" w:type="dxa"/>
            <w:tcBorders>
              <w:top w:val="single" w:sz="8" w:space="0" w:color="999999"/>
              <w:left w:val="single" w:sz="8" w:space="0" w:color="999999"/>
              <w:bottom w:val="single" w:sz="8" w:space="0" w:color="999999"/>
              <w:right w:val="single" w:sz="8" w:space="0" w:color="999999"/>
            </w:tcBorders>
          </w:tcPr>
          <w:p w14:paraId="07B578E6" w14:textId="77777777" w:rsidR="00085F46" w:rsidRPr="009921D1" w:rsidRDefault="00085F46" w:rsidP="007A6088">
            <w:pPr>
              <w:rPr>
                <w:rFonts w:cs="Segoe UI"/>
                <w:szCs w:val="21"/>
              </w:rPr>
            </w:pPr>
            <w:r w:rsidRPr="009921D1">
              <w:rPr>
                <w:rFonts w:eastAsia="Segoe UI" w:cs="Segoe UI"/>
                <w:szCs w:val="21"/>
              </w:rPr>
              <w:t xml:space="preserve">Disability by region </w:t>
            </w:r>
          </w:p>
        </w:tc>
        <w:tc>
          <w:tcPr>
            <w:tcW w:w="2925" w:type="dxa"/>
            <w:tcBorders>
              <w:top w:val="single" w:sz="8" w:space="0" w:color="999999"/>
              <w:left w:val="single" w:sz="8" w:space="0" w:color="999999"/>
              <w:bottom w:val="single" w:sz="8" w:space="0" w:color="999999"/>
              <w:right w:val="single" w:sz="8" w:space="0" w:color="999999"/>
            </w:tcBorders>
          </w:tcPr>
          <w:p w14:paraId="57EBBF82" w14:textId="77777777" w:rsidR="00085F46" w:rsidRPr="009921D1" w:rsidRDefault="00085F46" w:rsidP="007A6088">
            <w:pPr>
              <w:cnfStyle w:val="000000000000" w:firstRow="0" w:lastRow="0" w:firstColumn="0" w:lastColumn="0" w:oddVBand="0" w:evenVBand="0" w:oddHBand="0" w:evenHBand="0" w:firstRowFirstColumn="0" w:firstRowLastColumn="0" w:lastRowFirstColumn="0" w:lastRowLastColumn="0"/>
              <w:rPr>
                <w:rFonts w:eastAsia="Segoe UI" w:cs="Segoe UI"/>
                <w:szCs w:val="21"/>
              </w:rPr>
            </w:pPr>
            <w:r w:rsidRPr="009921D1">
              <w:rPr>
                <w:rFonts w:eastAsia="Segoe UI" w:cs="Segoe UI"/>
                <w:szCs w:val="21"/>
              </w:rPr>
              <w:t xml:space="preserve"> (TBC)</w:t>
            </w:r>
          </w:p>
        </w:tc>
      </w:tr>
      <w:tr w:rsidR="00085F46" w:rsidRPr="009921D1" w14:paraId="30BF35E3" w14:textId="77777777" w:rsidTr="007A6088">
        <w:tc>
          <w:tcPr>
            <w:cnfStyle w:val="001000000000" w:firstRow="0" w:lastRow="0" w:firstColumn="1" w:lastColumn="0" w:oddVBand="0" w:evenVBand="0" w:oddHBand="0" w:evenHBand="0" w:firstRowFirstColumn="0" w:firstRowLastColumn="0" w:lastRowFirstColumn="0" w:lastRowLastColumn="0"/>
            <w:tcW w:w="6090" w:type="dxa"/>
            <w:tcBorders>
              <w:top w:val="single" w:sz="8" w:space="0" w:color="999999"/>
              <w:left w:val="single" w:sz="8" w:space="0" w:color="999999"/>
              <w:bottom w:val="single" w:sz="8" w:space="0" w:color="999999"/>
              <w:right w:val="single" w:sz="8" w:space="0" w:color="999999"/>
            </w:tcBorders>
          </w:tcPr>
          <w:p w14:paraId="58F8254B" w14:textId="77777777" w:rsidR="00085F46" w:rsidRPr="009921D1" w:rsidRDefault="00085F46" w:rsidP="007A6088">
            <w:pPr>
              <w:rPr>
                <w:rFonts w:cs="Segoe UI"/>
                <w:szCs w:val="21"/>
              </w:rPr>
            </w:pPr>
            <w:r w:rsidRPr="009921D1">
              <w:rPr>
                <w:rFonts w:eastAsia="Segoe UI" w:cs="Segoe UI"/>
                <w:szCs w:val="21"/>
              </w:rPr>
              <w:t xml:space="preserve">Mental health by region </w:t>
            </w:r>
          </w:p>
        </w:tc>
        <w:tc>
          <w:tcPr>
            <w:tcW w:w="2925" w:type="dxa"/>
            <w:tcBorders>
              <w:top w:val="single" w:sz="8" w:space="0" w:color="999999"/>
              <w:left w:val="single" w:sz="8" w:space="0" w:color="999999"/>
              <w:bottom w:val="single" w:sz="8" w:space="0" w:color="999999"/>
              <w:right w:val="single" w:sz="8" w:space="0" w:color="999999"/>
            </w:tcBorders>
          </w:tcPr>
          <w:p w14:paraId="42BB913A" w14:textId="77777777" w:rsidR="00085F46" w:rsidRPr="009921D1" w:rsidRDefault="00085F46" w:rsidP="007A6088">
            <w:pPr>
              <w:cnfStyle w:val="000000000000" w:firstRow="0" w:lastRow="0" w:firstColumn="0" w:lastColumn="0" w:oddVBand="0" w:evenVBand="0" w:oddHBand="0" w:evenHBand="0" w:firstRowFirstColumn="0" w:firstRowLastColumn="0" w:lastRowFirstColumn="0" w:lastRowLastColumn="0"/>
              <w:rPr>
                <w:rFonts w:eastAsia="Segoe UI" w:cs="Segoe UI"/>
                <w:szCs w:val="21"/>
              </w:rPr>
            </w:pPr>
            <w:r w:rsidRPr="009921D1">
              <w:rPr>
                <w:rFonts w:eastAsia="Segoe UI" w:cs="Segoe UI"/>
                <w:szCs w:val="21"/>
              </w:rPr>
              <w:t xml:space="preserve"> (TBC)</w:t>
            </w:r>
          </w:p>
        </w:tc>
      </w:tr>
      <w:tr w:rsidR="00085F46" w:rsidRPr="009921D1" w14:paraId="5595E5AD" w14:textId="77777777" w:rsidTr="007A6088">
        <w:tc>
          <w:tcPr>
            <w:cnfStyle w:val="001000000000" w:firstRow="0" w:lastRow="0" w:firstColumn="1" w:lastColumn="0" w:oddVBand="0" w:evenVBand="0" w:oddHBand="0" w:evenHBand="0" w:firstRowFirstColumn="0" w:firstRowLastColumn="0" w:lastRowFirstColumn="0" w:lastRowLastColumn="0"/>
            <w:tcW w:w="6090" w:type="dxa"/>
            <w:tcBorders>
              <w:top w:val="single" w:sz="8" w:space="0" w:color="999999"/>
              <w:left w:val="single" w:sz="8" w:space="0" w:color="999999"/>
              <w:bottom w:val="single" w:sz="8" w:space="0" w:color="999999"/>
              <w:right w:val="single" w:sz="8" w:space="0" w:color="999999"/>
            </w:tcBorders>
          </w:tcPr>
          <w:p w14:paraId="32831ACF" w14:textId="77777777" w:rsidR="00085F46" w:rsidRPr="009921D1" w:rsidRDefault="00085F46" w:rsidP="007A6088">
            <w:pPr>
              <w:rPr>
                <w:rFonts w:cs="Segoe UI"/>
                <w:szCs w:val="21"/>
              </w:rPr>
            </w:pPr>
            <w:r w:rsidRPr="009921D1">
              <w:rPr>
                <w:rFonts w:eastAsia="Segoe UI" w:cs="Segoe UI"/>
                <w:szCs w:val="21"/>
              </w:rPr>
              <w:t xml:space="preserve">Deprivation by region </w:t>
            </w:r>
          </w:p>
        </w:tc>
        <w:tc>
          <w:tcPr>
            <w:tcW w:w="2925" w:type="dxa"/>
            <w:tcBorders>
              <w:top w:val="single" w:sz="8" w:space="0" w:color="999999"/>
              <w:left w:val="single" w:sz="8" w:space="0" w:color="999999"/>
              <w:bottom w:val="single" w:sz="8" w:space="0" w:color="999999"/>
              <w:right w:val="single" w:sz="8" w:space="0" w:color="999999"/>
            </w:tcBorders>
          </w:tcPr>
          <w:p w14:paraId="6AA84CC4" w14:textId="77777777" w:rsidR="00085F46" w:rsidRPr="009921D1" w:rsidRDefault="00085F46" w:rsidP="007A6088">
            <w:pPr>
              <w:cnfStyle w:val="000000000000" w:firstRow="0" w:lastRow="0" w:firstColumn="0" w:lastColumn="0" w:oddVBand="0" w:evenVBand="0" w:oddHBand="0" w:evenHBand="0" w:firstRowFirstColumn="0" w:firstRowLastColumn="0" w:lastRowFirstColumn="0" w:lastRowLastColumn="0"/>
              <w:rPr>
                <w:rFonts w:cs="Segoe UI"/>
                <w:szCs w:val="21"/>
              </w:rPr>
            </w:pPr>
            <w:r w:rsidRPr="009921D1">
              <w:rPr>
                <w:rFonts w:eastAsia="Segoe UI" w:cs="Segoe UI"/>
                <w:szCs w:val="21"/>
              </w:rPr>
              <w:t xml:space="preserve">2018 Index of multiple deprivation (IMD2018) </w:t>
            </w:r>
          </w:p>
        </w:tc>
      </w:tr>
      <w:tr w:rsidR="00085F46" w:rsidRPr="009921D1" w14:paraId="08C989E8" w14:textId="77777777" w:rsidTr="007A6088">
        <w:tc>
          <w:tcPr>
            <w:cnfStyle w:val="001000000000" w:firstRow="0" w:lastRow="0" w:firstColumn="1" w:lastColumn="0" w:oddVBand="0" w:evenVBand="0" w:oddHBand="0" w:evenHBand="0" w:firstRowFirstColumn="0" w:firstRowLastColumn="0" w:lastRowFirstColumn="0" w:lastRowLastColumn="0"/>
            <w:tcW w:w="6090" w:type="dxa"/>
            <w:tcBorders>
              <w:top w:val="single" w:sz="8" w:space="0" w:color="999999"/>
              <w:left w:val="single" w:sz="8" w:space="0" w:color="999999"/>
              <w:bottom w:val="single" w:sz="8" w:space="0" w:color="999999"/>
              <w:right w:val="single" w:sz="8" w:space="0" w:color="999999"/>
            </w:tcBorders>
          </w:tcPr>
          <w:p w14:paraId="7298FBF4" w14:textId="77777777" w:rsidR="00085F46" w:rsidRPr="009921D1" w:rsidRDefault="00085F46" w:rsidP="007A6088">
            <w:pPr>
              <w:rPr>
                <w:rFonts w:cs="Segoe UI"/>
                <w:szCs w:val="21"/>
              </w:rPr>
            </w:pPr>
            <w:r w:rsidRPr="009921D1">
              <w:rPr>
                <w:rFonts w:eastAsia="Segoe UI" w:cs="Segoe UI"/>
                <w:szCs w:val="21"/>
              </w:rPr>
              <w:t xml:space="preserve">Occupation by region </w:t>
            </w:r>
          </w:p>
        </w:tc>
        <w:tc>
          <w:tcPr>
            <w:tcW w:w="2925" w:type="dxa"/>
            <w:tcBorders>
              <w:top w:val="single" w:sz="8" w:space="0" w:color="999999"/>
              <w:left w:val="single" w:sz="8" w:space="0" w:color="999999"/>
              <w:bottom w:val="single" w:sz="8" w:space="0" w:color="999999"/>
              <w:right w:val="single" w:sz="8" w:space="0" w:color="999999"/>
            </w:tcBorders>
          </w:tcPr>
          <w:p w14:paraId="7206C53C" w14:textId="77777777" w:rsidR="00085F46" w:rsidRPr="009921D1" w:rsidRDefault="00085F46" w:rsidP="007A6088">
            <w:pPr>
              <w:cnfStyle w:val="000000000000" w:firstRow="0" w:lastRow="0" w:firstColumn="0" w:lastColumn="0" w:oddVBand="0" w:evenVBand="0" w:oddHBand="0" w:evenHBand="0" w:firstRowFirstColumn="0" w:firstRowLastColumn="0" w:lastRowFirstColumn="0" w:lastRowLastColumn="0"/>
              <w:rPr>
                <w:rFonts w:eastAsia="Segoe UI" w:cs="Segoe UI"/>
                <w:szCs w:val="21"/>
              </w:rPr>
            </w:pPr>
            <w:r w:rsidRPr="009921D1">
              <w:rPr>
                <w:rFonts w:eastAsia="Segoe UI" w:cs="Segoe UI"/>
                <w:szCs w:val="21"/>
              </w:rPr>
              <w:t>(TBC)</w:t>
            </w:r>
          </w:p>
        </w:tc>
      </w:tr>
      <w:tr w:rsidR="00085F46" w:rsidRPr="009921D1" w14:paraId="64D622B3" w14:textId="77777777" w:rsidTr="007A6088">
        <w:tc>
          <w:tcPr>
            <w:cnfStyle w:val="001000000000" w:firstRow="0" w:lastRow="0" w:firstColumn="1" w:lastColumn="0" w:oddVBand="0" w:evenVBand="0" w:oddHBand="0" w:evenHBand="0" w:firstRowFirstColumn="0" w:firstRowLastColumn="0" w:lastRowFirstColumn="0" w:lastRowLastColumn="0"/>
            <w:tcW w:w="6090" w:type="dxa"/>
            <w:tcBorders>
              <w:top w:val="single" w:sz="8" w:space="0" w:color="999999"/>
              <w:left w:val="single" w:sz="8" w:space="0" w:color="999999"/>
              <w:bottom w:val="single" w:sz="8" w:space="0" w:color="999999"/>
              <w:right w:val="single" w:sz="8" w:space="0" w:color="999999"/>
            </w:tcBorders>
          </w:tcPr>
          <w:p w14:paraId="36BC4D8B" w14:textId="77777777" w:rsidR="00085F46" w:rsidRPr="009921D1" w:rsidRDefault="00085F46" w:rsidP="007A6088">
            <w:pPr>
              <w:rPr>
                <w:rFonts w:cs="Segoe UI"/>
                <w:szCs w:val="21"/>
              </w:rPr>
            </w:pPr>
            <w:r w:rsidRPr="009921D1">
              <w:rPr>
                <w:rFonts w:eastAsia="Segoe UI" w:cs="Segoe UI"/>
                <w:szCs w:val="21"/>
              </w:rPr>
              <w:t xml:space="preserve">Population density by region </w:t>
            </w:r>
          </w:p>
        </w:tc>
        <w:tc>
          <w:tcPr>
            <w:tcW w:w="2925" w:type="dxa"/>
            <w:tcBorders>
              <w:top w:val="single" w:sz="8" w:space="0" w:color="999999"/>
              <w:left w:val="single" w:sz="8" w:space="0" w:color="999999"/>
              <w:bottom w:val="single" w:sz="8" w:space="0" w:color="999999"/>
              <w:right w:val="single" w:sz="8" w:space="0" w:color="999999"/>
            </w:tcBorders>
          </w:tcPr>
          <w:p w14:paraId="70F7932D" w14:textId="77777777" w:rsidR="00085F46" w:rsidRPr="009921D1" w:rsidRDefault="00085F46" w:rsidP="007A6088">
            <w:pPr>
              <w:cnfStyle w:val="000000000000" w:firstRow="0" w:lastRow="0" w:firstColumn="0" w:lastColumn="0" w:oddVBand="0" w:evenVBand="0" w:oddHBand="0" w:evenHBand="0" w:firstRowFirstColumn="0" w:firstRowLastColumn="0" w:lastRowFirstColumn="0" w:lastRowLastColumn="0"/>
              <w:rPr>
                <w:rFonts w:cs="Segoe UI"/>
                <w:szCs w:val="21"/>
              </w:rPr>
            </w:pPr>
            <w:r w:rsidRPr="009921D1">
              <w:rPr>
                <w:rFonts w:eastAsia="Segoe UI" w:cs="Segoe UI"/>
                <w:szCs w:val="21"/>
              </w:rPr>
              <w:t>HSU</w:t>
            </w:r>
          </w:p>
        </w:tc>
      </w:tr>
      <w:tr w:rsidR="00085F46" w:rsidRPr="009921D1" w14:paraId="1BDBA18B" w14:textId="77777777" w:rsidTr="007A6088">
        <w:tc>
          <w:tcPr>
            <w:cnfStyle w:val="001000000000" w:firstRow="0" w:lastRow="0" w:firstColumn="1" w:lastColumn="0" w:oddVBand="0" w:evenVBand="0" w:oddHBand="0" w:evenHBand="0" w:firstRowFirstColumn="0" w:firstRowLastColumn="0" w:lastRowFirstColumn="0" w:lastRowLastColumn="0"/>
            <w:tcW w:w="6090" w:type="dxa"/>
            <w:tcBorders>
              <w:top w:val="single" w:sz="8" w:space="0" w:color="999999"/>
              <w:left w:val="single" w:sz="8" w:space="0" w:color="999999"/>
              <w:bottom w:val="single" w:sz="8" w:space="0" w:color="999999"/>
              <w:right w:val="single" w:sz="8" w:space="0" w:color="999999"/>
            </w:tcBorders>
          </w:tcPr>
          <w:p w14:paraId="05FE28E3" w14:textId="77777777" w:rsidR="00085F46" w:rsidRPr="009921D1" w:rsidRDefault="00085F46" w:rsidP="007A6088">
            <w:pPr>
              <w:rPr>
                <w:rFonts w:cs="Segoe UI"/>
                <w:szCs w:val="21"/>
              </w:rPr>
            </w:pPr>
            <w:r w:rsidRPr="009921D1">
              <w:rPr>
                <w:rFonts w:eastAsia="Segoe UI" w:cs="Segoe UI"/>
                <w:szCs w:val="21"/>
              </w:rPr>
              <w:t>Crowded living conditions by region</w:t>
            </w:r>
          </w:p>
        </w:tc>
        <w:tc>
          <w:tcPr>
            <w:tcW w:w="2925" w:type="dxa"/>
            <w:tcBorders>
              <w:top w:val="single" w:sz="8" w:space="0" w:color="999999"/>
              <w:left w:val="single" w:sz="8" w:space="0" w:color="999999"/>
              <w:bottom w:val="single" w:sz="8" w:space="0" w:color="999999"/>
              <w:right w:val="single" w:sz="8" w:space="0" w:color="999999"/>
            </w:tcBorders>
          </w:tcPr>
          <w:p w14:paraId="0273499C" w14:textId="77777777" w:rsidR="00085F46" w:rsidRPr="009921D1" w:rsidRDefault="00085F46" w:rsidP="007A6088">
            <w:pPr>
              <w:cnfStyle w:val="000000000000" w:firstRow="0" w:lastRow="0" w:firstColumn="0" w:lastColumn="0" w:oddVBand="0" w:evenVBand="0" w:oddHBand="0" w:evenHBand="0" w:firstRowFirstColumn="0" w:firstRowLastColumn="0" w:lastRowFirstColumn="0" w:lastRowLastColumn="0"/>
              <w:rPr>
                <w:rFonts w:cs="Segoe UI"/>
                <w:szCs w:val="21"/>
              </w:rPr>
            </w:pPr>
            <w:r w:rsidRPr="009921D1">
              <w:rPr>
                <w:rFonts w:eastAsia="Segoe UI" w:cs="Segoe UI"/>
                <w:szCs w:val="21"/>
              </w:rPr>
              <w:t xml:space="preserve">Statistics NZ </w:t>
            </w:r>
          </w:p>
        </w:tc>
      </w:tr>
      <w:tr w:rsidR="00085F46" w:rsidRPr="009921D1" w14:paraId="68447859" w14:textId="77777777" w:rsidTr="007A6088">
        <w:tc>
          <w:tcPr>
            <w:cnfStyle w:val="001000000000" w:firstRow="0" w:lastRow="0" w:firstColumn="1" w:lastColumn="0" w:oddVBand="0" w:evenVBand="0" w:oddHBand="0" w:evenHBand="0" w:firstRowFirstColumn="0" w:firstRowLastColumn="0" w:lastRowFirstColumn="0" w:lastRowLastColumn="0"/>
            <w:tcW w:w="6090" w:type="dxa"/>
            <w:tcBorders>
              <w:top w:val="single" w:sz="8" w:space="0" w:color="999999"/>
              <w:left w:val="single" w:sz="8" w:space="0" w:color="999999"/>
              <w:bottom w:val="single" w:sz="8" w:space="0" w:color="999999"/>
              <w:right w:val="single" w:sz="8" w:space="0" w:color="999999"/>
            </w:tcBorders>
          </w:tcPr>
          <w:p w14:paraId="53D109FE" w14:textId="77777777" w:rsidR="00085F46" w:rsidRPr="009921D1" w:rsidRDefault="00085F46" w:rsidP="007A6088">
            <w:pPr>
              <w:rPr>
                <w:rFonts w:cs="Segoe UI"/>
                <w:szCs w:val="21"/>
              </w:rPr>
            </w:pPr>
            <w:r w:rsidRPr="009921D1">
              <w:rPr>
                <w:rFonts w:eastAsia="Segoe UI" w:cs="Segoe UI"/>
                <w:szCs w:val="21"/>
              </w:rPr>
              <w:t>Testing rates</w:t>
            </w:r>
          </w:p>
        </w:tc>
        <w:tc>
          <w:tcPr>
            <w:tcW w:w="2925" w:type="dxa"/>
            <w:tcBorders>
              <w:top w:val="single" w:sz="8" w:space="0" w:color="999999"/>
              <w:left w:val="single" w:sz="8" w:space="0" w:color="999999"/>
              <w:bottom w:val="single" w:sz="8" w:space="0" w:color="999999"/>
              <w:right w:val="single" w:sz="8" w:space="0" w:color="999999"/>
            </w:tcBorders>
          </w:tcPr>
          <w:p w14:paraId="15794478" w14:textId="77777777" w:rsidR="00085F46" w:rsidRPr="009921D1" w:rsidRDefault="00085F46" w:rsidP="007A6088">
            <w:pPr>
              <w:cnfStyle w:val="000000000000" w:firstRow="0" w:lastRow="0" w:firstColumn="0" w:lastColumn="0" w:oddVBand="0" w:evenVBand="0" w:oddHBand="0" w:evenHBand="0" w:firstRowFirstColumn="0" w:firstRowLastColumn="0" w:lastRowFirstColumn="0" w:lastRowLastColumn="0"/>
              <w:rPr>
                <w:rFonts w:cs="Segoe UI"/>
                <w:szCs w:val="21"/>
              </w:rPr>
            </w:pPr>
            <w:r w:rsidRPr="009921D1">
              <w:rPr>
                <w:rFonts w:eastAsia="Segoe UI" w:cs="Segoe UI"/>
                <w:szCs w:val="21"/>
              </w:rPr>
              <w:t>Éclair</w:t>
            </w:r>
          </w:p>
        </w:tc>
      </w:tr>
    </w:tbl>
    <w:p w14:paraId="5B09D92D" w14:textId="77777777" w:rsidR="00085F46" w:rsidRDefault="00085F46" w:rsidP="0001081D">
      <w:pPr>
        <w:sectPr w:rsidR="00085F46" w:rsidSect="00501ED1">
          <w:footerReference w:type="default" r:id="rId21"/>
          <w:pgSz w:w="11907" w:h="16834" w:code="9"/>
          <w:pgMar w:top="1560" w:right="1134" w:bottom="720" w:left="720" w:header="284" w:footer="425" w:gutter="284"/>
          <w:cols w:space="720"/>
          <w:docGrid w:linePitch="286"/>
        </w:sectPr>
      </w:pPr>
    </w:p>
    <w:p w14:paraId="3176948C" w14:textId="77777777" w:rsidR="00C50C8A" w:rsidRDefault="00C50C8A" w:rsidP="0001081D"/>
    <w:p w14:paraId="28A80DD8" w14:textId="41A60C45" w:rsidR="00900B06" w:rsidRPr="00B628EA" w:rsidRDefault="003344CF" w:rsidP="00C4250C">
      <w:pPr>
        <w:pStyle w:val="Heading3"/>
      </w:pPr>
      <w:bookmarkStart w:id="46" w:name="_Toc90411218"/>
      <w:r w:rsidRPr="00B628EA">
        <w:rPr>
          <w:noProof/>
        </w:rPr>
        <mc:AlternateContent>
          <mc:Choice Requires="wpg">
            <w:drawing>
              <wp:anchor distT="0" distB="0" distL="114300" distR="114300" simplePos="0" relativeHeight="251658241" behindDoc="0" locked="0" layoutInCell="1" allowOverlap="1" wp14:anchorId="3A39CEF0" wp14:editId="57ED1596">
                <wp:simplePos x="0" y="0"/>
                <wp:positionH relativeFrom="margin">
                  <wp:posOffset>159294</wp:posOffset>
                </wp:positionH>
                <wp:positionV relativeFrom="paragraph">
                  <wp:posOffset>302260</wp:posOffset>
                </wp:positionV>
                <wp:extent cx="9474200" cy="6214110"/>
                <wp:effectExtent l="0" t="0" r="0" b="15240"/>
                <wp:wrapNone/>
                <wp:docPr id="974676864" name="Group 974676864"/>
                <wp:cNvGraphicFramePr/>
                <a:graphic xmlns:a="http://schemas.openxmlformats.org/drawingml/2006/main">
                  <a:graphicData uri="http://schemas.microsoft.com/office/word/2010/wordprocessingGroup">
                    <wpg:wgp>
                      <wpg:cNvGrpSpPr/>
                      <wpg:grpSpPr>
                        <a:xfrm>
                          <a:off x="0" y="0"/>
                          <a:ext cx="9474200" cy="6214110"/>
                          <a:chOff x="0" y="0"/>
                          <a:chExt cx="12051284" cy="8996110"/>
                        </a:xfrm>
                      </wpg:grpSpPr>
                      <wps:wsp>
                        <wps:cNvPr id="974676865" name="TextBox 3"/>
                        <wps:cNvSpPr txBox="1"/>
                        <wps:spPr>
                          <a:xfrm>
                            <a:off x="1302318" y="332507"/>
                            <a:ext cx="9460230" cy="795020"/>
                          </a:xfrm>
                          <a:prstGeom prst="rect">
                            <a:avLst/>
                          </a:prstGeom>
                          <a:solidFill>
                            <a:schemeClr val="accent1">
                              <a:lumMod val="40000"/>
                              <a:lumOff val="60000"/>
                            </a:schemeClr>
                          </a:solidFill>
                        </wps:spPr>
                        <wps:txbx>
                          <w:txbxContent>
                            <w:p w14:paraId="4E27C217" w14:textId="77777777" w:rsidR="007A6088" w:rsidRPr="00C50C8A" w:rsidRDefault="007A6088" w:rsidP="00C50C8A">
                              <w:pPr>
                                <w:jc w:val="center"/>
                                <w:rPr>
                                  <w:rFonts w:hAnsi="Calibri"/>
                                  <w:color w:val="000000" w:themeColor="text1"/>
                                  <w:kern w:val="24"/>
                                  <w:sz w:val="24"/>
                                  <w:szCs w:val="24"/>
                                </w:rPr>
                              </w:pPr>
                              <w:r w:rsidRPr="00C50C8A">
                                <w:rPr>
                                  <w:rFonts w:hAnsi="Calibri"/>
                                  <w:color w:val="000000" w:themeColor="text1"/>
                                  <w:kern w:val="24"/>
                                  <w:sz w:val="24"/>
                                  <w:szCs w:val="24"/>
                                </w:rPr>
                                <w:t>To minimise community transmission of COVID-19, particularly in areas of higher risk, in order to protect the health system as well as communities and individuals at highest risk of serious illness.</w:t>
                              </w:r>
                            </w:p>
                          </w:txbxContent>
                        </wps:txbx>
                        <wps:bodyPr wrap="square" rtlCol="0">
                          <a:noAutofit/>
                        </wps:bodyPr>
                      </wps:wsp>
                      <wps:wsp>
                        <wps:cNvPr id="974676866" name="TextBox 4"/>
                        <wps:cNvSpPr txBox="1"/>
                        <wps:spPr>
                          <a:xfrm>
                            <a:off x="1302318" y="2050460"/>
                            <a:ext cx="9460230" cy="806095"/>
                          </a:xfrm>
                          <a:prstGeom prst="rect">
                            <a:avLst/>
                          </a:prstGeom>
                          <a:solidFill>
                            <a:schemeClr val="accent1">
                              <a:lumMod val="40000"/>
                              <a:lumOff val="60000"/>
                            </a:schemeClr>
                          </a:solidFill>
                        </wps:spPr>
                        <wps:txbx>
                          <w:txbxContent>
                            <w:p w14:paraId="4FA26A61" w14:textId="77777777" w:rsidR="007A6088" w:rsidRPr="00C50C8A" w:rsidRDefault="007A6088" w:rsidP="00C50C8A">
                              <w:pPr>
                                <w:jc w:val="center"/>
                                <w:rPr>
                                  <w:rFonts w:hAnsi="Calibri"/>
                                  <w:color w:val="000000" w:themeColor="text1"/>
                                  <w:kern w:val="24"/>
                                  <w:sz w:val="24"/>
                                  <w:szCs w:val="24"/>
                                </w:rPr>
                              </w:pPr>
                              <w:r w:rsidRPr="00C50C8A">
                                <w:rPr>
                                  <w:rFonts w:hAnsi="Calibri"/>
                                  <w:color w:val="000000" w:themeColor="text1"/>
                                  <w:kern w:val="24"/>
                                  <w:sz w:val="24"/>
                                  <w:szCs w:val="24"/>
                                </w:rPr>
                                <w:t>Surveillance must provide</w:t>
                              </w:r>
                              <w:r w:rsidRPr="00C50C8A">
                                <w:rPr>
                                  <w:rFonts w:hAnsi="Calibri"/>
                                  <w:color w:val="000000" w:themeColor="text1"/>
                                  <w:kern w:val="24"/>
                                  <w:sz w:val="24"/>
                                  <w:szCs w:val="24"/>
                                </w:rPr>
                                <w:t> </w:t>
                              </w:r>
                              <w:r w:rsidRPr="00C50C8A">
                                <w:rPr>
                                  <w:rFonts w:hAnsi="Calibri"/>
                                  <w:color w:val="000000" w:themeColor="text1"/>
                                  <w:kern w:val="24"/>
                                  <w:sz w:val="24"/>
                                  <w:szCs w:val="24"/>
                                </w:rPr>
                                <w:t>guidance</w:t>
                              </w:r>
                              <w:r w:rsidRPr="00C50C8A">
                                <w:rPr>
                                  <w:rFonts w:hAnsi="Calibri"/>
                                  <w:color w:val="000000" w:themeColor="text1"/>
                                  <w:kern w:val="24"/>
                                  <w:sz w:val="24"/>
                                  <w:szCs w:val="24"/>
                                </w:rPr>
                                <w:t> </w:t>
                              </w:r>
                              <w:r w:rsidRPr="00C50C8A">
                                <w:rPr>
                                  <w:rFonts w:hAnsi="Calibri"/>
                                  <w:color w:val="000000" w:themeColor="text1"/>
                                  <w:kern w:val="24"/>
                                  <w:sz w:val="24"/>
                                  <w:szCs w:val="24"/>
                                </w:rPr>
                                <w:t>related to</w:t>
                              </w:r>
                              <w:r w:rsidRPr="00C50C8A">
                                <w:rPr>
                                  <w:rFonts w:hAnsi="Calibri"/>
                                  <w:color w:val="000000" w:themeColor="text1"/>
                                  <w:kern w:val="24"/>
                                  <w:sz w:val="24"/>
                                  <w:szCs w:val="24"/>
                                </w:rPr>
                                <w:t> </w:t>
                              </w:r>
                              <w:r w:rsidRPr="00C50C8A">
                                <w:rPr>
                                  <w:rFonts w:hAnsi="Calibri"/>
                                  <w:color w:val="000000" w:themeColor="text1"/>
                                  <w:kern w:val="24"/>
                                  <w:sz w:val="24"/>
                                  <w:szCs w:val="24"/>
                                </w:rPr>
                                <w:t>ongoing, systematic collection, analysis, and interpretation of health-related data essential to planning, implementation, and evaluation of public health practice</w:t>
                              </w:r>
                            </w:p>
                          </w:txbxContent>
                        </wps:txbx>
                        <wps:bodyPr wrap="square" rtlCol="0">
                          <a:noAutofit/>
                        </wps:bodyPr>
                      </wps:wsp>
                      <wps:wsp>
                        <wps:cNvPr id="974676867" name="TextBox 6"/>
                        <wps:cNvSpPr txBox="1"/>
                        <wps:spPr>
                          <a:xfrm>
                            <a:off x="1302318" y="6982641"/>
                            <a:ext cx="9516110" cy="494030"/>
                          </a:xfrm>
                          <a:prstGeom prst="rect">
                            <a:avLst/>
                          </a:prstGeom>
                          <a:solidFill>
                            <a:schemeClr val="accent1">
                              <a:lumMod val="40000"/>
                              <a:lumOff val="60000"/>
                            </a:schemeClr>
                          </a:solidFill>
                        </wps:spPr>
                        <wps:txbx>
                          <w:txbxContent>
                            <w:p w14:paraId="0BD4C6E9" w14:textId="77777777" w:rsidR="007A6088" w:rsidRPr="00C50C8A" w:rsidRDefault="007A6088" w:rsidP="00C50C8A">
                              <w:pPr>
                                <w:jc w:val="center"/>
                                <w:rPr>
                                  <w:rFonts w:hAnsi="Calibri"/>
                                  <w:b/>
                                  <w:bCs/>
                                  <w:color w:val="000000" w:themeColor="text1"/>
                                  <w:kern w:val="24"/>
                                  <w:sz w:val="28"/>
                                  <w:szCs w:val="28"/>
                                </w:rPr>
                              </w:pPr>
                              <w:r w:rsidRPr="00C50C8A">
                                <w:rPr>
                                  <w:rFonts w:hAnsi="Calibri"/>
                                  <w:b/>
                                  <w:bCs/>
                                  <w:color w:val="000000" w:themeColor="text1"/>
                                  <w:kern w:val="24"/>
                                  <w:sz w:val="28"/>
                                  <w:szCs w:val="28"/>
                                </w:rPr>
                                <w:t xml:space="preserve">Key Outputs: </w:t>
                              </w:r>
                            </w:p>
                          </w:txbxContent>
                        </wps:txbx>
                        <wps:bodyPr wrap="square" rtlCol="0">
                          <a:noAutofit/>
                        </wps:bodyPr>
                      </wps:wsp>
                      <wps:wsp>
                        <wps:cNvPr id="974676868" name="Arrow: Down 7"/>
                        <wps:cNvSpPr/>
                        <wps:spPr>
                          <a:xfrm>
                            <a:off x="2582141" y="1330036"/>
                            <a:ext cx="257908" cy="527401"/>
                          </a:xfrm>
                          <a:prstGeom prst="down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74676869" name="Arrow: Down 8"/>
                        <wps:cNvSpPr/>
                        <wps:spPr>
                          <a:xfrm>
                            <a:off x="9218468" y="1330036"/>
                            <a:ext cx="257908" cy="527401"/>
                          </a:xfrm>
                          <a:prstGeom prst="down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74676870" name="TextBox 9"/>
                        <wps:cNvSpPr txBox="1"/>
                        <wps:spPr>
                          <a:xfrm>
                            <a:off x="2854017" y="1704097"/>
                            <a:ext cx="6494145" cy="494030"/>
                          </a:xfrm>
                          <a:prstGeom prst="rect">
                            <a:avLst/>
                          </a:prstGeom>
                          <a:noFill/>
                        </wps:spPr>
                        <wps:txbx>
                          <w:txbxContent>
                            <w:p w14:paraId="2A25CF5F" w14:textId="77777777" w:rsidR="007A6088" w:rsidRPr="00C50C8A" w:rsidRDefault="007A6088" w:rsidP="00C50C8A">
                              <w:pPr>
                                <w:rPr>
                                  <w:rFonts w:hAnsi="Calibri"/>
                                  <w:b/>
                                  <w:bCs/>
                                  <w:color w:val="000000" w:themeColor="text1"/>
                                  <w:kern w:val="24"/>
                                  <w:sz w:val="24"/>
                                  <w:szCs w:val="24"/>
                                </w:rPr>
                              </w:pPr>
                              <w:r w:rsidRPr="00C50C8A">
                                <w:rPr>
                                  <w:rFonts w:hAnsi="Calibri"/>
                                  <w:b/>
                                  <w:bCs/>
                                  <w:color w:val="000000" w:themeColor="text1"/>
                                  <w:kern w:val="24"/>
                                  <w:sz w:val="24"/>
                                  <w:szCs w:val="24"/>
                                  <w:u w:val="single"/>
                                </w:rPr>
                                <w:t>THE ROLE OF THE SURVEILLANCE STRATEGY IN ACHIEVING THIS</w:t>
                              </w:r>
                            </w:p>
                          </w:txbxContent>
                        </wps:txbx>
                        <wps:bodyPr wrap="square" rtlCol="0">
                          <a:noAutofit/>
                        </wps:bodyPr>
                      </wps:wsp>
                      <wps:wsp>
                        <wps:cNvPr id="974676871" name="TextBox 10"/>
                        <wps:cNvSpPr txBox="1"/>
                        <wps:spPr>
                          <a:xfrm>
                            <a:off x="4717818" y="3305478"/>
                            <a:ext cx="6494145" cy="494030"/>
                          </a:xfrm>
                          <a:prstGeom prst="rect">
                            <a:avLst/>
                          </a:prstGeom>
                          <a:noFill/>
                        </wps:spPr>
                        <wps:txbx>
                          <w:txbxContent>
                            <w:p w14:paraId="688D37D6" w14:textId="77777777" w:rsidR="007A6088" w:rsidRPr="00C50C8A" w:rsidRDefault="007A6088" w:rsidP="00C50C8A">
                              <w:pPr>
                                <w:rPr>
                                  <w:rFonts w:hAnsi="Calibri"/>
                                  <w:b/>
                                  <w:bCs/>
                                  <w:color w:val="000000" w:themeColor="text1"/>
                                  <w:kern w:val="24"/>
                                  <w:sz w:val="24"/>
                                  <w:szCs w:val="24"/>
                                </w:rPr>
                              </w:pPr>
                              <w:r w:rsidRPr="00C50C8A">
                                <w:rPr>
                                  <w:rFonts w:hAnsi="Calibri"/>
                                  <w:b/>
                                  <w:bCs/>
                                  <w:color w:val="000000" w:themeColor="text1"/>
                                  <w:kern w:val="24"/>
                                  <w:sz w:val="24"/>
                                  <w:szCs w:val="24"/>
                                  <w:u w:val="single"/>
                                </w:rPr>
                                <w:t xml:space="preserve">HOW WILL WE DO THIS? </w:t>
                              </w:r>
                            </w:p>
                          </w:txbxContent>
                        </wps:txbx>
                        <wps:bodyPr wrap="square" rtlCol="0">
                          <a:noAutofit/>
                        </wps:bodyPr>
                      </wps:wsp>
                      <wps:wsp>
                        <wps:cNvPr id="974676872" name="Arrow: Down 11"/>
                        <wps:cNvSpPr/>
                        <wps:spPr>
                          <a:xfrm>
                            <a:off x="9218468" y="2903002"/>
                            <a:ext cx="257907" cy="527401"/>
                          </a:xfrm>
                          <a:prstGeom prst="down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74676873" name="Arrow: Down 12"/>
                        <wps:cNvSpPr/>
                        <wps:spPr>
                          <a:xfrm>
                            <a:off x="2541329" y="2903002"/>
                            <a:ext cx="257907" cy="527401"/>
                          </a:xfrm>
                          <a:prstGeom prst="down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74676874" name="TextBox 15"/>
                        <wps:cNvSpPr txBox="1"/>
                        <wps:spPr>
                          <a:xfrm>
                            <a:off x="1246909" y="3662200"/>
                            <a:ext cx="9460229" cy="410170"/>
                          </a:xfrm>
                          <a:prstGeom prst="rect">
                            <a:avLst/>
                          </a:prstGeom>
                          <a:solidFill>
                            <a:schemeClr val="accent1">
                              <a:lumMod val="40000"/>
                              <a:lumOff val="60000"/>
                            </a:schemeClr>
                          </a:solidFill>
                        </wps:spPr>
                        <wps:txbx>
                          <w:txbxContent>
                            <w:p w14:paraId="086FA12E" w14:textId="77777777" w:rsidR="007A6088" w:rsidRPr="00C50C8A" w:rsidRDefault="007A6088" w:rsidP="00C50C8A">
                              <w:pPr>
                                <w:jc w:val="center"/>
                                <w:rPr>
                                  <w:rFonts w:hAnsi="Calibri"/>
                                  <w:b/>
                                  <w:bCs/>
                                  <w:color w:val="000000" w:themeColor="text1"/>
                                  <w:kern w:val="24"/>
                                  <w:sz w:val="24"/>
                                  <w:szCs w:val="24"/>
                                </w:rPr>
                              </w:pPr>
                              <w:r w:rsidRPr="00C50C8A">
                                <w:rPr>
                                  <w:rFonts w:hAnsi="Calibri"/>
                                  <w:b/>
                                  <w:bCs/>
                                  <w:color w:val="000000" w:themeColor="text1"/>
                                  <w:kern w:val="24"/>
                                  <w:sz w:val="24"/>
                                  <w:szCs w:val="24"/>
                                </w:rPr>
                                <w:t xml:space="preserve">Collection and Analysis of Data by: </w:t>
                              </w:r>
                            </w:p>
                          </w:txbxContent>
                        </wps:txbx>
                        <wps:bodyPr wrap="square" rtlCol="0">
                          <a:noAutofit/>
                        </wps:bodyPr>
                      </wps:wsp>
                      <wps:wsp>
                        <wps:cNvPr id="974676875" name="Rectangle 16"/>
                        <wps:cNvSpPr/>
                        <wps:spPr>
                          <a:xfrm>
                            <a:off x="1246909" y="4072370"/>
                            <a:ext cx="2051606" cy="2309254"/>
                          </a:xfrm>
                          <a:prstGeom prst="rect">
                            <a:avLst/>
                          </a:prstGeom>
                          <a:solidFill>
                            <a:schemeClr val="accent2">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4141B6" w14:textId="77777777" w:rsidR="007A6088" w:rsidRPr="00C50C8A" w:rsidRDefault="007A6088" w:rsidP="00C50C8A">
                              <w:pPr>
                                <w:jc w:val="center"/>
                                <w:rPr>
                                  <w:rFonts w:hAnsi="Calibri"/>
                                  <w:color w:val="000000" w:themeColor="dark1"/>
                                  <w:kern w:val="24"/>
                                  <w:sz w:val="17"/>
                                  <w:szCs w:val="17"/>
                                  <w:lang w:val="en-US"/>
                                </w:rPr>
                              </w:pPr>
                              <w:r w:rsidRPr="00C50C8A">
                                <w:rPr>
                                  <w:rFonts w:hAnsi="Calibri"/>
                                  <w:color w:val="000000" w:themeColor="dark1"/>
                                  <w:kern w:val="24"/>
                                  <w:sz w:val="17"/>
                                  <w:szCs w:val="17"/>
                                  <w:lang w:val="en-US"/>
                                </w:rPr>
                                <w:t>Monitor</w:t>
                              </w:r>
                              <w:r w:rsidRPr="00C50C8A">
                                <w:rPr>
                                  <w:rFonts w:hAnsi="Calibri"/>
                                  <w:color w:val="000000" w:themeColor="dark1"/>
                                  <w:kern w:val="24"/>
                                  <w:sz w:val="17"/>
                                  <w:szCs w:val="17"/>
                                  <w:lang w:val="en-US"/>
                                </w:rPr>
                                <w:t> </w:t>
                              </w:r>
                              <w:r w:rsidRPr="00C50C8A">
                                <w:rPr>
                                  <w:rFonts w:hAnsi="Calibri"/>
                                  <w:color w:val="000000" w:themeColor="dark1"/>
                                  <w:kern w:val="24"/>
                                  <w:sz w:val="17"/>
                                  <w:szCs w:val="17"/>
                                  <w:lang w:val="en-US"/>
                                </w:rPr>
                                <w:t>and describe</w:t>
                              </w:r>
                              <w:r w:rsidRPr="00C50C8A">
                                <w:rPr>
                                  <w:rFonts w:hAnsi="Calibri"/>
                                  <w:color w:val="000000" w:themeColor="dark1"/>
                                  <w:kern w:val="24"/>
                                  <w:sz w:val="17"/>
                                  <w:szCs w:val="17"/>
                                  <w:lang w:val="en-US"/>
                                </w:rPr>
                                <w:t> </w:t>
                              </w:r>
                              <w:r w:rsidRPr="00C50C8A">
                                <w:rPr>
                                  <w:rFonts w:hAnsi="Calibri"/>
                                  <w:color w:val="000000" w:themeColor="dark1"/>
                                  <w:kern w:val="24"/>
                                  <w:sz w:val="17"/>
                                  <w:szCs w:val="17"/>
                                  <w:lang w:val="en-US"/>
                                </w:rPr>
                                <w:t>the</w:t>
                              </w:r>
                              <w:r w:rsidRPr="00C50C8A">
                                <w:rPr>
                                  <w:rFonts w:hAnsi="Calibri"/>
                                  <w:color w:val="000000" w:themeColor="dark1"/>
                                  <w:kern w:val="24"/>
                                  <w:sz w:val="17"/>
                                  <w:szCs w:val="17"/>
                                  <w:lang w:val="en-US"/>
                                </w:rPr>
                                <w:t> </w:t>
                              </w:r>
                              <w:r w:rsidRPr="00C50C8A">
                                <w:rPr>
                                  <w:rFonts w:hAnsi="Calibri"/>
                                  <w:color w:val="000000" w:themeColor="dark1"/>
                                  <w:kern w:val="24"/>
                                  <w:sz w:val="17"/>
                                  <w:szCs w:val="17"/>
                                  <w:lang w:val="en-US"/>
                                </w:rPr>
                                <w:t>incidence,</w:t>
                              </w:r>
                              <w:r w:rsidRPr="00C50C8A">
                                <w:rPr>
                                  <w:rFonts w:hAnsi="Calibri"/>
                                  <w:color w:val="000000" w:themeColor="dark1"/>
                                  <w:kern w:val="24"/>
                                  <w:sz w:val="17"/>
                                  <w:szCs w:val="17"/>
                                  <w:lang w:val="en-US"/>
                                </w:rPr>
                                <w:t> </w:t>
                              </w:r>
                              <w:r w:rsidRPr="00C50C8A">
                                <w:rPr>
                                  <w:rFonts w:hAnsi="Calibri"/>
                                  <w:color w:val="000000" w:themeColor="dark1"/>
                                  <w:kern w:val="24"/>
                                  <w:sz w:val="17"/>
                                  <w:szCs w:val="17"/>
                                  <w:lang w:val="en-US"/>
                                </w:rPr>
                                <w:t>prevalence, geographic spread, and severity of COVID-19 in the</w:t>
                              </w:r>
                              <w:r w:rsidRPr="00C50C8A">
                                <w:rPr>
                                  <w:rFonts w:hAnsi="Calibri"/>
                                  <w:color w:val="000000" w:themeColor="dark1"/>
                                  <w:kern w:val="24"/>
                                  <w:sz w:val="17"/>
                                  <w:szCs w:val="17"/>
                                  <w:lang w:val="en-US"/>
                                </w:rPr>
                                <w:t> </w:t>
                              </w:r>
                              <w:r w:rsidRPr="00C50C8A">
                                <w:rPr>
                                  <w:rFonts w:hAnsi="Calibri"/>
                                  <w:color w:val="000000" w:themeColor="dark1"/>
                                  <w:kern w:val="24"/>
                                  <w:sz w:val="17"/>
                                  <w:szCs w:val="17"/>
                                  <w:lang w:val="en-US"/>
                                </w:rPr>
                                <w:t>population</w:t>
                              </w:r>
                              <w:r w:rsidRPr="00C50C8A">
                                <w:rPr>
                                  <w:rFonts w:hAnsi="Calibri"/>
                                  <w:color w:val="000000" w:themeColor="dark1"/>
                                  <w:kern w:val="24"/>
                                  <w:sz w:val="17"/>
                                  <w:szCs w:val="17"/>
                                  <w:lang w:val="en-US"/>
                                </w:rPr>
                                <w:t> </w:t>
                              </w:r>
                              <w:r w:rsidRPr="00C50C8A">
                                <w:rPr>
                                  <w:rFonts w:hAnsi="Calibri"/>
                                  <w:color w:val="000000" w:themeColor="dark1"/>
                                  <w:kern w:val="24"/>
                                  <w:sz w:val="17"/>
                                  <w:szCs w:val="17"/>
                                  <w:lang w:val="en-US"/>
                                </w:rPr>
                                <w:t>to</w:t>
                              </w:r>
                              <w:r w:rsidRPr="00C50C8A">
                                <w:rPr>
                                  <w:rFonts w:hAnsi="Calibri"/>
                                  <w:color w:val="000000" w:themeColor="dark1"/>
                                  <w:kern w:val="24"/>
                                  <w:sz w:val="17"/>
                                  <w:szCs w:val="17"/>
                                  <w:lang w:val="en-US"/>
                                </w:rPr>
                                <w:t> </w:t>
                              </w:r>
                              <w:r w:rsidRPr="00C50C8A">
                                <w:rPr>
                                  <w:rFonts w:hAnsi="Calibri"/>
                                  <w:color w:val="000000" w:themeColor="dark1"/>
                                  <w:kern w:val="24"/>
                                  <w:sz w:val="17"/>
                                  <w:szCs w:val="17"/>
                                  <w:lang w:val="en-US"/>
                                </w:rPr>
                                <w:t>estimate the burden of disease, assess trends, viral changes,</w:t>
                              </w:r>
                              <w:r w:rsidRPr="00C50C8A">
                                <w:rPr>
                                  <w:rFonts w:hAnsi="Calibri"/>
                                  <w:color w:val="000000" w:themeColor="dark1"/>
                                  <w:kern w:val="24"/>
                                  <w:sz w:val="17"/>
                                  <w:szCs w:val="17"/>
                                  <w:lang w:val="en-US"/>
                                </w:rPr>
                                <w:t> </w:t>
                              </w:r>
                              <w:r w:rsidRPr="00C50C8A">
                                <w:rPr>
                                  <w:rFonts w:hAnsi="Calibri"/>
                                  <w:color w:val="000000" w:themeColor="dark1"/>
                                  <w:kern w:val="24"/>
                                  <w:sz w:val="17"/>
                                  <w:szCs w:val="17"/>
                                  <w:lang w:val="en-US"/>
                                </w:rPr>
                                <w:t>and inform appropriate</w:t>
                              </w:r>
                              <w:r w:rsidRPr="00C50C8A">
                                <w:rPr>
                                  <w:rFonts w:hAnsi="Calibri"/>
                                  <w:color w:val="000000" w:themeColor="dark1"/>
                                  <w:kern w:val="24"/>
                                  <w:sz w:val="17"/>
                                  <w:szCs w:val="17"/>
                                  <w:lang w:val="en-US"/>
                                </w:rPr>
                                <w:t> </w:t>
                              </w:r>
                              <w:r w:rsidRPr="00C50C8A">
                                <w:rPr>
                                  <w:rFonts w:hAnsi="Calibri"/>
                                  <w:color w:val="000000" w:themeColor="dark1"/>
                                  <w:kern w:val="24"/>
                                  <w:sz w:val="17"/>
                                  <w:szCs w:val="17"/>
                                  <w:lang w:val="en-US"/>
                                </w:rPr>
                                <w:t>prevention and</w:t>
                              </w:r>
                              <w:r w:rsidRPr="00C50C8A">
                                <w:rPr>
                                  <w:rFonts w:hAnsi="Calibri"/>
                                  <w:color w:val="000000" w:themeColor="dark1"/>
                                  <w:kern w:val="24"/>
                                  <w:sz w:val="17"/>
                                  <w:szCs w:val="17"/>
                                  <w:lang w:val="en-US"/>
                                </w:rPr>
                                <w:t> </w:t>
                              </w:r>
                              <w:r w:rsidRPr="00C50C8A">
                                <w:rPr>
                                  <w:rFonts w:hAnsi="Calibri"/>
                                  <w:color w:val="000000" w:themeColor="dark1"/>
                                  <w:kern w:val="24"/>
                                  <w:sz w:val="17"/>
                                  <w:szCs w:val="17"/>
                                  <w:lang w:val="en-US"/>
                                </w:rPr>
                                <w:t>mitigation measures.</w:t>
                              </w:r>
                              <w:r w:rsidRPr="00C50C8A">
                                <w:rPr>
                                  <w:rFonts w:hAnsi="Calibri"/>
                                  <w:color w:val="000000" w:themeColor="dark1"/>
                                  <w:kern w:val="24"/>
                                  <w:sz w:val="17"/>
                                  <w:szCs w:val="17"/>
                                  <w:lang w:val="en-US"/>
                                </w:rPr>
                                <w:t> </w:t>
                              </w:r>
                            </w:p>
                          </w:txbxContent>
                        </wps:txbx>
                        <wps:bodyPr rtlCol="0" anchor="ctr"/>
                      </wps:wsp>
                      <wps:wsp>
                        <wps:cNvPr id="974676876" name="Rectangle 21"/>
                        <wps:cNvSpPr/>
                        <wps:spPr>
                          <a:xfrm>
                            <a:off x="3288648" y="4051052"/>
                            <a:ext cx="1718045" cy="2336362"/>
                          </a:xfrm>
                          <a:prstGeom prst="rect">
                            <a:avLst/>
                          </a:prstGeom>
                          <a:solidFill>
                            <a:schemeClr val="accent2">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397B79" w14:textId="77777777" w:rsidR="007A6088" w:rsidRPr="00C50C8A" w:rsidRDefault="007A6088" w:rsidP="00C50C8A">
                              <w:pPr>
                                <w:jc w:val="center"/>
                                <w:rPr>
                                  <w:rFonts w:hAnsi="Calibri"/>
                                  <w:color w:val="000000" w:themeColor="dark1"/>
                                  <w:kern w:val="24"/>
                                  <w:sz w:val="17"/>
                                  <w:szCs w:val="17"/>
                                  <w:lang w:val="en-US"/>
                                </w:rPr>
                              </w:pPr>
                              <w:r w:rsidRPr="00C50C8A">
                                <w:rPr>
                                  <w:rFonts w:hAnsi="Calibri"/>
                                  <w:color w:val="000000" w:themeColor="dark1"/>
                                  <w:kern w:val="24"/>
                                  <w:sz w:val="17"/>
                                  <w:szCs w:val="17"/>
                                  <w:lang w:val="en-US"/>
                                </w:rPr>
                                <w:t>Through disaggregated assessment of COVID-19 data, assess</w:t>
                              </w:r>
                              <w:r w:rsidRPr="00C50C8A">
                                <w:rPr>
                                  <w:rFonts w:hAnsi="Calibri"/>
                                  <w:color w:val="000000" w:themeColor="dark1"/>
                                  <w:kern w:val="24"/>
                                  <w:sz w:val="17"/>
                                  <w:szCs w:val="17"/>
                                  <w:lang w:val="en-US"/>
                                </w:rPr>
                                <w:t> </w:t>
                              </w:r>
                              <w:r w:rsidRPr="00C50C8A">
                                <w:rPr>
                                  <w:rFonts w:hAnsi="Calibri"/>
                                  <w:color w:val="000000" w:themeColor="dark1"/>
                                  <w:kern w:val="24"/>
                                  <w:sz w:val="17"/>
                                  <w:szCs w:val="17"/>
                                  <w:lang w:val="en-US"/>
                                </w:rPr>
                                <w:t>impacts on</w:t>
                              </w:r>
                              <w:r w:rsidRPr="00C50C8A">
                                <w:rPr>
                                  <w:rFonts w:hAnsi="Calibri"/>
                                  <w:color w:val="000000" w:themeColor="dark1"/>
                                  <w:kern w:val="24"/>
                                  <w:sz w:val="17"/>
                                  <w:szCs w:val="17"/>
                                  <w:lang w:val="en-US"/>
                                </w:rPr>
                                <w:t> </w:t>
                              </w:r>
                              <w:r w:rsidRPr="00C50C8A">
                                <w:rPr>
                                  <w:rFonts w:hAnsi="Calibri"/>
                                  <w:color w:val="000000" w:themeColor="dark1"/>
                                  <w:kern w:val="24"/>
                                  <w:sz w:val="17"/>
                                  <w:szCs w:val="17"/>
                                  <w:lang w:val="en-US"/>
                                </w:rPr>
                                <w:t>equity</w:t>
                              </w:r>
                              <w:r w:rsidRPr="00C50C8A">
                                <w:rPr>
                                  <w:rFonts w:hAnsi="Calibri"/>
                                  <w:color w:val="000000" w:themeColor="dark1"/>
                                  <w:kern w:val="24"/>
                                  <w:sz w:val="17"/>
                                  <w:szCs w:val="17"/>
                                  <w:lang w:val="en-US"/>
                                </w:rPr>
                                <w:t> </w:t>
                              </w:r>
                              <w:r w:rsidRPr="00C50C8A">
                                <w:rPr>
                                  <w:rFonts w:hAnsi="Calibri"/>
                                  <w:color w:val="000000" w:themeColor="dark1"/>
                                  <w:kern w:val="24"/>
                                  <w:sz w:val="17"/>
                                  <w:szCs w:val="17"/>
                                  <w:lang w:val="en-US"/>
                                </w:rPr>
                                <w:t>settings and populations at higher-risk for COVID-19 transmission,</w:t>
                              </w:r>
                              <w:r w:rsidRPr="00C50C8A">
                                <w:rPr>
                                  <w:rFonts w:hAnsi="Calibri"/>
                                  <w:color w:val="000000" w:themeColor="dark1"/>
                                  <w:kern w:val="24"/>
                                  <w:sz w:val="17"/>
                                  <w:szCs w:val="17"/>
                                  <w:lang w:val="en-US"/>
                                </w:rPr>
                                <w:t> </w:t>
                              </w:r>
                              <w:r w:rsidRPr="00C50C8A">
                                <w:rPr>
                                  <w:rFonts w:hAnsi="Calibri"/>
                                  <w:color w:val="000000" w:themeColor="dark1"/>
                                  <w:kern w:val="24"/>
                                  <w:sz w:val="17"/>
                                  <w:szCs w:val="17"/>
                                  <w:lang w:val="en-US"/>
                                </w:rPr>
                                <w:t>and poorer clinical and other outcomes.</w:t>
                              </w:r>
                              <w:r w:rsidRPr="00C50C8A">
                                <w:rPr>
                                  <w:rFonts w:hAnsi="Calibri"/>
                                  <w:color w:val="000000" w:themeColor="dark1"/>
                                  <w:kern w:val="24"/>
                                  <w:sz w:val="17"/>
                                  <w:szCs w:val="17"/>
                                  <w:lang w:val="en-US"/>
                                </w:rPr>
                                <w:t> </w:t>
                              </w:r>
                            </w:p>
                          </w:txbxContent>
                        </wps:txbx>
                        <wps:bodyPr rtlCol="0" anchor="ctr"/>
                      </wps:wsp>
                      <wps:wsp>
                        <wps:cNvPr id="974676877" name="Rectangle 22"/>
                        <wps:cNvSpPr/>
                        <wps:spPr>
                          <a:xfrm>
                            <a:off x="5016548" y="4051052"/>
                            <a:ext cx="1598229" cy="2342261"/>
                          </a:xfrm>
                          <a:prstGeom prst="rect">
                            <a:avLst/>
                          </a:prstGeom>
                          <a:solidFill>
                            <a:schemeClr val="accent2">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DB578E" w14:textId="77777777" w:rsidR="007A6088" w:rsidRPr="00C50C8A" w:rsidRDefault="007A6088" w:rsidP="00C50C8A">
                              <w:pPr>
                                <w:jc w:val="center"/>
                                <w:rPr>
                                  <w:rFonts w:hAnsi="Calibri"/>
                                  <w:color w:val="000000" w:themeColor="dark1"/>
                                  <w:kern w:val="24"/>
                                  <w:sz w:val="17"/>
                                  <w:szCs w:val="17"/>
                                  <w:lang w:val="en-US"/>
                                </w:rPr>
                              </w:pPr>
                              <w:r w:rsidRPr="00C50C8A">
                                <w:rPr>
                                  <w:rFonts w:hAnsi="Calibri"/>
                                  <w:color w:val="000000" w:themeColor="dark1"/>
                                  <w:kern w:val="24"/>
                                  <w:sz w:val="17"/>
                                  <w:szCs w:val="17"/>
                                  <w:lang w:val="en-US"/>
                                </w:rPr>
                                <w:t xml:space="preserve">Evaluate the impact of national decision on the public health response to inform authorities so they may adjust their choice of strategies, as well as their timing and intensity. </w:t>
                              </w:r>
                            </w:p>
                          </w:txbxContent>
                        </wps:txbx>
                        <wps:bodyPr rtlCol="0" anchor="ctr"/>
                      </wps:wsp>
                      <wps:wsp>
                        <wps:cNvPr id="974676878" name="Rectangle 23"/>
                        <wps:cNvSpPr/>
                        <wps:spPr>
                          <a:xfrm>
                            <a:off x="6624625" y="4051052"/>
                            <a:ext cx="2294779" cy="2354911"/>
                          </a:xfrm>
                          <a:prstGeom prst="rect">
                            <a:avLst/>
                          </a:prstGeom>
                          <a:solidFill>
                            <a:schemeClr val="accent2">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D867E3" w14:textId="77777777" w:rsidR="007A6088" w:rsidRPr="00C50C8A" w:rsidRDefault="007A6088" w:rsidP="00C50C8A">
                              <w:pPr>
                                <w:jc w:val="center"/>
                                <w:rPr>
                                  <w:rFonts w:hAnsi="Calibri"/>
                                  <w:color w:val="000000" w:themeColor="dark1"/>
                                  <w:kern w:val="24"/>
                                  <w:sz w:val="17"/>
                                  <w:szCs w:val="17"/>
                                  <w:lang w:val="en-US"/>
                                </w:rPr>
                              </w:pPr>
                              <w:r w:rsidRPr="00C50C8A">
                                <w:rPr>
                                  <w:rFonts w:hAnsi="Calibri"/>
                                  <w:color w:val="000000" w:themeColor="dark1"/>
                                  <w:kern w:val="24"/>
                                  <w:sz w:val="17"/>
                                  <w:szCs w:val="17"/>
                                  <w:lang w:val="en-US"/>
                                </w:rPr>
                                <w:t>Monitor the pandemic</w:t>
                              </w:r>
                              <w:r w:rsidRPr="00C50C8A">
                                <w:rPr>
                                  <w:rFonts w:hAnsi="Calibri"/>
                                  <w:color w:val="000000" w:themeColor="dark1"/>
                                  <w:kern w:val="24"/>
                                  <w:sz w:val="17"/>
                                  <w:szCs w:val="17"/>
                                  <w:lang w:val="en-US"/>
                                </w:rPr>
                                <w:t>’</w:t>
                              </w:r>
                              <w:r w:rsidRPr="00C50C8A">
                                <w:rPr>
                                  <w:rFonts w:hAnsi="Calibri"/>
                                  <w:color w:val="000000" w:themeColor="dark1"/>
                                  <w:kern w:val="24"/>
                                  <w:sz w:val="17"/>
                                  <w:szCs w:val="17"/>
                                  <w:lang w:val="en-US"/>
                                </w:rPr>
                                <w:t xml:space="preserve">s impact on the healthcare system, including impact on resilience, moral distress, and moral injury in the workforce, and provide evidence to inform resource allocation and mobilisation of surge capacity, as well as external emergency care and support. </w:t>
                              </w:r>
                            </w:p>
                          </w:txbxContent>
                        </wps:txbx>
                        <wps:bodyPr rtlCol="0" anchor="ctr"/>
                      </wps:wsp>
                      <wps:wsp>
                        <wps:cNvPr id="974676879" name="Rectangle 24"/>
                        <wps:cNvSpPr/>
                        <wps:spPr>
                          <a:xfrm>
                            <a:off x="8932234" y="4051052"/>
                            <a:ext cx="1858106" cy="2336362"/>
                          </a:xfrm>
                          <a:prstGeom prst="rect">
                            <a:avLst/>
                          </a:prstGeom>
                          <a:solidFill>
                            <a:schemeClr val="accent2">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1AA393" w14:textId="77777777" w:rsidR="007A6088" w:rsidRPr="00C50C8A" w:rsidRDefault="007A6088" w:rsidP="00C50C8A">
                              <w:pPr>
                                <w:jc w:val="center"/>
                                <w:rPr>
                                  <w:rFonts w:hAnsi="Calibri"/>
                                  <w:color w:val="000000" w:themeColor="dark1"/>
                                  <w:kern w:val="24"/>
                                  <w:sz w:val="17"/>
                                  <w:szCs w:val="17"/>
                                  <w:lang w:val="en-US"/>
                                </w:rPr>
                              </w:pPr>
                              <w:r w:rsidRPr="00C50C8A">
                                <w:rPr>
                                  <w:rFonts w:hAnsi="Calibri"/>
                                  <w:color w:val="000000" w:themeColor="dark1"/>
                                  <w:kern w:val="24"/>
                                  <w:sz w:val="17"/>
                                  <w:szCs w:val="17"/>
                                  <w:lang w:val="en-US"/>
                                </w:rPr>
                                <w:t xml:space="preserve">Monitor COVID-19 at the international border and certain aspects of the global COVID-19 pandemic (i.e., viral changes, emerging evidence, response measures), and the risk this poses to Aotearoa New Zealand. </w:t>
                              </w:r>
                            </w:p>
                          </w:txbxContent>
                        </wps:txbx>
                        <wps:bodyPr rtlCol="0" anchor="ctr"/>
                      </wps:wsp>
                      <wps:wsp>
                        <wps:cNvPr id="974676880" name="Rectangle 25"/>
                        <wps:cNvSpPr/>
                        <wps:spPr>
                          <a:xfrm>
                            <a:off x="1356893" y="6357718"/>
                            <a:ext cx="9516216" cy="365711"/>
                          </a:xfrm>
                          <a:prstGeom prst="rect">
                            <a:avLst/>
                          </a:prstGeom>
                          <a:solidFill>
                            <a:schemeClr val="accent3">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D971AE" w14:textId="77777777" w:rsidR="007A6088" w:rsidRPr="00C50C8A" w:rsidRDefault="007A6088" w:rsidP="00C50C8A">
                              <w:pPr>
                                <w:jc w:val="center"/>
                                <w:rPr>
                                  <w:rFonts w:hAnsi="Calibri"/>
                                  <w:b/>
                                  <w:bCs/>
                                  <w:color w:val="2F5496" w:themeColor="accent1" w:themeShade="BF"/>
                                  <w:kern w:val="24"/>
                                  <w:sz w:val="20"/>
                                </w:rPr>
                              </w:pPr>
                              <w:r w:rsidRPr="00C50C8A">
                                <w:rPr>
                                  <w:rFonts w:hAnsi="Calibri"/>
                                  <w:b/>
                                  <w:bCs/>
                                  <w:color w:val="2F5496" w:themeColor="accent1" w:themeShade="BF"/>
                                  <w:kern w:val="24"/>
                                  <w:sz w:val="20"/>
                                </w:rPr>
                                <w:t xml:space="preserve">EACH OBJECTIVE LISTED ABOVE WILL HAVE MULTIPLE KEY QUESTIONS, INDICATORS AND DATA SOURCES. </w:t>
                              </w:r>
                            </w:p>
                          </w:txbxContent>
                        </wps:txbx>
                        <wps:bodyPr rtlCol="0" anchor="ctr"/>
                      </wps:wsp>
                      <wps:wsp>
                        <wps:cNvPr id="974676881" name="Arrow: Down 27"/>
                        <wps:cNvSpPr/>
                        <wps:spPr>
                          <a:xfrm>
                            <a:off x="2457449" y="6696270"/>
                            <a:ext cx="257907" cy="527401"/>
                          </a:xfrm>
                          <a:prstGeom prst="down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74676882" name="Rectangle 28"/>
                        <wps:cNvSpPr/>
                        <wps:spPr>
                          <a:xfrm>
                            <a:off x="1246909" y="7412182"/>
                            <a:ext cx="1339371" cy="1570074"/>
                          </a:xfrm>
                          <a:prstGeom prst="rect">
                            <a:avLst/>
                          </a:prstGeom>
                          <a:solidFill>
                            <a:schemeClr val="accent2">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507653" w14:textId="77777777" w:rsidR="007A6088" w:rsidRPr="00BA5216" w:rsidRDefault="007A6088" w:rsidP="00C50C8A">
                              <w:pPr>
                                <w:jc w:val="center"/>
                                <w:rPr>
                                  <w:rFonts w:hAnsi="Calibri"/>
                                  <w:b/>
                                  <w:bCs/>
                                  <w:color w:val="000000" w:themeColor="text1"/>
                                  <w:kern w:val="24"/>
                                  <w:sz w:val="18"/>
                                  <w:szCs w:val="18"/>
                                </w:rPr>
                              </w:pPr>
                              <w:r w:rsidRPr="00BA5216">
                                <w:rPr>
                                  <w:rFonts w:hAnsi="Calibri"/>
                                  <w:b/>
                                  <w:bCs/>
                                  <w:color w:val="000000" w:themeColor="text1"/>
                                  <w:kern w:val="24"/>
                                  <w:sz w:val="18"/>
                                  <w:szCs w:val="18"/>
                                </w:rPr>
                                <w:t>High-level daily data for national situational awareness</w:t>
                              </w:r>
                            </w:p>
                          </w:txbxContent>
                        </wps:txbx>
                        <wps:bodyPr rtlCol="0" anchor="ctr"/>
                      </wps:wsp>
                      <wps:wsp>
                        <wps:cNvPr id="974676883" name="Rectangle 29"/>
                        <wps:cNvSpPr/>
                        <wps:spPr>
                          <a:xfrm>
                            <a:off x="2770909" y="7412182"/>
                            <a:ext cx="1339371" cy="1570074"/>
                          </a:xfrm>
                          <a:prstGeom prst="rect">
                            <a:avLst/>
                          </a:prstGeom>
                          <a:solidFill>
                            <a:schemeClr val="accent2">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C8B7E2" w14:textId="77777777" w:rsidR="007A6088" w:rsidRPr="00BA5216" w:rsidRDefault="007A6088" w:rsidP="00C50C8A">
                              <w:pPr>
                                <w:jc w:val="center"/>
                                <w:rPr>
                                  <w:rFonts w:hAnsi="Calibri"/>
                                  <w:b/>
                                  <w:bCs/>
                                  <w:color w:val="000000" w:themeColor="text1"/>
                                  <w:kern w:val="24"/>
                                  <w:sz w:val="18"/>
                                  <w:szCs w:val="18"/>
                                </w:rPr>
                              </w:pPr>
                              <w:r w:rsidRPr="00BA5216">
                                <w:rPr>
                                  <w:rFonts w:hAnsi="Calibri"/>
                                  <w:b/>
                                  <w:bCs/>
                                  <w:color w:val="000000" w:themeColor="text1"/>
                                  <w:kern w:val="24"/>
                                  <w:sz w:val="18"/>
                                  <w:szCs w:val="18"/>
                                </w:rPr>
                                <w:t>Structural risk factors matrix</w:t>
                              </w:r>
                            </w:p>
                          </w:txbxContent>
                        </wps:txbx>
                        <wps:bodyPr rtlCol="0" anchor="ctr"/>
                      </wps:wsp>
                      <wps:wsp>
                        <wps:cNvPr id="974676884" name="Rectangle 30"/>
                        <wps:cNvSpPr/>
                        <wps:spPr>
                          <a:xfrm>
                            <a:off x="4308764" y="7412182"/>
                            <a:ext cx="1339371" cy="1570074"/>
                          </a:xfrm>
                          <a:prstGeom prst="rect">
                            <a:avLst/>
                          </a:prstGeom>
                          <a:solidFill>
                            <a:schemeClr val="accent2">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0C2FFC" w14:textId="77777777" w:rsidR="007A6088" w:rsidRPr="00BA5216" w:rsidRDefault="007A6088" w:rsidP="00C50C8A">
                              <w:pPr>
                                <w:jc w:val="center"/>
                                <w:rPr>
                                  <w:rFonts w:hAnsi="Calibri"/>
                                  <w:b/>
                                  <w:bCs/>
                                  <w:color w:val="000000" w:themeColor="dark1"/>
                                  <w:kern w:val="24"/>
                                  <w:sz w:val="18"/>
                                  <w:szCs w:val="18"/>
                                  <w:lang w:val="en-US"/>
                                </w:rPr>
                              </w:pPr>
                              <w:r w:rsidRPr="00BA5216">
                                <w:rPr>
                                  <w:rFonts w:hAnsi="Calibri"/>
                                  <w:b/>
                                  <w:bCs/>
                                  <w:color w:val="000000" w:themeColor="dark1"/>
                                  <w:kern w:val="24"/>
                                  <w:sz w:val="18"/>
                                  <w:szCs w:val="18"/>
                                  <w:lang w:val="en-US"/>
                                </w:rPr>
                                <w:t>Epidemiological</w:t>
                              </w:r>
                              <w:r w:rsidRPr="00BA5216">
                                <w:rPr>
                                  <w:rFonts w:hAnsi="Calibri"/>
                                  <w:color w:val="000000" w:themeColor="dark1"/>
                                  <w:kern w:val="24"/>
                                  <w:sz w:val="18"/>
                                  <w:szCs w:val="18"/>
                                  <w:lang w:val="en-US"/>
                                </w:rPr>
                                <w:t xml:space="preserve"> </w:t>
                              </w:r>
                              <w:r w:rsidRPr="00BA5216">
                                <w:rPr>
                                  <w:rFonts w:hAnsi="Calibri"/>
                                  <w:b/>
                                  <w:bCs/>
                                  <w:color w:val="000000" w:themeColor="dark1"/>
                                  <w:kern w:val="24"/>
                                  <w:sz w:val="18"/>
                                  <w:szCs w:val="18"/>
                                  <w:lang w:val="en-US"/>
                                </w:rPr>
                                <w:t xml:space="preserve">trends and insights report. </w:t>
                              </w:r>
                            </w:p>
                          </w:txbxContent>
                        </wps:txbx>
                        <wps:bodyPr rtlCol="0" anchor="ctr"/>
                      </wps:wsp>
                      <wps:wsp>
                        <wps:cNvPr id="974676885" name="Rectangle 31"/>
                        <wps:cNvSpPr/>
                        <wps:spPr>
                          <a:xfrm>
                            <a:off x="5846618" y="7412182"/>
                            <a:ext cx="1339371" cy="1570074"/>
                          </a:xfrm>
                          <a:prstGeom prst="rect">
                            <a:avLst/>
                          </a:prstGeom>
                          <a:solidFill>
                            <a:schemeClr val="accent2">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755E9E" w14:textId="77777777" w:rsidR="007A6088" w:rsidRPr="00BA5216" w:rsidRDefault="007A6088" w:rsidP="00C50C8A">
                              <w:pPr>
                                <w:jc w:val="center"/>
                                <w:rPr>
                                  <w:rFonts w:hAnsi="Calibri"/>
                                  <w:b/>
                                  <w:bCs/>
                                  <w:color w:val="000000" w:themeColor="text1"/>
                                  <w:kern w:val="24"/>
                                  <w:sz w:val="18"/>
                                  <w:szCs w:val="18"/>
                                </w:rPr>
                              </w:pPr>
                              <w:r w:rsidRPr="00BA5216">
                                <w:rPr>
                                  <w:rFonts w:hAnsi="Calibri"/>
                                  <w:b/>
                                  <w:bCs/>
                                  <w:color w:val="000000" w:themeColor="text1"/>
                                  <w:kern w:val="24"/>
                                  <w:sz w:val="18"/>
                                  <w:szCs w:val="18"/>
                                </w:rPr>
                                <w:t>Reporting on new variants and global health intelligence</w:t>
                              </w:r>
                            </w:p>
                          </w:txbxContent>
                        </wps:txbx>
                        <wps:bodyPr rtlCol="0" anchor="ctr"/>
                      </wps:wsp>
                      <wps:wsp>
                        <wps:cNvPr id="974676886" name="Rectangle 32"/>
                        <wps:cNvSpPr/>
                        <wps:spPr>
                          <a:xfrm>
                            <a:off x="7453745" y="7412182"/>
                            <a:ext cx="1499067" cy="1570074"/>
                          </a:xfrm>
                          <a:prstGeom prst="rect">
                            <a:avLst/>
                          </a:prstGeom>
                          <a:solidFill>
                            <a:schemeClr val="accent2">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7B3196" w14:textId="77777777" w:rsidR="007A6088" w:rsidRDefault="007A6088" w:rsidP="00C50C8A">
                              <w:pPr>
                                <w:jc w:val="center"/>
                                <w:rPr>
                                  <w:rFonts w:hAnsi="Calibri"/>
                                  <w:b/>
                                  <w:bCs/>
                                  <w:color w:val="000000" w:themeColor="text1"/>
                                  <w:kern w:val="24"/>
                                  <w:sz w:val="18"/>
                                  <w:szCs w:val="18"/>
                                </w:rPr>
                              </w:pPr>
                            </w:p>
                            <w:p w14:paraId="392A2EE5" w14:textId="77777777" w:rsidR="007A6088" w:rsidRDefault="007A6088" w:rsidP="00C50C8A">
                              <w:pPr>
                                <w:jc w:val="center"/>
                                <w:rPr>
                                  <w:rFonts w:hAnsi="Calibri"/>
                                  <w:b/>
                                  <w:bCs/>
                                  <w:color w:val="000000" w:themeColor="text1"/>
                                  <w:kern w:val="24"/>
                                  <w:sz w:val="18"/>
                                  <w:szCs w:val="18"/>
                                </w:rPr>
                              </w:pPr>
                              <w:r w:rsidRPr="00BA5216">
                                <w:rPr>
                                  <w:rFonts w:hAnsi="Calibri"/>
                                  <w:b/>
                                  <w:bCs/>
                                  <w:color w:val="000000" w:themeColor="text1"/>
                                  <w:kern w:val="24"/>
                                  <w:sz w:val="18"/>
                                  <w:szCs w:val="18"/>
                                </w:rPr>
                                <w:t xml:space="preserve">Modelling and forecasting </w:t>
                              </w:r>
                            </w:p>
                            <w:p w14:paraId="2255D425" w14:textId="77777777" w:rsidR="007A6088" w:rsidRPr="00BA5216" w:rsidRDefault="007A6088" w:rsidP="00C50C8A">
                              <w:pPr>
                                <w:jc w:val="center"/>
                                <w:rPr>
                                  <w:rFonts w:hAnsi="Calibri"/>
                                  <w:b/>
                                  <w:bCs/>
                                  <w:color w:val="000000" w:themeColor="text1"/>
                                  <w:kern w:val="24"/>
                                  <w:sz w:val="17"/>
                                  <w:szCs w:val="17"/>
                                </w:rPr>
                              </w:pPr>
                            </w:p>
                          </w:txbxContent>
                        </wps:txbx>
                        <wps:bodyPr rtlCol="0" anchor="ctr"/>
                      </wps:wsp>
                      <wps:wsp>
                        <wps:cNvPr id="974676887" name="Arrow: Down 33"/>
                        <wps:cNvSpPr/>
                        <wps:spPr>
                          <a:xfrm>
                            <a:off x="9218468" y="6732787"/>
                            <a:ext cx="257908" cy="527401"/>
                          </a:xfrm>
                          <a:prstGeom prst="down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74676888" name="Rectangle 34"/>
                        <wps:cNvSpPr/>
                        <wps:spPr>
                          <a:xfrm>
                            <a:off x="9227127" y="7426036"/>
                            <a:ext cx="1499067" cy="1570074"/>
                          </a:xfrm>
                          <a:prstGeom prst="rect">
                            <a:avLst/>
                          </a:prstGeom>
                          <a:solidFill>
                            <a:schemeClr val="accent2">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0DFEF6" w14:textId="77777777" w:rsidR="007A6088" w:rsidRPr="00BA5216" w:rsidRDefault="007A6088" w:rsidP="00C50C8A">
                              <w:pPr>
                                <w:jc w:val="center"/>
                                <w:rPr>
                                  <w:rFonts w:hAnsi="Calibri"/>
                                  <w:b/>
                                  <w:bCs/>
                                  <w:color w:val="000000" w:themeColor="dark1"/>
                                  <w:kern w:val="24"/>
                                  <w:sz w:val="18"/>
                                  <w:szCs w:val="18"/>
                                  <w:lang w:val="en-US"/>
                                </w:rPr>
                              </w:pPr>
                              <w:r w:rsidRPr="00BA5216">
                                <w:rPr>
                                  <w:rFonts w:hAnsi="Calibri"/>
                                  <w:b/>
                                  <w:bCs/>
                                  <w:color w:val="000000" w:themeColor="dark1"/>
                                  <w:kern w:val="24"/>
                                  <w:sz w:val="18"/>
                                  <w:szCs w:val="18"/>
                                  <w:lang w:val="en-US"/>
                                </w:rPr>
                                <w:t xml:space="preserve">Operational changes as required, such as adjustment to regional testing plans. </w:t>
                              </w:r>
                            </w:p>
                          </w:txbxContent>
                        </wps:txbx>
                        <wps:bodyPr rtlCol="0" anchor="ctr"/>
                      </wps:wsp>
                      <wps:wsp>
                        <wps:cNvPr id="974676889" name="Arrow: Curved Right 36"/>
                        <wps:cNvSpPr/>
                        <wps:spPr>
                          <a:xfrm rot="10800000">
                            <a:off x="10905876" y="332509"/>
                            <a:ext cx="1113681" cy="7883575"/>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74676891" name="Arrow: Curved Right 37"/>
                        <wps:cNvSpPr/>
                        <wps:spPr>
                          <a:xfrm rot="10800000" flipH="1">
                            <a:off x="0" y="443345"/>
                            <a:ext cx="1049222" cy="7883575"/>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74676892" name="TextBox 38"/>
                        <wps:cNvSpPr txBox="1"/>
                        <wps:spPr>
                          <a:xfrm>
                            <a:off x="2729327" y="0"/>
                            <a:ext cx="6494780" cy="494030"/>
                          </a:xfrm>
                          <a:prstGeom prst="rect">
                            <a:avLst/>
                          </a:prstGeom>
                          <a:noFill/>
                        </wps:spPr>
                        <wps:txbx>
                          <w:txbxContent>
                            <w:p w14:paraId="26EA8AC3" w14:textId="77777777" w:rsidR="007A6088" w:rsidRPr="00C50C8A" w:rsidRDefault="007A6088" w:rsidP="00C50C8A">
                              <w:pPr>
                                <w:rPr>
                                  <w:rFonts w:hAnsi="Calibri"/>
                                  <w:b/>
                                  <w:bCs/>
                                  <w:color w:val="000000" w:themeColor="text1"/>
                                  <w:kern w:val="24"/>
                                  <w:sz w:val="24"/>
                                  <w:szCs w:val="24"/>
                                </w:rPr>
                              </w:pPr>
                              <w:r w:rsidRPr="00C50C8A">
                                <w:rPr>
                                  <w:rFonts w:hAnsi="Calibri"/>
                                  <w:b/>
                                  <w:bCs/>
                                  <w:color w:val="000000" w:themeColor="text1"/>
                                  <w:kern w:val="24"/>
                                  <w:sz w:val="24"/>
                                  <w:szCs w:val="24"/>
                                  <w:u w:val="single"/>
                                </w:rPr>
                                <w:t>THE ROLE OF THE MINIMISATION AND PROTECTION STRATEGY</w:t>
                              </w:r>
                            </w:p>
                          </w:txbxContent>
                        </wps:txbx>
                        <wps:bodyPr wrap="square" rtlCol="0">
                          <a:noAutofit/>
                        </wps:bodyPr>
                      </wps:wsp>
                      <wps:wsp>
                        <wps:cNvPr id="974676893" name="TextBox 39"/>
                        <wps:cNvSpPr txBox="1"/>
                        <wps:spPr>
                          <a:xfrm>
                            <a:off x="41564" y="3948517"/>
                            <a:ext cx="1134745" cy="1176020"/>
                          </a:xfrm>
                          <a:prstGeom prst="rect">
                            <a:avLst/>
                          </a:prstGeom>
                          <a:noFill/>
                        </wps:spPr>
                        <wps:txbx>
                          <w:txbxContent>
                            <w:p w14:paraId="64436775" w14:textId="77777777" w:rsidR="007A6088" w:rsidRPr="00BA5216" w:rsidRDefault="007A6088" w:rsidP="00C50C8A">
                              <w:pPr>
                                <w:rPr>
                                  <w:rFonts w:hAnsi="Calibri"/>
                                  <w:color w:val="000000" w:themeColor="text1"/>
                                  <w:kern w:val="24"/>
                                  <w:sz w:val="28"/>
                                  <w:szCs w:val="28"/>
                                </w:rPr>
                              </w:pPr>
                              <w:r w:rsidRPr="00BA5216">
                                <w:rPr>
                                  <w:rFonts w:hAnsi="Calibri"/>
                                  <w:color w:val="000000" w:themeColor="text1"/>
                                  <w:kern w:val="24"/>
                                  <w:sz w:val="28"/>
                                  <w:szCs w:val="28"/>
                                </w:rPr>
                                <w:t>Evidence for Action</w:t>
                              </w:r>
                            </w:p>
                          </w:txbxContent>
                        </wps:txbx>
                        <wps:bodyPr wrap="square" rtlCol="0">
                          <a:noAutofit/>
                        </wps:bodyPr>
                      </wps:wsp>
                      <wps:wsp>
                        <wps:cNvPr id="974676894" name="TextBox 40"/>
                        <wps:cNvSpPr txBox="1"/>
                        <wps:spPr>
                          <a:xfrm>
                            <a:off x="10917175" y="3958350"/>
                            <a:ext cx="1134109" cy="1227012"/>
                          </a:xfrm>
                          <a:prstGeom prst="rect">
                            <a:avLst/>
                          </a:prstGeom>
                          <a:noFill/>
                        </wps:spPr>
                        <wps:txbx>
                          <w:txbxContent>
                            <w:p w14:paraId="5149A53A" w14:textId="77777777" w:rsidR="007A6088" w:rsidRPr="00BA5216" w:rsidRDefault="007A6088" w:rsidP="00C50C8A">
                              <w:pPr>
                                <w:rPr>
                                  <w:rFonts w:hAnsi="Calibri"/>
                                  <w:color w:val="000000" w:themeColor="text1"/>
                                  <w:kern w:val="24"/>
                                  <w:sz w:val="28"/>
                                  <w:szCs w:val="28"/>
                                </w:rPr>
                              </w:pPr>
                              <w:r w:rsidRPr="00BA5216">
                                <w:rPr>
                                  <w:rFonts w:hAnsi="Calibri"/>
                                  <w:color w:val="000000" w:themeColor="text1"/>
                                  <w:kern w:val="24"/>
                                  <w:sz w:val="28"/>
                                  <w:szCs w:val="28"/>
                                </w:rPr>
                                <w:t>Evidence for Action</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3A39CEF0" id="Group 974676864" o:spid="_x0000_s1026" style="position:absolute;margin-left:12.55pt;margin-top:23.8pt;width:746pt;height:489.3pt;z-index:251658241;mso-position-horizontal-relative:margin;mso-width-relative:margin;mso-height-relative:margin" coordsize="120512,89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">
                <v:shapetype id="_x0000_t202" coordsize="21600,21600" o:spt="202" path="m,l,21600r21600,l21600,xe">
                  <v:stroke joinstyle="miter"/>
                  <v:path gradientshapeok="t" o:connecttype="rect"/>
                </v:shapetype>
                <v:shape id="TextBox 3" o:spid="_x0000_s1027" type="#_x0000_t202" style="position:absolute;left:13023;top:3325;width:94602;height: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" fillcolor="#b4c6e7 [1300]" stroked="f">
                  <v:textbox>
                    <w:txbxContent>
                      <w:p w14:paraId="4E27C217" w14:textId="77777777" w:rsidR="007A6088" w:rsidRPr="00C50C8A" w:rsidRDefault="007A6088" w:rsidP="00C50C8A">
                        <w:pPr>
                          <w:jc w:val="center"/>
                          <w:rPr>
                            <w:rFonts w:hAnsi="Calibri"/>
                            <w:color w:val="000000" w:themeColor="text1"/>
                            <w:kern w:val="24"/>
                            <w:sz w:val="24"/>
                            <w:szCs w:val="24"/>
                          </w:rPr>
                        </w:pPr>
                        <w:r w:rsidRPr="00C50C8A">
                          <w:rPr>
                            <w:rFonts w:hAnsi="Calibri"/>
                            <w:color w:val="000000" w:themeColor="text1"/>
                            <w:kern w:val="24"/>
                            <w:sz w:val="24"/>
                            <w:szCs w:val="24"/>
                          </w:rPr>
                          <w:t>To minimise community transmission of COVID-19, particularly in areas of higher risk, in order to protect the health system as well as communities and individuals at highest risk of serious illness.</w:t>
                        </w:r>
                      </w:p>
                    </w:txbxContent>
                  </v:textbox>
                </v:shape>
                <v:shape id="TextBox 4" o:spid="_x0000_s1028" type="#_x0000_t202" style="position:absolute;left:13023;top:20504;width:94602;height:8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" fillcolor="#b4c6e7 [1300]" stroked="f">
                  <v:textbox>
                    <w:txbxContent>
                      <w:p w14:paraId="4FA26A61" w14:textId="77777777" w:rsidR="007A6088" w:rsidRPr="00C50C8A" w:rsidRDefault="007A6088" w:rsidP="00C50C8A">
                        <w:pPr>
                          <w:jc w:val="center"/>
                          <w:rPr>
                            <w:rFonts w:hAnsi="Calibri"/>
                            <w:color w:val="000000" w:themeColor="text1"/>
                            <w:kern w:val="24"/>
                            <w:sz w:val="24"/>
                            <w:szCs w:val="24"/>
                          </w:rPr>
                        </w:pPr>
                        <w:r w:rsidRPr="00C50C8A">
                          <w:rPr>
                            <w:rFonts w:hAnsi="Calibri"/>
                            <w:color w:val="000000" w:themeColor="text1"/>
                            <w:kern w:val="24"/>
                            <w:sz w:val="24"/>
                            <w:szCs w:val="24"/>
                          </w:rPr>
                          <w:t>Surveillance must provide</w:t>
                        </w:r>
                        <w:r w:rsidRPr="00C50C8A">
                          <w:rPr>
                            <w:rFonts w:hAnsi="Calibri"/>
                            <w:color w:val="000000" w:themeColor="text1"/>
                            <w:kern w:val="24"/>
                            <w:sz w:val="24"/>
                            <w:szCs w:val="24"/>
                          </w:rPr>
                          <w:t> </w:t>
                        </w:r>
                        <w:r w:rsidRPr="00C50C8A">
                          <w:rPr>
                            <w:rFonts w:hAnsi="Calibri"/>
                            <w:color w:val="000000" w:themeColor="text1"/>
                            <w:kern w:val="24"/>
                            <w:sz w:val="24"/>
                            <w:szCs w:val="24"/>
                          </w:rPr>
                          <w:t>guidance</w:t>
                        </w:r>
                        <w:r w:rsidRPr="00C50C8A">
                          <w:rPr>
                            <w:rFonts w:hAnsi="Calibri"/>
                            <w:color w:val="000000" w:themeColor="text1"/>
                            <w:kern w:val="24"/>
                            <w:sz w:val="24"/>
                            <w:szCs w:val="24"/>
                          </w:rPr>
                          <w:t> </w:t>
                        </w:r>
                        <w:r w:rsidRPr="00C50C8A">
                          <w:rPr>
                            <w:rFonts w:hAnsi="Calibri"/>
                            <w:color w:val="000000" w:themeColor="text1"/>
                            <w:kern w:val="24"/>
                            <w:sz w:val="24"/>
                            <w:szCs w:val="24"/>
                          </w:rPr>
                          <w:t>related to</w:t>
                        </w:r>
                        <w:r w:rsidRPr="00C50C8A">
                          <w:rPr>
                            <w:rFonts w:hAnsi="Calibri"/>
                            <w:color w:val="000000" w:themeColor="text1"/>
                            <w:kern w:val="24"/>
                            <w:sz w:val="24"/>
                            <w:szCs w:val="24"/>
                          </w:rPr>
                          <w:t> </w:t>
                        </w:r>
                        <w:r w:rsidRPr="00C50C8A">
                          <w:rPr>
                            <w:rFonts w:hAnsi="Calibri"/>
                            <w:color w:val="000000" w:themeColor="text1"/>
                            <w:kern w:val="24"/>
                            <w:sz w:val="24"/>
                            <w:szCs w:val="24"/>
                          </w:rPr>
                          <w:t>ongoing, systematic collection, analysis, and interpretation of health-related data essential to planning, implementation, and evaluation of public health practice</w:t>
                        </w:r>
                      </w:p>
                    </w:txbxContent>
                  </v:textbox>
                </v:shape>
                <v:shape id="TextBox 6" o:spid="_x0000_s1029" type="#_x0000_t202" style="position:absolute;left:13023;top:69826;width:95161;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" fillcolor="#b4c6e7 [1300]" stroked="f">
                  <v:textbox>
                    <w:txbxContent>
                      <w:p w14:paraId="0BD4C6E9" w14:textId="77777777" w:rsidR="007A6088" w:rsidRPr="00C50C8A" w:rsidRDefault="007A6088" w:rsidP="00C50C8A">
                        <w:pPr>
                          <w:jc w:val="center"/>
                          <w:rPr>
                            <w:rFonts w:hAnsi="Calibri"/>
                            <w:b/>
                            <w:bCs/>
                            <w:color w:val="000000" w:themeColor="text1"/>
                            <w:kern w:val="24"/>
                            <w:sz w:val="28"/>
                            <w:szCs w:val="28"/>
                          </w:rPr>
                        </w:pPr>
                        <w:r w:rsidRPr="00C50C8A">
                          <w:rPr>
                            <w:rFonts w:hAnsi="Calibri"/>
                            <w:b/>
                            <w:bCs/>
                            <w:color w:val="000000" w:themeColor="text1"/>
                            <w:kern w:val="24"/>
                            <w:sz w:val="28"/>
                            <w:szCs w:val="28"/>
                          </w:rPr>
                          <w:t xml:space="preserve">Key Outputs: </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7" o:spid="_x0000_s1030" type="#_x0000_t67" style="position:absolute;left:25821;top:13300;width:2579;height:5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" adj="16319" fillcolor="#538135 [2409]" strokecolor="#1f3763 [1604]" strokeweight="1pt"/>
                <v:shape id="Arrow: Down 8" o:spid="_x0000_s1031" type="#_x0000_t67" style="position:absolute;left:92184;top:13300;width:2579;height:5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" adj="16319" fillcolor="#538135 [2409]" strokecolor="#1f3763 [1604]" strokeweight="1pt"/>
                <v:shape id="TextBox 9" o:spid="_x0000_s1032" type="#_x0000_t202" style="position:absolute;left:28540;top:17040;width:64941;height:4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" filled="f" stroked="f">
                  <v:textbox>
                    <w:txbxContent>
                      <w:p w14:paraId="2A25CF5F" w14:textId="77777777" w:rsidR="007A6088" w:rsidRPr="00C50C8A" w:rsidRDefault="007A6088" w:rsidP="00C50C8A">
                        <w:pPr>
                          <w:rPr>
                            <w:rFonts w:hAnsi="Calibri"/>
                            <w:b/>
                            <w:bCs/>
                            <w:color w:val="000000" w:themeColor="text1"/>
                            <w:kern w:val="24"/>
                            <w:sz w:val="24"/>
                            <w:szCs w:val="24"/>
                          </w:rPr>
                        </w:pPr>
                        <w:r w:rsidRPr="00C50C8A">
                          <w:rPr>
                            <w:rFonts w:hAnsi="Calibri"/>
                            <w:b/>
                            <w:bCs/>
                            <w:color w:val="000000" w:themeColor="text1"/>
                            <w:kern w:val="24"/>
                            <w:sz w:val="24"/>
                            <w:szCs w:val="24"/>
                            <w:u w:val="single"/>
                          </w:rPr>
                          <w:t>THE ROLE OF THE SURVEILLANCE STRATEGY IN ACHIEVING THIS</w:t>
                        </w:r>
                      </w:p>
                    </w:txbxContent>
                  </v:textbox>
                </v:shape>
                <v:shape id="TextBox 10" o:spid="_x0000_s1033" type="#_x0000_t202" style="position:absolute;left:47178;top:33054;width:64941;height:4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" filled="f" stroked="f">
                  <v:textbox>
                    <w:txbxContent>
                      <w:p w14:paraId="688D37D6" w14:textId="77777777" w:rsidR="007A6088" w:rsidRPr="00C50C8A" w:rsidRDefault="007A6088" w:rsidP="00C50C8A">
                        <w:pPr>
                          <w:rPr>
                            <w:rFonts w:hAnsi="Calibri"/>
                            <w:b/>
                            <w:bCs/>
                            <w:color w:val="000000" w:themeColor="text1"/>
                            <w:kern w:val="24"/>
                            <w:sz w:val="24"/>
                            <w:szCs w:val="24"/>
                          </w:rPr>
                        </w:pPr>
                        <w:r w:rsidRPr="00C50C8A">
                          <w:rPr>
                            <w:rFonts w:hAnsi="Calibri"/>
                            <w:b/>
                            <w:bCs/>
                            <w:color w:val="000000" w:themeColor="text1"/>
                            <w:kern w:val="24"/>
                            <w:sz w:val="24"/>
                            <w:szCs w:val="24"/>
                            <w:u w:val="single"/>
                          </w:rPr>
                          <w:t xml:space="preserve">HOW WILL WE DO THIS? </w:t>
                        </w:r>
                      </w:p>
                    </w:txbxContent>
                  </v:textbox>
                </v:shape>
                <v:shape id="Arrow: Down 11" o:spid="_x0000_s1034" type="#_x0000_t67" style="position:absolute;left:92184;top:29030;width:2579;height:5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" adj="16319" fillcolor="#538135 [2409]" strokecolor="#1f3763 [1604]" strokeweight="1pt"/>
                <v:shape id="Arrow: Down 12" o:spid="_x0000_s1035" type="#_x0000_t67" style="position:absolute;left:25413;top:29030;width:2579;height:5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" adj="16319" fillcolor="#538135 [2409]" strokecolor="#1f3763 [1604]" strokeweight="1pt"/>
                <v:shape id="TextBox 15" o:spid="_x0000_s1036" type="#_x0000_t202" style="position:absolute;left:12469;top:36622;width:94602;height:4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" fillcolor="#b4c6e7 [1300]" stroked="f">
                  <v:textbox>
                    <w:txbxContent>
                      <w:p w14:paraId="086FA12E" w14:textId="77777777" w:rsidR="007A6088" w:rsidRPr="00C50C8A" w:rsidRDefault="007A6088" w:rsidP="00C50C8A">
                        <w:pPr>
                          <w:jc w:val="center"/>
                          <w:rPr>
                            <w:rFonts w:hAnsi="Calibri"/>
                            <w:b/>
                            <w:bCs/>
                            <w:color w:val="000000" w:themeColor="text1"/>
                            <w:kern w:val="24"/>
                            <w:sz w:val="24"/>
                            <w:szCs w:val="24"/>
                          </w:rPr>
                        </w:pPr>
                        <w:r w:rsidRPr="00C50C8A">
                          <w:rPr>
                            <w:rFonts w:hAnsi="Calibri"/>
                            <w:b/>
                            <w:bCs/>
                            <w:color w:val="000000" w:themeColor="text1"/>
                            <w:kern w:val="24"/>
                            <w:sz w:val="24"/>
                            <w:szCs w:val="24"/>
                          </w:rPr>
                          <w:t xml:space="preserve">Collection and Analysis of Data by: </w:t>
                        </w:r>
                      </w:p>
                    </w:txbxContent>
                  </v:textbox>
                </v:shape>
                <v:rect id="Rectangle 16" o:spid="_x0000_s1037" style="position:absolute;left:12469;top:40723;width:20516;height:23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" fillcolor="#f7caac [1301]" strokecolor="white [3212]" strokeweight="1pt">
                  <v:textbox>
                    <w:txbxContent>
                      <w:p w14:paraId="054141B6" w14:textId="77777777" w:rsidR="007A6088" w:rsidRPr="00C50C8A" w:rsidRDefault="007A6088" w:rsidP="00C50C8A">
                        <w:pPr>
                          <w:jc w:val="center"/>
                          <w:rPr>
                            <w:rFonts w:hAnsi="Calibri"/>
                            <w:color w:val="000000" w:themeColor="dark1"/>
                            <w:kern w:val="24"/>
                            <w:sz w:val="17"/>
                            <w:szCs w:val="17"/>
                            <w:lang w:val="en-US"/>
                          </w:rPr>
                        </w:pPr>
                        <w:r w:rsidRPr="00C50C8A">
                          <w:rPr>
                            <w:rFonts w:hAnsi="Calibri"/>
                            <w:color w:val="000000" w:themeColor="dark1"/>
                            <w:kern w:val="24"/>
                            <w:sz w:val="17"/>
                            <w:szCs w:val="17"/>
                            <w:lang w:val="en-US"/>
                          </w:rPr>
                          <w:t>Monitor</w:t>
                        </w:r>
                        <w:r w:rsidRPr="00C50C8A">
                          <w:rPr>
                            <w:rFonts w:hAnsi="Calibri"/>
                            <w:color w:val="000000" w:themeColor="dark1"/>
                            <w:kern w:val="24"/>
                            <w:sz w:val="17"/>
                            <w:szCs w:val="17"/>
                            <w:lang w:val="en-US"/>
                          </w:rPr>
                          <w:t> </w:t>
                        </w:r>
                        <w:r w:rsidRPr="00C50C8A">
                          <w:rPr>
                            <w:rFonts w:hAnsi="Calibri"/>
                            <w:color w:val="000000" w:themeColor="dark1"/>
                            <w:kern w:val="24"/>
                            <w:sz w:val="17"/>
                            <w:szCs w:val="17"/>
                            <w:lang w:val="en-US"/>
                          </w:rPr>
                          <w:t>and describe</w:t>
                        </w:r>
                        <w:r w:rsidRPr="00C50C8A">
                          <w:rPr>
                            <w:rFonts w:hAnsi="Calibri"/>
                            <w:color w:val="000000" w:themeColor="dark1"/>
                            <w:kern w:val="24"/>
                            <w:sz w:val="17"/>
                            <w:szCs w:val="17"/>
                            <w:lang w:val="en-US"/>
                          </w:rPr>
                          <w:t> </w:t>
                        </w:r>
                        <w:r w:rsidRPr="00C50C8A">
                          <w:rPr>
                            <w:rFonts w:hAnsi="Calibri"/>
                            <w:color w:val="000000" w:themeColor="dark1"/>
                            <w:kern w:val="24"/>
                            <w:sz w:val="17"/>
                            <w:szCs w:val="17"/>
                            <w:lang w:val="en-US"/>
                          </w:rPr>
                          <w:t>the</w:t>
                        </w:r>
                        <w:r w:rsidRPr="00C50C8A">
                          <w:rPr>
                            <w:rFonts w:hAnsi="Calibri"/>
                            <w:color w:val="000000" w:themeColor="dark1"/>
                            <w:kern w:val="24"/>
                            <w:sz w:val="17"/>
                            <w:szCs w:val="17"/>
                            <w:lang w:val="en-US"/>
                          </w:rPr>
                          <w:t> </w:t>
                        </w:r>
                        <w:r w:rsidRPr="00C50C8A">
                          <w:rPr>
                            <w:rFonts w:hAnsi="Calibri"/>
                            <w:color w:val="000000" w:themeColor="dark1"/>
                            <w:kern w:val="24"/>
                            <w:sz w:val="17"/>
                            <w:szCs w:val="17"/>
                            <w:lang w:val="en-US"/>
                          </w:rPr>
                          <w:t>incidence,</w:t>
                        </w:r>
                        <w:r w:rsidRPr="00C50C8A">
                          <w:rPr>
                            <w:rFonts w:hAnsi="Calibri"/>
                            <w:color w:val="000000" w:themeColor="dark1"/>
                            <w:kern w:val="24"/>
                            <w:sz w:val="17"/>
                            <w:szCs w:val="17"/>
                            <w:lang w:val="en-US"/>
                          </w:rPr>
                          <w:t> </w:t>
                        </w:r>
                        <w:r w:rsidRPr="00C50C8A">
                          <w:rPr>
                            <w:rFonts w:hAnsi="Calibri"/>
                            <w:color w:val="000000" w:themeColor="dark1"/>
                            <w:kern w:val="24"/>
                            <w:sz w:val="17"/>
                            <w:szCs w:val="17"/>
                            <w:lang w:val="en-US"/>
                          </w:rPr>
                          <w:t>prevalence, geographic spread, and severity of COVID-19 in the</w:t>
                        </w:r>
                        <w:r w:rsidRPr="00C50C8A">
                          <w:rPr>
                            <w:rFonts w:hAnsi="Calibri"/>
                            <w:color w:val="000000" w:themeColor="dark1"/>
                            <w:kern w:val="24"/>
                            <w:sz w:val="17"/>
                            <w:szCs w:val="17"/>
                            <w:lang w:val="en-US"/>
                          </w:rPr>
                          <w:t> </w:t>
                        </w:r>
                        <w:r w:rsidRPr="00C50C8A">
                          <w:rPr>
                            <w:rFonts w:hAnsi="Calibri"/>
                            <w:color w:val="000000" w:themeColor="dark1"/>
                            <w:kern w:val="24"/>
                            <w:sz w:val="17"/>
                            <w:szCs w:val="17"/>
                            <w:lang w:val="en-US"/>
                          </w:rPr>
                          <w:t>population</w:t>
                        </w:r>
                        <w:r w:rsidRPr="00C50C8A">
                          <w:rPr>
                            <w:rFonts w:hAnsi="Calibri"/>
                            <w:color w:val="000000" w:themeColor="dark1"/>
                            <w:kern w:val="24"/>
                            <w:sz w:val="17"/>
                            <w:szCs w:val="17"/>
                            <w:lang w:val="en-US"/>
                          </w:rPr>
                          <w:t> </w:t>
                        </w:r>
                        <w:r w:rsidRPr="00C50C8A">
                          <w:rPr>
                            <w:rFonts w:hAnsi="Calibri"/>
                            <w:color w:val="000000" w:themeColor="dark1"/>
                            <w:kern w:val="24"/>
                            <w:sz w:val="17"/>
                            <w:szCs w:val="17"/>
                            <w:lang w:val="en-US"/>
                          </w:rPr>
                          <w:t>to</w:t>
                        </w:r>
                        <w:r w:rsidRPr="00C50C8A">
                          <w:rPr>
                            <w:rFonts w:hAnsi="Calibri"/>
                            <w:color w:val="000000" w:themeColor="dark1"/>
                            <w:kern w:val="24"/>
                            <w:sz w:val="17"/>
                            <w:szCs w:val="17"/>
                            <w:lang w:val="en-US"/>
                          </w:rPr>
                          <w:t> </w:t>
                        </w:r>
                        <w:r w:rsidRPr="00C50C8A">
                          <w:rPr>
                            <w:rFonts w:hAnsi="Calibri"/>
                            <w:color w:val="000000" w:themeColor="dark1"/>
                            <w:kern w:val="24"/>
                            <w:sz w:val="17"/>
                            <w:szCs w:val="17"/>
                            <w:lang w:val="en-US"/>
                          </w:rPr>
                          <w:t>estimate the burden of disease, assess trends, viral changes,</w:t>
                        </w:r>
                        <w:r w:rsidRPr="00C50C8A">
                          <w:rPr>
                            <w:rFonts w:hAnsi="Calibri"/>
                            <w:color w:val="000000" w:themeColor="dark1"/>
                            <w:kern w:val="24"/>
                            <w:sz w:val="17"/>
                            <w:szCs w:val="17"/>
                            <w:lang w:val="en-US"/>
                          </w:rPr>
                          <w:t> </w:t>
                        </w:r>
                        <w:r w:rsidRPr="00C50C8A">
                          <w:rPr>
                            <w:rFonts w:hAnsi="Calibri"/>
                            <w:color w:val="000000" w:themeColor="dark1"/>
                            <w:kern w:val="24"/>
                            <w:sz w:val="17"/>
                            <w:szCs w:val="17"/>
                            <w:lang w:val="en-US"/>
                          </w:rPr>
                          <w:t>and inform appropriate</w:t>
                        </w:r>
                        <w:r w:rsidRPr="00C50C8A">
                          <w:rPr>
                            <w:rFonts w:hAnsi="Calibri"/>
                            <w:color w:val="000000" w:themeColor="dark1"/>
                            <w:kern w:val="24"/>
                            <w:sz w:val="17"/>
                            <w:szCs w:val="17"/>
                            <w:lang w:val="en-US"/>
                          </w:rPr>
                          <w:t> </w:t>
                        </w:r>
                        <w:r w:rsidRPr="00C50C8A">
                          <w:rPr>
                            <w:rFonts w:hAnsi="Calibri"/>
                            <w:color w:val="000000" w:themeColor="dark1"/>
                            <w:kern w:val="24"/>
                            <w:sz w:val="17"/>
                            <w:szCs w:val="17"/>
                            <w:lang w:val="en-US"/>
                          </w:rPr>
                          <w:t>prevention and</w:t>
                        </w:r>
                        <w:r w:rsidRPr="00C50C8A">
                          <w:rPr>
                            <w:rFonts w:hAnsi="Calibri"/>
                            <w:color w:val="000000" w:themeColor="dark1"/>
                            <w:kern w:val="24"/>
                            <w:sz w:val="17"/>
                            <w:szCs w:val="17"/>
                            <w:lang w:val="en-US"/>
                          </w:rPr>
                          <w:t> </w:t>
                        </w:r>
                        <w:r w:rsidRPr="00C50C8A">
                          <w:rPr>
                            <w:rFonts w:hAnsi="Calibri"/>
                            <w:color w:val="000000" w:themeColor="dark1"/>
                            <w:kern w:val="24"/>
                            <w:sz w:val="17"/>
                            <w:szCs w:val="17"/>
                            <w:lang w:val="en-US"/>
                          </w:rPr>
                          <w:t>mitigation measures.</w:t>
                        </w:r>
                        <w:r w:rsidRPr="00C50C8A">
                          <w:rPr>
                            <w:rFonts w:hAnsi="Calibri"/>
                            <w:color w:val="000000" w:themeColor="dark1"/>
                            <w:kern w:val="24"/>
                            <w:sz w:val="17"/>
                            <w:szCs w:val="17"/>
                            <w:lang w:val="en-US"/>
                          </w:rPr>
                          <w:t> </w:t>
                        </w:r>
                      </w:p>
                    </w:txbxContent>
                  </v:textbox>
                </v:rect>
                <v:rect id="Rectangle 21" o:spid="_x0000_s1038" style="position:absolute;left:32886;top:40510;width:17180;height:23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" fillcolor="#f7caac [1301]" strokecolor="white [3212]" strokeweight="1pt">
                  <v:textbox>
                    <w:txbxContent>
                      <w:p w14:paraId="36397B79" w14:textId="77777777" w:rsidR="007A6088" w:rsidRPr="00C50C8A" w:rsidRDefault="007A6088" w:rsidP="00C50C8A">
                        <w:pPr>
                          <w:jc w:val="center"/>
                          <w:rPr>
                            <w:rFonts w:hAnsi="Calibri"/>
                            <w:color w:val="000000" w:themeColor="dark1"/>
                            <w:kern w:val="24"/>
                            <w:sz w:val="17"/>
                            <w:szCs w:val="17"/>
                            <w:lang w:val="en-US"/>
                          </w:rPr>
                        </w:pPr>
                        <w:r w:rsidRPr="00C50C8A">
                          <w:rPr>
                            <w:rFonts w:hAnsi="Calibri"/>
                            <w:color w:val="000000" w:themeColor="dark1"/>
                            <w:kern w:val="24"/>
                            <w:sz w:val="17"/>
                            <w:szCs w:val="17"/>
                            <w:lang w:val="en-US"/>
                          </w:rPr>
                          <w:t>Through disaggregated assessment of COVID-19 data, assess</w:t>
                        </w:r>
                        <w:r w:rsidRPr="00C50C8A">
                          <w:rPr>
                            <w:rFonts w:hAnsi="Calibri"/>
                            <w:color w:val="000000" w:themeColor="dark1"/>
                            <w:kern w:val="24"/>
                            <w:sz w:val="17"/>
                            <w:szCs w:val="17"/>
                            <w:lang w:val="en-US"/>
                          </w:rPr>
                          <w:t> </w:t>
                        </w:r>
                        <w:r w:rsidRPr="00C50C8A">
                          <w:rPr>
                            <w:rFonts w:hAnsi="Calibri"/>
                            <w:color w:val="000000" w:themeColor="dark1"/>
                            <w:kern w:val="24"/>
                            <w:sz w:val="17"/>
                            <w:szCs w:val="17"/>
                            <w:lang w:val="en-US"/>
                          </w:rPr>
                          <w:t>impacts on</w:t>
                        </w:r>
                        <w:r w:rsidRPr="00C50C8A">
                          <w:rPr>
                            <w:rFonts w:hAnsi="Calibri"/>
                            <w:color w:val="000000" w:themeColor="dark1"/>
                            <w:kern w:val="24"/>
                            <w:sz w:val="17"/>
                            <w:szCs w:val="17"/>
                            <w:lang w:val="en-US"/>
                          </w:rPr>
                          <w:t> </w:t>
                        </w:r>
                        <w:r w:rsidRPr="00C50C8A">
                          <w:rPr>
                            <w:rFonts w:hAnsi="Calibri"/>
                            <w:color w:val="000000" w:themeColor="dark1"/>
                            <w:kern w:val="24"/>
                            <w:sz w:val="17"/>
                            <w:szCs w:val="17"/>
                            <w:lang w:val="en-US"/>
                          </w:rPr>
                          <w:t>equity</w:t>
                        </w:r>
                        <w:r w:rsidRPr="00C50C8A">
                          <w:rPr>
                            <w:rFonts w:hAnsi="Calibri"/>
                            <w:color w:val="000000" w:themeColor="dark1"/>
                            <w:kern w:val="24"/>
                            <w:sz w:val="17"/>
                            <w:szCs w:val="17"/>
                            <w:lang w:val="en-US"/>
                          </w:rPr>
                          <w:t> </w:t>
                        </w:r>
                        <w:r w:rsidRPr="00C50C8A">
                          <w:rPr>
                            <w:rFonts w:hAnsi="Calibri"/>
                            <w:color w:val="000000" w:themeColor="dark1"/>
                            <w:kern w:val="24"/>
                            <w:sz w:val="17"/>
                            <w:szCs w:val="17"/>
                            <w:lang w:val="en-US"/>
                          </w:rPr>
                          <w:t>settings and populations at higher-risk for COVID-19 transmission,</w:t>
                        </w:r>
                        <w:r w:rsidRPr="00C50C8A">
                          <w:rPr>
                            <w:rFonts w:hAnsi="Calibri"/>
                            <w:color w:val="000000" w:themeColor="dark1"/>
                            <w:kern w:val="24"/>
                            <w:sz w:val="17"/>
                            <w:szCs w:val="17"/>
                            <w:lang w:val="en-US"/>
                          </w:rPr>
                          <w:t> </w:t>
                        </w:r>
                        <w:r w:rsidRPr="00C50C8A">
                          <w:rPr>
                            <w:rFonts w:hAnsi="Calibri"/>
                            <w:color w:val="000000" w:themeColor="dark1"/>
                            <w:kern w:val="24"/>
                            <w:sz w:val="17"/>
                            <w:szCs w:val="17"/>
                            <w:lang w:val="en-US"/>
                          </w:rPr>
                          <w:t>and poorer clinical and other outcomes.</w:t>
                        </w:r>
                        <w:r w:rsidRPr="00C50C8A">
                          <w:rPr>
                            <w:rFonts w:hAnsi="Calibri"/>
                            <w:color w:val="000000" w:themeColor="dark1"/>
                            <w:kern w:val="24"/>
                            <w:sz w:val="17"/>
                            <w:szCs w:val="17"/>
                            <w:lang w:val="en-US"/>
                          </w:rPr>
                          <w:t> </w:t>
                        </w:r>
                      </w:p>
                    </w:txbxContent>
                  </v:textbox>
                </v:rect>
                <v:rect id="Rectangle 22" o:spid="_x0000_s1039" style="position:absolute;left:50165;top:40510;width:15982;height:2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" fillcolor="#f7caac [1301]" strokecolor="white [3212]" strokeweight="1pt">
                  <v:textbox>
                    <w:txbxContent>
                      <w:p w14:paraId="57DB578E" w14:textId="77777777" w:rsidR="007A6088" w:rsidRPr="00C50C8A" w:rsidRDefault="007A6088" w:rsidP="00C50C8A">
                        <w:pPr>
                          <w:jc w:val="center"/>
                          <w:rPr>
                            <w:rFonts w:hAnsi="Calibri"/>
                            <w:color w:val="000000" w:themeColor="dark1"/>
                            <w:kern w:val="24"/>
                            <w:sz w:val="17"/>
                            <w:szCs w:val="17"/>
                            <w:lang w:val="en-US"/>
                          </w:rPr>
                        </w:pPr>
                        <w:r w:rsidRPr="00C50C8A">
                          <w:rPr>
                            <w:rFonts w:hAnsi="Calibri"/>
                            <w:color w:val="000000" w:themeColor="dark1"/>
                            <w:kern w:val="24"/>
                            <w:sz w:val="17"/>
                            <w:szCs w:val="17"/>
                            <w:lang w:val="en-US"/>
                          </w:rPr>
                          <w:t xml:space="preserve">Evaluate the impact of national decision on the public health response to inform authorities so they may adjust their choice of strategies, as well as their timing and intensity. </w:t>
                        </w:r>
                      </w:p>
                    </w:txbxContent>
                  </v:textbox>
                </v:rect>
                <v:rect id="Rectangle 23" o:spid="_x0000_s1040" style="position:absolute;left:66246;top:40510;width:22948;height:23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" fillcolor="#f7caac [1301]" strokecolor="white [3212]" strokeweight="1pt">
                  <v:textbox>
                    <w:txbxContent>
                      <w:p w14:paraId="5BD867E3" w14:textId="77777777" w:rsidR="007A6088" w:rsidRPr="00C50C8A" w:rsidRDefault="007A6088" w:rsidP="00C50C8A">
                        <w:pPr>
                          <w:jc w:val="center"/>
                          <w:rPr>
                            <w:rFonts w:hAnsi="Calibri"/>
                            <w:color w:val="000000" w:themeColor="dark1"/>
                            <w:kern w:val="24"/>
                            <w:sz w:val="17"/>
                            <w:szCs w:val="17"/>
                            <w:lang w:val="en-US"/>
                          </w:rPr>
                        </w:pPr>
                        <w:r w:rsidRPr="00C50C8A">
                          <w:rPr>
                            <w:rFonts w:hAnsi="Calibri"/>
                            <w:color w:val="000000" w:themeColor="dark1"/>
                            <w:kern w:val="24"/>
                            <w:sz w:val="17"/>
                            <w:szCs w:val="17"/>
                            <w:lang w:val="en-US"/>
                          </w:rPr>
                          <w:t>Monitor the pandemic</w:t>
                        </w:r>
                        <w:r w:rsidRPr="00C50C8A">
                          <w:rPr>
                            <w:rFonts w:hAnsi="Calibri"/>
                            <w:color w:val="000000" w:themeColor="dark1"/>
                            <w:kern w:val="24"/>
                            <w:sz w:val="17"/>
                            <w:szCs w:val="17"/>
                            <w:lang w:val="en-US"/>
                          </w:rPr>
                          <w:t>’</w:t>
                        </w:r>
                        <w:r w:rsidRPr="00C50C8A">
                          <w:rPr>
                            <w:rFonts w:hAnsi="Calibri"/>
                            <w:color w:val="000000" w:themeColor="dark1"/>
                            <w:kern w:val="24"/>
                            <w:sz w:val="17"/>
                            <w:szCs w:val="17"/>
                            <w:lang w:val="en-US"/>
                          </w:rPr>
                          <w:t xml:space="preserve">s impact on the healthcare system, including impact on resilience, moral distress, and moral injury in the workforce, and provide evidence to inform resource allocation and mobilisation of surge capacity, as well as external emergency care and support. </w:t>
                        </w:r>
                      </w:p>
                    </w:txbxContent>
                  </v:textbox>
                </v:rect>
                <v:rect id="Rectangle 24" o:spid="_x0000_s1041" style="position:absolute;left:89322;top:40510;width:18581;height:23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" fillcolor="#f7caac [1301]" strokecolor="white [3212]" strokeweight="1pt">
                  <v:textbox>
                    <w:txbxContent>
                      <w:p w14:paraId="2D1AA393" w14:textId="77777777" w:rsidR="007A6088" w:rsidRPr="00C50C8A" w:rsidRDefault="007A6088" w:rsidP="00C50C8A">
                        <w:pPr>
                          <w:jc w:val="center"/>
                          <w:rPr>
                            <w:rFonts w:hAnsi="Calibri"/>
                            <w:color w:val="000000" w:themeColor="dark1"/>
                            <w:kern w:val="24"/>
                            <w:sz w:val="17"/>
                            <w:szCs w:val="17"/>
                            <w:lang w:val="en-US"/>
                          </w:rPr>
                        </w:pPr>
                        <w:r w:rsidRPr="00C50C8A">
                          <w:rPr>
                            <w:rFonts w:hAnsi="Calibri"/>
                            <w:color w:val="000000" w:themeColor="dark1"/>
                            <w:kern w:val="24"/>
                            <w:sz w:val="17"/>
                            <w:szCs w:val="17"/>
                            <w:lang w:val="en-US"/>
                          </w:rPr>
                          <w:t xml:space="preserve">Monitor COVID-19 at the international border and certain aspects of the global COVID-19 pandemic (i.e., viral changes, emerging evidence, response measures), and the risk this poses to Aotearoa New Zealand. </w:t>
                        </w:r>
                      </w:p>
                    </w:txbxContent>
                  </v:textbox>
                </v:rect>
                <v:rect id="Rectangle 25" o:spid="_x0000_s1042" style="position:absolute;left:13568;top:63577;width:95163;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" fillcolor="#ededed [662]" strokecolor="white [3212]" strokeweight="1pt">
                  <v:textbox>
                    <w:txbxContent>
                      <w:p w14:paraId="52D971AE" w14:textId="77777777" w:rsidR="007A6088" w:rsidRPr="00C50C8A" w:rsidRDefault="007A6088" w:rsidP="00C50C8A">
                        <w:pPr>
                          <w:jc w:val="center"/>
                          <w:rPr>
                            <w:rFonts w:hAnsi="Calibri"/>
                            <w:b/>
                            <w:bCs/>
                            <w:color w:val="2F5496" w:themeColor="accent1" w:themeShade="BF"/>
                            <w:kern w:val="24"/>
                            <w:sz w:val="20"/>
                          </w:rPr>
                        </w:pPr>
                        <w:r w:rsidRPr="00C50C8A">
                          <w:rPr>
                            <w:rFonts w:hAnsi="Calibri"/>
                            <w:b/>
                            <w:bCs/>
                            <w:color w:val="2F5496" w:themeColor="accent1" w:themeShade="BF"/>
                            <w:kern w:val="24"/>
                            <w:sz w:val="20"/>
                          </w:rPr>
                          <w:t xml:space="preserve">EACH OBJECTIVE LISTED ABOVE WILL HAVE MULTIPLE KEY QUESTIONS, INDICATORS AND DATA SOURCES. </w:t>
                        </w:r>
                      </w:p>
                    </w:txbxContent>
                  </v:textbox>
                </v:rect>
                <v:shape id="Arrow: Down 27" o:spid="_x0000_s1043" type="#_x0000_t67" style="position:absolute;left:24574;top:66962;width:2579;height:5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" adj="16319" fillcolor="#538135 [2409]" strokecolor="#1f3763 [1604]" strokeweight="1pt"/>
                <v:rect id="Rectangle 28" o:spid="_x0000_s1044" style="position:absolute;left:12469;top:74121;width:13393;height:15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" fillcolor="#f7caac [1301]" strokecolor="white [3212]" strokeweight="1pt">
                  <v:textbox>
                    <w:txbxContent>
                      <w:p w14:paraId="26507653" w14:textId="77777777" w:rsidR="007A6088" w:rsidRPr="00BA5216" w:rsidRDefault="007A6088" w:rsidP="00C50C8A">
                        <w:pPr>
                          <w:jc w:val="center"/>
                          <w:rPr>
                            <w:rFonts w:hAnsi="Calibri"/>
                            <w:b/>
                            <w:bCs/>
                            <w:color w:val="000000" w:themeColor="text1"/>
                            <w:kern w:val="24"/>
                            <w:sz w:val="18"/>
                            <w:szCs w:val="18"/>
                          </w:rPr>
                        </w:pPr>
                        <w:r w:rsidRPr="00BA5216">
                          <w:rPr>
                            <w:rFonts w:hAnsi="Calibri"/>
                            <w:b/>
                            <w:bCs/>
                            <w:color w:val="000000" w:themeColor="text1"/>
                            <w:kern w:val="24"/>
                            <w:sz w:val="18"/>
                            <w:szCs w:val="18"/>
                          </w:rPr>
                          <w:t>High-level daily data for national situational awareness</w:t>
                        </w:r>
                      </w:p>
                    </w:txbxContent>
                  </v:textbox>
                </v:rect>
                <v:rect id="Rectangle 29" o:spid="_x0000_s1045" style="position:absolute;left:27709;top:74121;width:13393;height:15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" fillcolor="#f7caac [1301]" strokecolor="white [3212]" strokeweight="1pt">
                  <v:textbox>
                    <w:txbxContent>
                      <w:p w14:paraId="36C8B7E2" w14:textId="77777777" w:rsidR="007A6088" w:rsidRPr="00BA5216" w:rsidRDefault="007A6088" w:rsidP="00C50C8A">
                        <w:pPr>
                          <w:jc w:val="center"/>
                          <w:rPr>
                            <w:rFonts w:hAnsi="Calibri"/>
                            <w:b/>
                            <w:bCs/>
                            <w:color w:val="000000" w:themeColor="text1"/>
                            <w:kern w:val="24"/>
                            <w:sz w:val="18"/>
                            <w:szCs w:val="18"/>
                          </w:rPr>
                        </w:pPr>
                        <w:r w:rsidRPr="00BA5216">
                          <w:rPr>
                            <w:rFonts w:hAnsi="Calibri"/>
                            <w:b/>
                            <w:bCs/>
                            <w:color w:val="000000" w:themeColor="text1"/>
                            <w:kern w:val="24"/>
                            <w:sz w:val="18"/>
                            <w:szCs w:val="18"/>
                          </w:rPr>
                          <w:t>Structural risk factors matrix</w:t>
                        </w:r>
                      </w:p>
                    </w:txbxContent>
                  </v:textbox>
                </v:rect>
                <v:rect id="Rectangle 30" o:spid="_x0000_s1046" style="position:absolute;left:43087;top:74121;width:13394;height:15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" fillcolor="#f7caac [1301]" strokecolor="white [3212]" strokeweight="1pt">
                  <v:textbox>
                    <w:txbxContent>
                      <w:p w14:paraId="240C2FFC" w14:textId="77777777" w:rsidR="007A6088" w:rsidRPr="00BA5216" w:rsidRDefault="007A6088" w:rsidP="00C50C8A">
                        <w:pPr>
                          <w:jc w:val="center"/>
                          <w:rPr>
                            <w:rFonts w:hAnsi="Calibri"/>
                            <w:b/>
                            <w:bCs/>
                            <w:color w:val="000000" w:themeColor="dark1"/>
                            <w:kern w:val="24"/>
                            <w:sz w:val="18"/>
                            <w:szCs w:val="18"/>
                            <w:lang w:val="en-US"/>
                          </w:rPr>
                        </w:pPr>
                        <w:r w:rsidRPr="00BA5216">
                          <w:rPr>
                            <w:rFonts w:hAnsi="Calibri"/>
                            <w:b/>
                            <w:bCs/>
                            <w:color w:val="000000" w:themeColor="dark1"/>
                            <w:kern w:val="24"/>
                            <w:sz w:val="18"/>
                            <w:szCs w:val="18"/>
                            <w:lang w:val="en-US"/>
                          </w:rPr>
                          <w:t>Epidemiological</w:t>
                        </w:r>
                        <w:r w:rsidRPr="00BA5216">
                          <w:rPr>
                            <w:rFonts w:hAnsi="Calibri"/>
                            <w:color w:val="000000" w:themeColor="dark1"/>
                            <w:kern w:val="24"/>
                            <w:sz w:val="18"/>
                            <w:szCs w:val="18"/>
                            <w:lang w:val="en-US"/>
                          </w:rPr>
                          <w:t xml:space="preserve"> </w:t>
                        </w:r>
                        <w:r w:rsidRPr="00BA5216">
                          <w:rPr>
                            <w:rFonts w:hAnsi="Calibri"/>
                            <w:b/>
                            <w:bCs/>
                            <w:color w:val="000000" w:themeColor="dark1"/>
                            <w:kern w:val="24"/>
                            <w:sz w:val="18"/>
                            <w:szCs w:val="18"/>
                            <w:lang w:val="en-US"/>
                          </w:rPr>
                          <w:t xml:space="preserve">trends and insights report. </w:t>
                        </w:r>
                      </w:p>
                    </w:txbxContent>
                  </v:textbox>
                </v:rect>
                <v:rect id="Rectangle 31" o:spid="_x0000_s1047" style="position:absolute;left:58466;top:74121;width:13393;height:15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" fillcolor="#f7caac [1301]" strokecolor="white [3212]" strokeweight="1pt">
                  <v:textbox>
                    <w:txbxContent>
                      <w:p w14:paraId="5C755E9E" w14:textId="77777777" w:rsidR="007A6088" w:rsidRPr="00BA5216" w:rsidRDefault="007A6088" w:rsidP="00C50C8A">
                        <w:pPr>
                          <w:jc w:val="center"/>
                          <w:rPr>
                            <w:rFonts w:hAnsi="Calibri"/>
                            <w:b/>
                            <w:bCs/>
                            <w:color w:val="000000" w:themeColor="text1"/>
                            <w:kern w:val="24"/>
                            <w:sz w:val="18"/>
                            <w:szCs w:val="18"/>
                          </w:rPr>
                        </w:pPr>
                        <w:r w:rsidRPr="00BA5216">
                          <w:rPr>
                            <w:rFonts w:hAnsi="Calibri"/>
                            <w:b/>
                            <w:bCs/>
                            <w:color w:val="000000" w:themeColor="text1"/>
                            <w:kern w:val="24"/>
                            <w:sz w:val="18"/>
                            <w:szCs w:val="18"/>
                          </w:rPr>
                          <w:t>Reporting on new variants and global health intelligence</w:t>
                        </w:r>
                      </w:p>
                    </w:txbxContent>
                  </v:textbox>
                </v:rect>
                <v:rect id="Rectangle 32" o:spid="_x0000_s1048" style="position:absolute;left:74537;top:74121;width:14991;height:15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" fillcolor="#f7caac [1301]" strokecolor="white [3212]" strokeweight="1pt">
                  <v:textbox>
                    <w:txbxContent>
                      <w:p w14:paraId="487B3196" w14:textId="77777777" w:rsidR="007A6088" w:rsidRDefault="007A6088" w:rsidP="00C50C8A">
                        <w:pPr>
                          <w:jc w:val="center"/>
                          <w:rPr>
                            <w:rFonts w:hAnsi="Calibri"/>
                            <w:b/>
                            <w:bCs/>
                            <w:color w:val="000000" w:themeColor="text1"/>
                            <w:kern w:val="24"/>
                            <w:sz w:val="18"/>
                            <w:szCs w:val="18"/>
                          </w:rPr>
                        </w:pPr>
                      </w:p>
                      <w:p w14:paraId="392A2EE5" w14:textId="77777777" w:rsidR="007A6088" w:rsidRDefault="007A6088" w:rsidP="00C50C8A">
                        <w:pPr>
                          <w:jc w:val="center"/>
                          <w:rPr>
                            <w:rFonts w:hAnsi="Calibri"/>
                            <w:b/>
                            <w:bCs/>
                            <w:color w:val="000000" w:themeColor="text1"/>
                            <w:kern w:val="24"/>
                            <w:sz w:val="18"/>
                            <w:szCs w:val="18"/>
                          </w:rPr>
                        </w:pPr>
                        <w:r w:rsidRPr="00BA5216">
                          <w:rPr>
                            <w:rFonts w:hAnsi="Calibri"/>
                            <w:b/>
                            <w:bCs/>
                            <w:color w:val="000000" w:themeColor="text1"/>
                            <w:kern w:val="24"/>
                            <w:sz w:val="18"/>
                            <w:szCs w:val="18"/>
                          </w:rPr>
                          <w:t xml:space="preserve">Modelling and forecasting </w:t>
                        </w:r>
                      </w:p>
                      <w:p w14:paraId="2255D425" w14:textId="77777777" w:rsidR="007A6088" w:rsidRPr="00BA5216" w:rsidRDefault="007A6088" w:rsidP="00C50C8A">
                        <w:pPr>
                          <w:jc w:val="center"/>
                          <w:rPr>
                            <w:rFonts w:hAnsi="Calibri"/>
                            <w:b/>
                            <w:bCs/>
                            <w:color w:val="000000" w:themeColor="text1"/>
                            <w:kern w:val="24"/>
                            <w:sz w:val="17"/>
                            <w:szCs w:val="17"/>
                          </w:rPr>
                        </w:pPr>
                      </w:p>
                    </w:txbxContent>
                  </v:textbox>
                </v:rect>
                <v:shape id="Arrow: Down 33" o:spid="_x0000_s1049" type="#_x0000_t67" style="position:absolute;left:92184;top:67327;width:2579;height:5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" adj="16319" fillcolor="#538135 [2409]" strokecolor="#1f3763 [1604]" strokeweight="1pt"/>
                <v:rect id="Rectangle 34" o:spid="_x0000_s1050" style="position:absolute;left:92271;top:74260;width:14990;height:15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" fillcolor="#f7caac [1301]" strokecolor="white [3212]" strokeweight="1pt">
                  <v:textbox>
                    <w:txbxContent>
                      <w:p w14:paraId="280DFEF6" w14:textId="77777777" w:rsidR="007A6088" w:rsidRPr="00BA5216" w:rsidRDefault="007A6088" w:rsidP="00C50C8A">
                        <w:pPr>
                          <w:jc w:val="center"/>
                          <w:rPr>
                            <w:rFonts w:hAnsi="Calibri"/>
                            <w:b/>
                            <w:bCs/>
                            <w:color w:val="000000" w:themeColor="dark1"/>
                            <w:kern w:val="24"/>
                            <w:sz w:val="18"/>
                            <w:szCs w:val="18"/>
                            <w:lang w:val="en-US"/>
                          </w:rPr>
                        </w:pPr>
                        <w:r w:rsidRPr="00BA5216">
                          <w:rPr>
                            <w:rFonts w:hAnsi="Calibri"/>
                            <w:b/>
                            <w:bCs/>
                            <w:color w:val="000000" w:themeColor="dark1"/>
                            <w:kern w:val="24"/>
                            <w:sz w:val="18"/>
                            <w:szCs w:val="18"/>
                            <w:lang w:val="en-US"/>
                          </w:rPr>
                          <w:t xml:space="preserve">Operational changes as required, such as adjustment to regional testing plans. </w:t>
                        </w:r>
                      </w:p>
                    </w:txbxContent>
                  </v:textbox>
                </v:re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rrow: Curved Right 36" o:spid="_x0000_s1051" type="#_x0000_t102" style="position:absolute;left:109058;top:3325;width:11137;height:7883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" adj="20074,21218,16200" fillcolor="#4472c4 [3204]" strokecolor="#1f3763 [1604]" strokeweight="1pt"/>
                <v:shape id="Arrow: Curved Right 37" o:spid="_x0000_s1052" type="#_x0000_t102" style="position:absolute;top:4433;width:10492;height:78836;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" adj="20163,21241,16200" fillcolor="#4472c4 [3204]" strokecolor="#1f3763 [1604]" strokeweight="1pt"/>
                <v:shape id="TextBox 38" o:spid="_x0000_s1053" type="#_x0000_t202" style="position:absolute;left:27293;width:64948;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" filled="f" stroked="f">
                  <v:textbox>
                    <w:txbxContent>
                      <w:p w14:paraId="26EA8AC3" w14:textId="77777777" w:rsidR="007A6088" w:rsidRPr="00C50C8A" w:rsidRDefault="007A6088" w:rsidP="00C50C8A">
                        <w:pPr>
                          <w:rPr>
                            <w:rFonts w:hAnsi="Calibri"/>
                            <w:b/>
                            <w:bCs/>
                            <w:color w:val="000000" w:themeColor="text1"/>
                            <w:kern w:val="24"/>
                            <w:sz w:val="24"/>
                            <w:szCs w:val="24"/>
                          </w:rPr>
                        </w:pPr>
                        <w:r w:rsidRPr="00C50C8A">
                          <w:rPr>
                            <w:rFonts w:hAnsi="Calibri"/>
                            <w:b/>
                            <w:bCs/>
                            <w:color w:val="000000" w:themeColor="text1"/>
                            <w:kern w:val="24"/>
                            <w:sz w:val="24"/>
                            <w:szCs w:val="24"/>
                            <w:u w:val="single"/>
                          </w:rPr>
                          <w:t>THE ROLE OF THE MINIMISATION AND PROTECTION STRATEGY</w:t>
                        </w:r>
                      </w:p>
                    </w:txbxContent>
                  </v:textbox>
                </v:shape>
                <v:shape id="TextBox 39" o:spid="_x0000_s1054" type="#_x0000_t202" style="position:absolute;left:415;top:39485;width:11348;height:11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" filled="f" stroked="f">
                  <v:textbox>
                    <w:txbxContent>
                      <w:p w14:paraId="64436775" w14:textId="77777777" w:rsidR="007A6088" w:rsidRPr="00BA5216" w:rsidRDefault="007A6088" w:rsidP="00C50C8A">
                        <w:pPr>
                          <w:rPr>
                            <w:rFonts w:hAnsi="Calibri"/>
                            <w:color w:val="000000" w:themeColor="text1"/>
                            <w:kern w:val="24"/>
                            <w:sz w:val="28"/>
                            <w:szCs w:val="28"/>
                          </w:rPr>
                        </w:pPr>
                        <w:r w:rsidRPr="00BA5216">
                          <w:rPr>
                            <w:rFonts w:hAnsi="Calibri"/>
                            <w:color w:val="000000" w:themeColor="text1"/>
                            <w:kern w:val="24"/>
                            <w:sz w:val="28"/>
                            <w:szCs w:val="28"/>
                          </w:rPr>
                          <w:t>Evidence for Action</w:t>
                        </w:r>
                      </w:p>
                    </w:txbxContent>
                  </v:textbox>
                </v:shape>
                <v:shape id="TextBox 40" o:spid="_x0000_s1055" type="#_x0000_t202" style="position:absolute;left:109171;top:39583;width:11341;height:12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" filled="f" stroked="f">
                  <v:textbox>
                    <w:txbxContent>
                      <w:p w14:paraId="5149A53A" w14:textId="77777777" w:rsidR="007A6088" w:rsidRPr="00BA5216" w:rsidRDefault="007A6088" w:rsidP="00C50C8A">
                        <w:pPr>
                          <w:rPr>
                            <w:rFonts w:hAnsi="Calibri"/>
                            <w:color w:val="000000" w:themeColor="text1"/>
                            <w:kern w:val="24"/>
                            <w:sz w:val="28"/>
                            <w:szCs w:val="28"/>
                          </w:rPr>
                        </w:pPr>
                        <w:r w:rsidRPr="00BA5216">
                          <w:rPr>
                            <w:rFonts w:hAnsi="Calibri"/>
                            <w:color w:val="000000" w:themeColor="text1"/>
                            <w:kern w:val="24"/>
                            <w:sz w:val="28"/>
                            <w:szCs w:val="28"/>
                          </w:rPr>
                          <w:t>Evidence for Action</w:t>
                        </w:r>
                      </w:p>
                    </w:txbxContent>
                  </v:textbox>
                </v:shape>
                <w10:wrap anchorx="margin"/>
              </v:group>
            </w:pict>
          </mc:Fallback>
        </mc:AlternateContent>
      </w:r>
      <w:r w:rsidR="00C50C8A" w:rsidRPr="00B628EA">
        <w:t>Appendix 2</w:t>
      </w:r>
      <w:bookmarkEnd w:id="46"/>
    </w:p>
    <w:sectPr w:rsidR="00900B06" w:rsidRPr="00B628EA" w:rsidSect="00085F46">
      <w:pgSz w:w="16834" w:h="11907" w:orient="landscape" w:code="9"/>
      <w:pgMar w:top="720" w:right="1560" w:bottom="1134" w:left="720" w:header="284" w:footer="425" w:gutter="28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F7F698" w14:textId="77777777" w:rsidR="008D4E90" w:rsidRDefault="008D4E90">
      <w:pPr>
        <w:spacing w:after="0"/>
      </w:pPr>
      <w:r>
        <w:separator/>
      </w:r>
    </w:p>
  </w:endnote>
  <w:endnote w:type="continuationSeparator" w:id="0">
    <w:p w14:paraId="4BA78370" w14:textId="77777777" w:rsidR="008D4E90" w:rsidRDefault="008D4E90">
      <w:pPr>
        <w:spacing w:after="0"/>
      </w:pPr>
      <w:r>
        <w:continuationSeparator/>
      </w:r>
    </w:p>
  </w:endnote>
  <w:endnote w:type="continuationNotice" w:id="1">
    <w:p w14:paraId="2AEE590D" w14:textId="77777777" w:rsidR="008D4E90" w:rsidRDefault="008D4E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Univers LT Pro 45 Light">
    <w:altName w:val="Calibri"/>
    <w:charset w:val="00"/>
    <w:family w:val="swiss"/>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7A6088" w14:paraId="2AB5D8D1" w14:textId="77777777" w:rsidTr="00DC3D3E">
      <w:trPr>
        <w:cantSplit/>
      </w:trPr>
      <w:tc>
        <w:tcPr>
          <w:tcW w:w="675" w:type="dxa"/>
          <w:vAlign w:val="center"/>
        </w:tcPr>
        <w:p w14:paraId="45958373" w14:textId="77777777" w:rsidR="007A6088" w:rsidRPr="00931466" w:rsidRDefault="007A6088" w:rsidP="00DC3D3E">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w:t>
          </w:r>
          <w:r w:rsidRPr="00931466">
            <w:rPr>
              <w:rStyle w:val="PageNumber"/>
            </w:rPr>
            <w:fldChar w:fldCharType="end"/>
          </w:r>
        </w:p>
      </w:tc>
      <w:tc>
        <w:tcPr>
          <w:tcW w:w="9072" w:type="dxa"/>
          <w:vAlign w:val="center"/>
        </w:tcPr>
        <w:p w14:paraId="13E09B63" w14:textId="77777777" w:rsidR="007A6088" w:rsidRDefault="007A6088" w:rsidP="00DC3D3E">
          <w:pPr>
            <w:pStyle w:val="RectoFooter"/>
            <w:jc w:val="left"/>
          </w:pPr>
          <w:r>
            <w:t>[TITLE]</w:t>
          </w:r>
        </w:p>
      </w:tc>
    </w:tr>
  </w:tbl>
  <w:p w14:paraId="1D4B9814" w14:textId="77777777" w:rsidR="007A6088" w:rsidRPr="00571223" w:rsidRDefault="007A6088" w:rsidP="00DC3D3E">
    <w:pPr>
      <w:pStyle w:val="Verso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8148439"/>
      <w:docPartObj>
        <w:docPartGallery w:val="Page Numbers (Bottom of Page)"/>
        <w:docPartUnique/>
      </w:docPartObj>
    </w:sdtPr>
    <w:sdtEndPr>
      <w:rPr>
        <w:noProof/>
      </w:rPr>
    </w:sdtEndPr>
    <w:sdtContent>
      <w:p w14:paraId="73280748" w14:textId="3FCE4B61" w:rsidR="007A6088" w:rsidRDefault="007A60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7062968"/>
      <w:docPartObj>
        <w:docPartGallery w:val="Page Numbers (Bottom of Page)"/>
        <w:docPartUnique/>
      </w:docPartObj>
    </w:sdtPr>
    <w:sdtEndPr>
      <w:rPr>
        <w:noProof/>
      </w:rPr>
    </w:sdtEndPr>
    <w:sdtContent>
      <w:p w14:paraId="77D35275" w14:textId="77777777" w:rsidR="007A6088" w:rsidRDefault="007A60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DDD3C" w14:textId="77777777" w:rsidR="008D4E90" w:rsidRDefault="008D4E90">
      <w:pPr>
        <w:spacing w:after="0"/>
      </w:pPr>
      <w:r>
        <w:separator/>
      </w:r>
    </w:p>
  </w:footnote>
  <w:footnote w:type="continuationSeparator" w:id="0">
    <w:p w14:paraId="7F6CBEC1" w14:textId="77777777" w:rsidR="008D4E90" w:rsidRDefault="008D4E90">
      <w:pPr>
        <w:spacing w:after="0"/>
      </w:pPr>
      <w:r>
        <w:continuationSeparator/>
      </w:r>
    </w:p>
  </w:footnote>
  <w:footnote w:type="continuationNotice" w:id="1">
    <w:p w14:paraId="48538723" w14:textId="77777777" w:rsidR="008D4E90" w:rsidRDefault="008D4E90">
      <w:pPr>
        <w:spacing w:after="0"/>
      </w:pPr>
    </w:p>
  </w:footnote>
  <w:footnote w:id="2">
    <w:p w14:paraId="683B7E33" w14:textId="77777777" w:rsidR="007A6088" w:rsidRPr="00616C8D" w:rsidRDefault="007A6088" w:rsidP="0001081D">
      <w:pPr>
        <w:pStyle w:val="FootnoteText"/>
        <w:rPr>
          <w:rFonts w:cs="Segoe UI"/>
          <w:sz w:val="18"/>
          <w:szCs w:val="18"/>
        </w:rPr>
      </w:pPr>
      <w:r w:rsidRPr="00616C8D">
        <w:rPr>
          <w:rStyle w:val="FootnoteReference"/>
          <w:rFonts w:cs="Segoe UI"/>
          <w:sz w:val="18"/>
          <w:szCs w:val="18"/>
        </w:rPr>
        <w:footnoteRef/>
      </w:r>
      <w:r w:rsidRPr="00616C8D">
        <w:rPr>
          <w:rFonts w:cs="Segoe UI"/>
          <w:sz w:val="18"/>
          <w:szCs w:val="18"/>
        </w:rPr>
        <w:t xml:space="preserve"> </w:t>
      </w:r>
      <w:r w:rsidRPr="00616C8D">
        <w:rPr>
          <w:rFonts w:cs="Segoe UI"/>
          <w:sz w:val="18"/>
          <w:szCs w:val="18"/>
          <w:shd w:val="clear" w:color="auto" w:fill="FFFFFF"/>
        </w:rPr>
        <w:t>Minimisation means that we are aiming to keep the spread of COVID-19 as low as possible so while there will be some level of cases in the community on an ongoing basis, we will work to contain and control any outbreaks, and if practical to do so, stamp them out. </w:t>
      </w:r>
    </w:p>
  </w:footnote>
  <w:footnote w:id="3">
    <w:p w14:paraId="4D6556E0" w14:textId="77777777" w:rsidR="007A6088" w:rsidRPr="00616C8D" w:rsidRDefault="007A6088" w:rsidP="0001081D">
      <w:pPr>
        <w:pStyle w:val="FootnoteText"/>
        <w:rPr>
          <w:rFonts w:cs="Segoe UI"/>
          <w:sz w:val="18"/>
          <w:szCs w:val="18"/>
        </w:rPr>
      </w:pPr>
      <w:r w:rsidRPr="00616C8D">
        <w:rPr>
          <w:rStyle w:val="FootnoteReference"/>
          <w:rFonts w:cs="Segoe UI"/>
          <w:sz w:val="18"/>
          <w:szCs w:val="18"/>
        </w:rPr>
        <w:footnoteRef/>
      </w:r>
      <w:r w:rsidRPr="00616C8D">
        <w:rPr>
          <w:rFonts w:cs="Segoe UI"/>
          <w:sz w:val="18"/>
          <w:szCs w:val="18"/>
        </w:rPr>
        <w:t xml:space="preserve"> </w:t>
      </w:r>
      <w:r w:rsidRPr="00616C8D">
        <w:rPr>
          <w:rFonts w:cs="Segoe UI"/>
          <w:sz w:val="18"/>
          <w:szCs w:val="18"/>
          <w:shd w:val="clear" w:color="auto" w:fill="FFFFFF"/>
        </w:rPr>
        <w:t>Protection means that we won’t just treat COVID like a seasonal illness. We will protect people from it with vaccination, active public health measures including testing, isolation and contact tracing, and a response that focusses on minimising the significant health impacts we know it can have.</w:t>
      </w:r>
    </w:p>
  </w:footnote>
  <w:footnote w:id="4">
    <w:p w14:paraId="43C29BE0" w14:textId="77777777" w:rsidR="007A6088" w:rsidRPr="00616C8D" w:rsidRDefault="007A6088" w:rsidP="0001081D">
      <w:pPr>
        <w:pStyle w:val="FootnoteText"/>
        <w:rPr>
          <w:rFonts w:cs="Segoe UI"/>
          <w:sz w:val="18"/>
          <w:szCs w:val="18"/>
        </w:rPr>
      </w:pPr>
      <w:r w:rsidRPr="00616C8D">
        <w:rPr>
          <w:rStyle w:val="FootnoteReference"/>
          <w:rFonts w:cs="Segoe UI"/>
          <w:sz w:val="18"/>
          <w:szCs w:val="18"/>
        </w:rPr>
        <w:footnoteRef/>
      </w:r>
      <w:r w:rsidRPr="00616C8D">
        <w:rPr>
          <w:rFonts w:cs="Segoe UI"/>
          <w:sz w:val="18"/>
          <w:szCs w:val="18"/>
        </w:rPr>
        <w:t xml:space="preserve"> https://www.health.govt.nz/our-work/diseases-and-conditions/covid-19-novel-coronavirus/covid-19-response-planning/covid-19-minimisation-and-protection-strategy-aotearoa-new-zealand.</w:t>
      </w:r>
    </w:p>
  </w:footnote>
  <w:footnote w:id="5">
    <w:p w14:paraId="16FCA3EA" w14:textId="77777777" w:rsidR="007A6088" w:rsidRPr="00616C8D" w:rsidRDefault="007A6088" w:rsidP="004A16E9">
      <w:pPr>
        <w:pStyle w:val="FootnoteText"/>
        <w:rPr>
          <w:rFonts w:cs="Segoe UI"/>
          <w:sz w:val="18"/>
          <w:szCs w:val="18"/>
        </w:rPr>
      </w:pPr>
      <w:r w:rsidRPr="00616C8D">
        <w:rPr>
          <w:rStyle w:val="FootnoteReference"/>
          <w:rFonts w:cs="Segoe UI"/>
          <w:sz w:val="18"/>
          <w:szCs w:val="18"/>
        </w:rPr>
        <w:footnoteRef/>
      </w:r>
      <w:r w:rsidRPr="00616C8D">
        <w:rPr>
          <w:rFonts w:cs="Segoe UI"/>
          <w:sz w:val="18"/>
          <w:szCs w:val="18"/>
        </w:rPr>
        <w:t xml:space="preserve"> </w:t>
      </w:r>
      <w:r w:rsidRPr="00616C8D">
        <w:rPr>
          <w:rFonts w:cs="Segoe UI"/>
          <w:sz w:val="18"/>
          <w:szCs w:val="18"/>
          <w:shd w:val="clear" w:color="auto" w:fill="FFFFFF"/>
        </w:rPr>
        <w:t>CAB-21-MIN-0421.</w:t>
      </w:r>
    </w:p>
  </w:footnote>
  <w:footnote w:id="6">
    <w:p w14:paraId="7528F51D" w14:textId="77777777" w:rsidR="007A6088" w:rsidRPr="00616C8D" w:rsidRDefault="007A6088" w:rsidP="004A16E9">
      <w:pPr>
        <w:pStyle w:val="FootnoteText"/>
        <w:shd w:val="clear" w:color="auto" w:fill="FFFFFF" w:themeFill="background1"/>
        <w:rPr>
          <w:rFonts w:cs="Segoe UI"/>
          <w:sz w:val="18"/>
          <w:szCs w:val="18"/>
        </w:rPr>
      </w:pPr>
      <w:r w:rsidRPr="00616C8D">
        <w:rPr>
          <w:rStyle w:val="FootnoteReference"/>
          <w:rFonts w:cs="Segoe UI"/>
          <w:sz w:val="18"/>
          <w:szCs w:val="18"/>
        </w:rPr>
        <w:footnoteRef/>
      </w:r>
      <w:r w:rsidRPr="00616C8D">
        <w:rPr>
          <w:rFonts w:cs="Segoe UI"/>
          <w:sz w:val="18"/>
          <w:szCs w:val="18"/>
        </w:rPr>
        <w:t xml:space="preserve"> BMJ 2021;374:n2320 http://dx.doi.org/10.1136/bmj.n2320.</w:t>
      </w:r>
    </w:p>
  </w:footnote>
  <w:footnote w:id="7">
    <w:p w14:paraId="237CA555" w14:textId="77777777" w:rsidR="007A6088" w:rsidRPr="00616C8D" w:rsidRDefault="007A6088" w:rsidP="00D40F75">
      <w:pPr>
        <w:pStyle w:val="FootnoteText"/>
        <w:pBdr>
          <w:between w:val="single" w:sz="4" w:space="1" w:color="auto"/>
        </w:pBdr>
        <w:shd w:val="clear" w:color="auto" w:fill="FFFFFF" w:themeFill="background1"/>
        <w:rPr>
          <w:rFonts w:cs="Segoe UI"/>
          <w:sz w:val="18"/>
          <w:szCs w:val="18"/>
        </w:rPr>
      </w:pPr>
      <w:r w:rsidRPr="00616C8D">
        <w:rPr>
          <w:rStyle w:val="FootnoteReference"/>
          <w:rFonts w:cs="Segoe UI"/>
          <w:sz w:val="18"/>
          <w:szCs w:val="18"/>
        </w:rPr>
        <w:footnoteRef/>
      </w:r>
      <w:r w:rsidRPr="00616C8D">
        <w:rPr>
          <w:rFonts w:cs="Segoe UI"/>
          <w:sz w:val="18"/>
          <w:szCs w:val="18"/>
        </w:rPr>
        <w:t xml:space="preserve"> </w:t>
      </w:r>
      <w:r w:rsidRPr="00616C8D">
        <w:rPr>
          <w:rFonts w:cs="Segoe UI"/>
          <w:sz w:val="18"/>
          <w:szCs w:val="18"/>
          <w:shd w:val="clear" w:color="auto" w:fill="FFFFFF"/>
        </w:rPr>
        <w:t>Nsubuga P, White ME, Thacker SB, et al. Public Health Surveillance: A Tool for Targeting and Monitoring Interventions. In: Jamison DT, Breman JG, Measham AR, et al., editors. Disease Control Priorities in Developing Countries. 2nd edition. Washington (DC): The International Bank for Reconstruction and Development / The World Bank; 2006. Chapter 53.</w:t>
      </w:r>
      <w:r w:rsidRPr="00616C8D">
        <w:rPr>
          <w:rStyle w:val="bkciteavail"/>
          <w:rFonts w:eastAsia="MS Gothic" w:cs="Segoe UI"/>
          <w:sz w:val="18"/>
          <w:szCs w:val="18"/>
          <w:shd w:val="clear" w:color="auto" w:fill="FFFFFF"/>
        </w:rPr>
        <w:t> Available from: https://www.ncbi.nlm.nih.gov/books/NBK11770/</w:t>
      </w:r>
      <w:r w:rsidRPr="00616C8D">
        <w:rPr>
          <w:rFonts w:cs="Segoe UI"/>
          <w:sz w:val="18"/>
          <w:szCs w:val="18"/>
          <w:shd w:val="clear" w:color="auto" w:fill="FFFFFF"/>
        </w:rPr>
        <w:t> Co-published by Oxford University Press, New York.</w:t>
      </w:r>
    </w:p>
  </w:footnote>
  <w:footnote w:id="8">
    <w:p w14:paraId="550C8B6B" w14:textId="77777777" w:rsidR="007A6088" w:rsidRPr="00616C8D" w:rsidRDefault="007A6088" w:rsidP="00966AF9">
      <w:pPr>
        <w:pStyle w:val="FootnoteText"/>
        <w:spacing w:line="276" w:lineRule="auto"/>
        <w:rPr>
          <w:rFonts w:eastAsia="Calibri" w:cs="Segoe UI"/>
          <w:sz w:val="18"/>
          <w:szCs w:val="18"/>
        </w:rPr>
      </w:pPr>
      <w:r w:rsidRPr="00616C8D">
        <w:rPr>
          <w:rStyle w:val="FootnoteReference"/>
          <w:rFonts w:cs="Segoe UI"/>
          <w:sz w:val="18"/>
          <w:szCs w:val="18"/>
        </w:rPr>
        <w:footnoteRef/>
      </w:r>
      <w:r w:rsidRPr="00616C8D">
        <w:rPr>
          <w:rFonts w:cs="Segoe UI"/>
          <w:sz w:val="18"/>
          <w:szCs w:val="18"/>
        </w:rPr>
        <w:t xml:space="preserve"> </w:t>
      </w:r>
      <w:r w:rsidRPr="00616C8D">
        <w:rPr>
          <w:rFonts w:eastAsia="Calibri" w:cs="Segoe UI"/>
          <w:sz w:val="18"/>
          <w:szCs w:val="18"/>
        </w:rPr>
        <w:t>Shakespeare T, Ndagire F, and Seketi Q. Triple jeopardy: disabled people and the COVID-19 pandemic. In: The Lancet, April 2021 397(10282): 1331-1333. DOI: 10.1016/S0140-6736(21)00625-5. Available from: https://www.ncbi.nlm.nih.gov/pmc/articles/PMC7963443/</w:t>
      </w:r>
    </w:p>
  </w:footnote>
  <w:footnote w:id="9">
    <w:p w14:paraId="47DC053C" w14:textId="77777777" w:rsidR="007A6088" w:rsidRPr="00616C8D" w:rsidRDefault="007A6088" w:rsidP="00B315BF">
      <w:pPr>
        <w:pStyle w:val="FootnoteText"/>
        <w:rPr>
          <w:rFonts w:cs="Segoe UI"/>
          <w:sz w:val="18"/>
          <w:szCs w:val="18"/>
        </w:rPr>
      </w:pPr>
      <w:r w:rsidRPr="00616C8D">
        <w:rPr>
          <w:rStyle w:val="FootnoteReference"/>
          <w:rFonts w:cs="Segoe UI"/>
          <w:sz w:val="18"/>
          <w:szCs w:val="18"/>
        </w:rPr>
        <w:footnoteRef/>
      </w:r>
      <w:r w:rsidRPr="00616C8D">
        <w:rPr>
          <w:rFonts w:cs="Segoe UI"/>
          <w:sz w:val="18"/>
          <w:szCs w:val="18"/>
        </w:rPr>
        <w:t xml:space="preserve"> https://www.health.govt.nz/our-work/diseases-and-conditions/covid-19-novel-coronavirus/covid-19-information-health-professionals/case-definition-and-clinical-testing-guidelines-covid-19</w:t>
      </w:r>
    </w:p>
  </w:footnote>
  <w:footnote w:id="10">
    <w:p w14:paraId="5EC1A57D" w14:textId="77777777" w:rsidR="007A6088" w:rsidRPr="00747B57" w:rsidRDefault="007A6088" w:rsidP="00747B57">
      <w:pPr>
        <w:pStyle w:val="FootnoteText"/>
        <w:rPr>
          <w:rFonts w:cs="Segoe UI"/>
          <w:sz w:val="18"/>
          <w:szCs w:val="18"/>
        </w:rPr>
      </w:pPr>
      <w:r w:rsidRPr="00747B57">
        <w:rPr>
          <w:rStyle w:val="FootnoteReference"/>
          <w:rFonts w:cs="Segoe UI"/>
          <w:sz w:val="18"/>
          <w:szCs w:val="18"/>
        </w:rPr>
        <w:footnoteRef/>
      </w:r>
      <w:r w:rsidRPr="00747B57">
        <w:rPr>
          <w:rFonts w:cs="Segoe UI"/>
          <w:sz w:val="18"/>
          <w:szCs w:val="18"/>
        </w:rPr>
        <w:t xml:space="preserve"> </w:t>
      </w:r>
      <w:hyperlink r:id="rId1" w:history="1">
        <w:r w:rsidRPr="00747B57">
          <w:rPr>
            <w:rStyle w:val="Hyperlink"/>
            <w:rFonts w:cs="Segoe UI"/>
            <w:color w:val="auto"/>
            <w:sz w:val="18"/>
            <w:szCs w:val="18"/>
            <w:u w:val="none"/>
            <w:shd w:val="clear" w:color="auto" w:fill="FFFFFF"/>
          </w:rPr>
          <w:t>https://doi.org/10.3389/fpubh.2017.00347</w:t>
        </w:r>
      </w:hyperlink>
    </w:p>
  </w:footnote>
  <w:footnote w:id="11">
    <w:p w14:paraId="7C0BCCE7" w14:textId="70A20D88" w:rsidR="002B4F2D" w:rsidRPr="00747B57" w:rsidRDefault="002B4F2D" w:rsidP="00747B57">
      <w:pPr>
        <w:pStyle w:val="refauthorsname"/>
        <w:shd w:val="clear" w:color="auto" w:fill="FFFFFF"/>
        <w:spacing w:before="0" w:beforeAutospacing="0" w:after="120" w:afterAutospacing="0"/>
        <w:ind w:right="75"/>
        <w:rPr>
          <w:rFonts w:ascii="Segoe UI" w:hAnsi="Segoe UI" w:cs="Segoe UI"/>
          <w:color w:val="505050"/>
          <w:sz w:val="18"/>
          <w:szCs w:val="18"/>
        </w:rPr>
      </w:pPr>
      <w:r w:rsidRPr="00747B57">
        <w:rPr>
          <w:rStyle w:val="FootnoteReference"/>
          <w:rFonts w:ascii="Segoe UI" w:hAnsi="Segoe UI" w:cs="Segoe UI"/>
          <w:sz w:val="18"/>
          <w:szCs w:val="18"/>
        </w:rPr>
        <w:footnoteRef/>
      </w:r>
      <w:r w:rsidRPr="00747B57">
        <w:rPr>
          <w:rFonts w:ascii="Segoe UI" w:hAnsi="Segoe UI" w:cs="Segoe UI"/>
          <w:sz w:val="18"/>
          <w:szCs w:val="18"/>
        </w:rPr>
        <w:t xml:space="preserve"> Clapham H Hay J</w:t>
      </w:r>
      <w:r w:rsidR="00747B57" w:rsidRPr="00747B57">
        <w:rPr>
          <w:rFonts w:ascii="Segoe UI" w:hAnsi="Segoe UI" w:cs="Segoe UI"/>
          <w:sz w:val="18"/>
          <w:szCs w:val="18"/>
        </w:rPr>
        <w:t xml:space="preserve">, </w:t>
      </w:r>
      <w:r w:rsidRPr="002B4F2D">
        <w:rPr>
          <w:rFonts w:ascii="Segoe UI" w:hAnsi="Segoe UI" w:cs="Segoe UI"/>
          <w:sz w:val="18"/>
          <w:szCs w:val="18"/>
        </w:rPr>
        <w:t>Routledge I </w:t>
      </w:r>
      <w:r w:rsidR="00747B57" w:rsidRPr="00747B57">
        <w:rPr>
          <w:rFonts w:ascii="Segoe UI" w:hAnsi="Segoe UI" w:cs="Segoe UI"/>
          <w:sz w:val="18"/>
          <w:szCs w:val="18"/>
        </w:rPr>
        <w:t xml:space="preserve">, </w:t>
      </w:r>
      <w:r w:rsidRPr="002B4F2D">
        <w:rPr>
          <w:rFonts w:ascii="Segoe UI" w:hAnsi="Segoe UI" w:cs="Segoe UI"/>
          <w:sz w:val="18"/>
          <w:szCs w:val="18"/>
        </w:rPr>
        <w:t>et al.</w:t>
      </w:r>
      <w:r w:rsidR="00747B57" w:rsidRPr="00747B57">
        <w:rPr>
          <w:rFonts w:ascii="Segoe UI" w:hAnsi="Segoe UI" w:cs="Segoe UI"/>
          <w:sz w:val="18"/>
          <w:szCs w:val="18"/>
        </w:rPr>
        <w:t xml:space="preserve">, </w:t>
      </w:r>
      <w:r w:rsidRPr="002B4F2D">
        <w:rPr>
          <w:rFonts w:ascii="Segoe UI" w:hAnsi="Segoe UI" w:cs="Segoe UI"/>
          <w:sz w:val="18"/>
          <w:szCs w:val="18"/>
        </w:rPr>
        <w:t>Sero-epidemiologic study designs for determining SARS-COV-2 transmission and immunity.</w:t>
      </w:r>
      <w:r w:rsidR="00747B57" w:rsidRPr="00747B57">
        <w:rPr>
          <w:rFonts w:ascii="Segoe UI" w:hAnsi="Segoe UI" w:cs="Segoe UI"/>
          <w:sz w:val="18"/>
          <w:szCs w:val="18"/>
        </w:rPr>
        <w:t xml:space="preserve"> </w:t>
      </w:r>
      <w:r w:rsidRPr="00747B57">
        <w:rPr>
          <w:rFonts w:ascii="Segoe UI" w:hAnsi="Segoe UI" w:cs="Segoe UI"/>
          <w:i/>
          <w:iCs/>
          <w:sz w:val="18"/>
          <w:szCs w:val="18"/>
          <w:shd w:val="clear" w:color="auto" w:fill="FFFFFF"/>
        </w:rPr>
        <w:t>Emerg Infect Dis.</w:t>
      </w:r>
      <w:r w:rsidRPr="00747B57">
        <w:rPr>
          <w:rFonts w:ascii="Segoe UI" w:hAnsi="Segoe UI" w:cs="Segoe UI"/>
          <w:sz w:val="18"/>
          <w:szCs w:val="18"/>
          <w:shd w:val="clear" w:color="auto" w:fill="FFFFFF"/>
        </w:rPr>
        <w:t> 2020; 26: 1978-1986</w:t>
      </w:r>
      <w:r w:rsidR="00747B57">
        <w:rPr>
          <w:rFonts w:ascii="Segoe UI" w:hAnsi="Segoe UI" w:cs="Segoe UI"/>
          <w:sz w:val="18"/>
          <w:szCs w:val="18"/>
          <w:shd w:val="clear" w:color="auto" w:fill="FFFFFF"/>
        </w:rPr>
        <w:t>.</w:t>
      </w:r>
    </w:p>
  </w:footnote>
  <w:footnote w:id="12">
    <w:p w14:paraId="5CD882CC" w14:textId="77777777" w:rsidR="007A6088" w:rsidRPr="00616C8D" w:rsidRDefault="007A6088" w:rsidP="008F581C">
      <w:pPr>
        <w:pStyle w:val="FootnoteText"/>
        <w:rPr>
          <w:rFonts w:cs="Segoe UI"/>
          <w:sz w:val="18"/>
          <w:szCs w:val="18"/>
        </w:rPr>
      </w:pPr>
      <w:r w:rsidRPr="00616C8D">
        <w:rPr>
          <w:rStyle w:val="FootnoteReference"/>
          <w:rFonts w:cs="Segoe UI"/>
          <w:sz w:val="18"/>
          <w:szCs w:val="18"/>
        </w:rPr>
        <w:footnoteRef/>
      </w:r>
      <w:r w:rsidRPr="00616C8D">
        <w:rPr>
          <w:rFonts w:cs="Segoe UI"/>
          <w:sz w:val="18"/>
          <w:szCs w:val="18"/>
        </w:rPr>
        <w:t xml:space="preserve"> Measurements approved by Cabinet in CAB-20-MIN-0387 included.</w:t>
      </w:r>
    </w:p>
  </w:footnote>
  <w:footnote w:id="13">
    <w:p w14:paraId="791EA2E0" w14:textId="77777777" w:rsidR="007A6088" w:rsidRPr="00616C8D" w:rsidRDefault="007A6088" w:rsidP="008F581C">
      <w:pPr>
        <w:pStyle w:val="FootnoteText"/>
        <w:rPr>
          <w:rFonts w:cs="Segoe UI"/>
          <w:sz w:val="18"/>
          <w:szCs w:val="18"/>
        </w:rPr>
      </w:pPr>
      <w:r w:rsidRPr="00616C8D">
        <w:rPr>
          <w:rStyle w:val="FootnoteReference"/>
          <w:rFonts w:cs="Segoe UI"/>
          <w:sz w:val="18"/>
          <w:szCs w:val="18"/>
        </w:rPr>
        <w:footnoteRef/>
      </w:r>
      <w:r w:rsidRPr="00616C8D">
        <w:rPr>
          <w:rFonts w:cs="Segoe UI"/>
          <w:sz w:val="18"/>
          <w:szCs w:val="18"/>
        </w:rPr>
        <w:t xml:space="preserve"> The presence of multiple generations does not necessarily determine risk. Papakāinga housing is not necessarily riskier if not overcrowded and managed well in terms of public health approaches.</w:t>
      </w:r>
    </w:p>
  </w:footnote>
  <w:footnote w:id="14">
    <w:p w14:paraId="1EE2383B" w14:textId="77777777" w:rsidR="007A6088" w:rsidRPr="00616C8D" w:rsidRDefault="007A6088" w:rsidP="004A5071">
      <w:pPr>
        <w:pStyle w:val="FootnoteText"/>
        <w:rPr>
          <w:rFonts w:cs="Segoe UI"/>
          <w:sz w:val="18"/>
          <w:szCs w:val="18"/>
        </w:rPr>
      </w:pPr>
      <w:r w:rsidRPr="00616C8D">
        <w:rPr>
          <w:rStyle w:val="FootnoteReference"/>
          <w:rFonts w:cs="Segoe UI"/>
          <w:sz w:val="18"/>
          <w:szCs w:val="18"/>
        </w:rPr>
        <w:footnoteRef/>
      </w:r>
      <w:r w:rsidRPr="00616C8D">
        <w:rPr>
          <w:rFonts w:cs="Segoe UI"/>
          <w:sz w:val="18"/>
          <w:szCs w:val="18"/>
        </w:rPr>
        <w:t xml:space="preserve"> https://www.tengakaukahukura.nz/covid19.</w:t>
      </w:r>
    </w:p>
  </w:footnote>
  <w:footnote w:id="15">
    <w:p w14:paraId="6793FA0F" w14:textId="77777777" w:rsidR="007A6088" w:rsidRPr="00616C8D" w:rsidRDefault="007A6088" w:rsidP="004A5071">
      <w:pPr>
        <w:pStyle w:val="FootnoteText"/>
        <w:rPr>
          <w:rFonts w:cs="Segoe UI"/>
          <w:sz w:val="18"/>
          <w:szCs w:val="18"/>
        </w:rPr>
      </w:pPr>
      <w:r w:rsidRPr="00616C8D">
        <w:rPr>
          <w:rStyle w:val="FootnoteReference"/>
          <w:rFonts w:cs="Segoe UI"/>
          <w:sz w:val="18"/>
          <w:szCs w:val="18"/>
        </w:rPr>
        <w:footnoteRef/>
      </w:r>
      <w:r w:rsidRPr="00616C8D">
        <w:rPr>
          <w:rFonts w:cs="Segoe UI"/>
          <w:sz w:val="18"/>
          <w:szCs w:val="18"/>
        </w:rPr>
        <w:t xml:space="preserve"> Kasehagen L, Byers P, Taylor K, et al. COVID-19–Associated Deaths After SARS-CoV-2 Infection During Pregnancy — Mississippi, March 1, 2020–October 6, 2021. MMWR Morb Mortal Wkly Rep. ePub: 19 November 2021. DOI: </w:t>
      </w:r>
      <w:hyperlink r:id="rId2" w:history="1">
        <w:r w:rsidRPr="00616C8D">
          <w:rPr>
            <w:rStyle w:val="Hyperlink"/>
            <w:rFonts w:cs="Segoe UI"/>
            <w:color w:val="auto"/>
            <w:sz w:val="18"/>
            <w:szCs w:val="18"/>
          </w:rPr>
          <w:t>http://dx.doi.org/10.15585/mmwr.mm7047e2</w:t>
        </w:r>
      </w:hyperlink>
      <w:r w:rsidRPr="00616C8D">
        <w:rPr>
          <w:rStyle w:val="Hyperlink"/>
          <w:rFonts w:cs="Segoe UI"/>
          <w:color w:val="auto"/>
          <w:sz w:val="18"/>
          <w:szCs w:val="18"/>
        </w:rPr>
        <w:t>.</w:t>
      </w:r>
      <w:r w:rsidRPr="00616C8D">
        <w:rPr>
          <w:rFonts w:cs="Segoe UI"/>
          <w:sz w:val="18"/>
          <w:szCs w:val="18"/>
        </w:rPr>
        <w:t xml:space="preserve"> </w:t>
      </w:r>
    </w:p>
  </w:footnote>
  <w:footnote w:id="16">
    <w:p w14:paraId="32ED0E5B" w14:textId="77777777" w:rsidR="007A6088" w:rsidRPr="00616C8D" w:rsidRDefault="007A6088" w:rsidP="004A5071">
      <w:pPr>
        <w:pStyle w:val="FootnoteText"/>
        <w:rPr>
          <w:rFonts w:cs="Segoe UI"/>
          <w:sz w:val="18"/>
          <w:szCs w:val="18"/>
        </w:rPr>
      </w:pPr>
      <w:r w:rsidRPr="00616C8D">
        <w:rPr>
          <w:rStyle w:val="FootnoteReference"/>
          <w:rFonts w:cs="Segoe UI"/>
          <w:sz w:val="18"/>
          <w:szCs w:val="18"/>
        </w:rPr>
        <w:footnoteRef/>
      </w:r>
      <w:r w:rsidRPr="00616C8D">
        <w:rPr>
          <w:rFonts w:cs="Segoe UI"/>
          <w:sz w:val="18"/>
          <w:szCs w:val="18"/>
        </w:rPr>
        <w:t xml:space="preserve"> Zambrano LD, Ellington S, Strid P, et al. Update: Characteristics of Symptomatic Women of Reproductive Age with Laboratory-Confirmed SARS-CoV-2 Infection by Pregnancy Status — United States, January 22–October 3, 2020. MMWR Morb Mortal Wkly Rep 2020;69:1641–1647. DOI: http://dx.doi.org/10.15585/mmwr.mm6944e3.</w:t>
      </w:r>
    </w:p>
  </w:footnote>
  <w:footnote w:id="17">
    <w:p w14:paraId="4B4C8B08" w14:textId="77777777" w:rsidR="007A6088" w:rsidRPr="00616C8D" w:rsidRDefault="007A6088" w:rsidP="004A5071">
      <w:pPr>
        <w:pStyle w:val="FootnoteText"/>
        <w:rPr>
          <w:rFonts w:cs="Segoe UI"/>
          <w:sz w:val="18"/>
          <w:szCs w:val="18"/>
        </w:rPr>
      </w:pPr>
      <w:r w:rsidRPr="00616C8D">
        <w:rPr>
          <w:rStyle w:val="FootnoteReference"/>
          <w:rFonts w:cs="Segoe UI"/>
          <w:sz w:val="18"/>
          <w:szCs w:val="18"/>
        </w:rPr>
        <w:footnoteRef/>
      </w:r>
      <w:r w:rsidRPr="00616C8D">
        <w:rPr>
          <w:rFonts w:cs="Segoe UI"/>
          <w:sz w:val="18"/>
          <w:szCs w:val="18"/>
        </w:rPr>
        <w:t xml:space="preserve"> </w:t>
      </w:r>
      <w:r w:rsidRPr="00616C8D">
        <w:rPr>
          <w:rFonts w:cs="Segoe UI"/>
          <w:sz w:val="18"/>
          <w:szCs w:val="18"/>
          <w:shd w:val="clear" w:color="auto" w:fill="FFFFFF"/>
        </w:rPr>
        <w:t>Scott KM, Lim C, Al-Hamzawi A, et al. Association of mental disorders with subsequent chronic physical conditions: World mental health surveys from 17 Countries. JAMA Psychiatry. 2016;73(2):150-8. doi: 10.1001/jamapsychiatry.2015.2688.</w:t>
      </w:r>
    </w:p>
  </w:footnote>
  <w:footnote w:id="18">
    <w:p w14:paraId="527E80CE" w14:textId="77777777" w:rsidR="007A6088" w:rsidRPr="00616C8D" w:rsidRDefault="007A6088" w:rsidP="004A5071">
      <w:pPr>
        <w:pStyle w:val="FootnoteText"/>
        <w:rPr>
          <w:rFonts w:cs="Segoe UI"/>
          <w:sz w:val="18"/>
          <w:szCs w:val="18"/>
        </w:rPr>
      </w:pPr>
      <w:r w:rsidRPr="00616C8D">
        <w:rPr>
          <w:rStyle w:val="FootnoteReference"/>
          <w:rFonts w:cs="Segoe UI"/>
          <w:sz w:val="18"/>
          <w:szCs w:val="18"/>
        </w:rPr>
        <w:footnoteRef/>
      </w:r>
      <w:r w:rsidRPr="00616C8D">
        <w:rPr>
          <w:rFonts w:cs="Segoe UI"/>
          <w:sz w:val="18"/>
          <w:szCs w:val="18"/>
        </w:rPr>
        <w:t xml:space="preserve"> </w:t>
      </w:r>
      <w:r w:rsidRPr="00616C8D">
        <w:rPr>
          <w:rFonts w:cs="Segoe UI"/>
          <w:sz w:val="18"/>
          <w:szCs w:val="18"/>
          <w:shd w:val="clear" w:color="auto" w:fill="FFFFFF"/>
        </w:rPr>
        <w:t>Te Pou [Internet]. Achieving physical health equity for people with experience of mental health and addiction issues: Evidence update. Auckland: Te Pou; 2020 [cited 2021 Mar 4]. 36 p. Available from: https://www.tepou.co.nz/resources/achieving-physical-health-equity-for-people-with-experience-of-mental-health-and-addiction-issues---evidence-update-july-2020.</w:t>
      </w:r>
    </w:p>
  </w:footnote>
  <w:footnote w:id="19">
    <w:p w14:paraId="5A2042F0" w14:textId="77777777" w:rsidR="007A6088" w:rsidRPr="00616C8D" w:rsidRDefault="007A6088" w:rsidP="004A5071">
      <w:pPr>
        <w:pStyle w:val="FootnoteText"/>
        <w:rPr>
          <w:rFonts w:cs="Segoe UI"/>
          <w:sz w:val="18"/>
          <w:szCs w:val="18"/>
        </w:rPr>
      </w:pPr>
      <w:r w:rsidRPr="00616C8D">
        <w:rPr>
          <w:rStyle w:val="FootnoteReference"/>
          <w:rFonts w:cs="Segoe UI"/>
          <w:sz w:val="18"/>
          <w:szCs w:val="18"/>
        </w:rPr>
        <w:footnoteRef/>
      </w:r>
      <w:r w:rsidRPr="00616C8D">
        <w:rPr>
          <w:rFonts w:cs="Segoe UI"/>
          <w:sz w:val="18"/>
          <w:szCs w:val="18"/>
        </w:rPr>
        <w:t xml:space="preserve"> Auckland’s experience has shown that the homeless/emergency housing/Kāinga Ora housing population has been a major determinant, therefore, regional information from the Ministry of Social Development (MSD) will need to be reflected.</w:t>
      </w:r>
    </w:p>
  </w:footnote>
  <w:footnote w:id="20">
    <w:p w14:paraId="22B4E4CE" w14:textId="77777777" w:rsidR="007A6088" w:rsidRPr="00616C8D" w:rsidRDefault="007A6088" w:rsidP="004A5071">
      <w:pPr>
        <w:pStyle w:val="FootnoteText"/>
        <w:rPr>
          <w:rFonts w:cs="Segoe UI"/>
          <w:sz w:val="18"/>
          <w:szCs w:val="18"/>
        </w:rPr>
      </w:pPr>
      <w:r w:rsidRPr="00616C8D">
        <w:rPr>
          <w:rStyle w:val="FootnoteReference"/>
          <w:rFonts w:cs="Segoe UI"/>
          <w:sz w:val="18"/>
          <w:szCs w:val="18"/>
        </w:rPr>
        <w:footnoteRef/>
      </w:r>
      <w:r w:rsidRPr="00616C8D">
        <w:rPr>
          <w:rFonts w:cs="Segoe UI"/>
          <w:sz w:val="18"/>
          <w:szCs w:val="18"/>
        </w:rPr>
        <w:t xml:space="preserve"> Connected to surveillance activities, public health applied and behavioural science studies that may include </w:t>
      </w:r>
      <w:r w:rsidRPr="00616C8D">
        <w:rPr>
          <w:rFonts w:eastAsiaTheme="minorEastAsia" w:cs="Segoe UI"/>
          <w:sz w:val="18"/>
          <w:szCs w:val="18"/>
        </w:rPr>
        <w:t>assessing the cultural safety and cultural circumstances are a consideration in terms of dispensing of resources; whether assets and resources considered include distance to and availability of food during red light status; distance to testing; access to primary health care and hospitals; ability to self-isolate safely; and critical care, as well as, availability of reliable internet and transportation.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D1C2A" w14:textId="0B7B74F1" w:rsidR="007A6088" w:rsidRDefault="007A6088">
    <w:pPr>
      <w:pStyle w:val="Header"/>
    </w:pPr>
    <w:r>
      <w:rPr>
        <w:noProof/>
      </w:rPr>
      <w:drawing>
        <wp:anchor distT="0" distB="0" distL="114300" distR="114300" simplePos="0" relativeHeight="251658241" behindDoc="0" locked="0" layoutInCell="1" allowOverlap="1" wp14:anchorId="1EC5CF88" wp14:editId="0EE2D82D">
          <wp:simplePos x="0" y="0"/>
          <wp:positionH relativeFrom="page">
            <wp:posOffset>27940</wp:posOffset>
          </wp:positionH>
          <wp:positionV relativeFrom="page">
            <wp:posOffset>0</wp:posOffset>
          </wp:positionV>
          <wp:extent cx="7560000" cy="9036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9036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5CEC2" w14:textId="6EF34447" w:rsidR="007A6088" w:rsidRDefault="007A6088">
    <w:pPr>
      <w:pStyle w:val="Header"/>
    </w:pPr>
    <w:r>
      <w:rPr>
        <w:noProof/>
      </w:rPr>
      <w:drawing>
        <wp:anchor distT="0" distB="0" distL="114300" distR="114300" simplePos="0" relativeHeight="251658240" behindDoc="0" locked="0" layoutInCell="1" allowOverlap="1" wp14:anchorId="68E8AD77" wp14:editId="4DCDB394">
          <wp:simplePos x="0" y="0"/>
          <wp:positionH relativeFrom="page">
            <wp:posOffset>29845</wp:posOffset>
          </wp:positionH>
          <wp:positionV relativeFrom="paragraph">
            <wp:posOffset>-170180</wp:posOffset>
          </wp:positionV>
          <wp:extent cx="7560000" cy="180000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8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C5BE1"/>
    <w:multiLevelType w:val="hybridMultilevel"/>
    <w:tmpl w:val="271267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DC2BED"/>
    <w:multiLevelType w:val="multilevel"/>
    <w:tmpl w:val="C3E25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B077D9"/>
    <w:multiLevelType w:val="multilevel"/>
    <w:tmpl w:val="1E005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13AEE"/>
    <w:multiLevelType w:val="hybridMultilevel"/>
    <w:tmpl w:val="E27406A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9515E1A"/>
    <w:multiLevelType w:val="multilevel"/>
    <w:tmpl w:val="AF225A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310AC9"/>
    <w:multiLevelType w:val="hybridMultilevel"/>
    <w:tmpl w:val="A31CF37C"/>
    <w:lvl w:ilvl="0" w:tplc="F00493AA">
      <w:start w:val="1"/>
      <w:numFmt w:val="lowerLetter"/>
      <w:lvlText w:val="%1)"/>
      <w:lvlJc w:val="left"/>
      <w:pPr>
        <w:ind w:left="720" w:hanging="360"/>
      </w:pPr>
    </w:lvl>
    <w:lvl w:ilvl="1" w:tplc="48BA6E5E">
      <w:start w:val="1"/>
      <w:numFmt w:val="lowerLetter"/>
      <w:lvlText w:val="%2."/>
      <w:lvlJc w:val="left"/>
      <w:pPr>
        <w:ind w:left="1440" w:hanging="360"/>
      </w:pPr>
    </w:lvl>
    <w:lvl w:ilvl="2" w:tplc="A5BED312">
      <w:start w:val="1"/>
      <w:numFmt w:val="lowerRoman"/>
      <w:lvlText w:val="%3."/>
      <w:lvlJc w:val="right"/>
      <w:pPr>
        <w:ind w:left="2160" w:hanging="180"/>
      </w:pPr>
      <w:rPr>
        <w:b w:val="0"/>
        <w:bCs/>
      </w:rPr>
    </w:lvl>
    <w:lvl w:ilvl="3" w:tplc="282C7FB8">
      <w:start w:val="1"/>
      <w:numFmt w:val="decimal"/>
      <w:lvlText w:val="%4."/>
      <w:lvlJc w:val="left"/>
      <w:pPr>
        <w:ind w:left="2880" w:hanging="360"/>
      </w:pPr>
    </w:lvl>
    <w:lvl w:ilvl="4" w:tplc="1E9CCAF2">
      <w:start w:val="1"/>
      <w:numFmt w:val="lowerLetter"/>
      <w:lvlText w:val="%5."/>
      <w:lvlJc w:val="left"/>
      <w:pPr>
        <w:ind w:left="3600" w:hanging="360"/>
      </w:pPr>
    </w:lvl>
    <w:lvl w:ilvl="5" w:tplc="3DCC4F7E">
      <w:start w:val="1"/>
      <w:numFmt w:val="lowerRoman"/>
      <w:lvlText w:val="%6."/>
      <w:lvlJc w:val="right"/>
      <w:pPr>
        <w:ind w:left="4320" w:hanging="180"/>
      </w:pPr>
    </w:lvl>
    <w:lvl w:ilvl="6" w:tplc="25BE76FC">
      <w:start w:val="1"/>
      <w:numFmt w:val="decimal"/>
      <w:lvlText w:val="%7."/>
      <w:lvlJc w:val="left"/>
      <w:pPr>
        <w:ind w:left="5040" w:hanging="360"/>
      </w:pPr>
    </w:lvl>
    <w:lvl w:ilvl="7" w:tplc="063EDAA2">
      <w:start w:val="1"/>
      <w:numFmt w:val="lowerLetter"/>
      <w:lvlText w:val="%8."/>
      <w:lvlJc w:val="left"/>
      <w:pPr>
        <w:ind w:left="5760" w:hanging="360"/>
      </w:pPr>
    </w:lvl>
    <w:lvl w:ilvl="8" w:tplc="24D8E642">
      <w:start w:val="1"/>
      <w:numFmt w:val="lowerRoman"/>
      <w:lvlText w:val="%9."/>
      <w:lvlJc w:val="right"/>
      <w:pPr>
        <w:ind w:left="6480" w:hanging="180"/>
      </w:pPr>
    </w:lvl>
  </w:abstractNum>
  <w:abstractNum w:abstractNumId="6" w15:restartNumberingAfterBreak="0">
    <w:nsid w:val="226532D4"/>
    <w:multiLevelType w:val="hybridMultilevel"/>
    <w:tmpl w:val="7E5E4F5A"/>
    <w:lvl w:ilvl="0" w:tplc="14090001">
      <w:start w:val="1"/>
      <w:numFmt w:val="bullet"/>
      <w:lvlText w:val=""/>
      <w:lvlJc w:val="left"/>
      <w:pPr>
        <w:ind w:left="1026" w:hanging="360"/>
      </w:pPr>
      <w:rPr>
        <w:rFonts w:ascii="Symbol" w:hAnsi="Symbol" w:hint="default"/>
      </w:rPr>
    </w:lvl>
    <w:lvl w:ilvl="1" w:tplc="14090003" w:tentative="1">
      <w:start w:val="1"/>
      <w:numFmt w:val="bullet"/>
      <w:lvlText w:val="o"/>
      <w:lvlJc w:val="left"/>
      <w:pPr>
        <w:ind w:left="1746" w:hanging="360"/>
      </w:pPr>
      <w:rPr>
        <w:rFonts w:ascii="Courier New" w:hAnsi="Courier New" w:cs="Courier New" w:hint="default"/>
      </w:rPr>
    </w:lvl>
    <w:lvl w:ilvl="2" w:tplc="14090005" w:tentative="1">
      <w:start w:val="1"/>
      <w:numFmt w:val="bullet"/>
      <w:lvlText w:val=""/>
      <w:lvlJc w:val="left"/>
      <w:pPr>
        <w:ind w:left="2466" w:hanging="360"/>
      </w:pPr>
      <w:rPr>
        <w:rFonts w:ascii="Wingdings" w:hAnsi="Wingdings" w:hint="default"/>
      </w:rPr>
    </w:lvl>
    <w:lvl w:ilvl="3" w:tplc="14090001" w:tentative="1">
      <w:start w:val="1"/>
      <w:numFmt w:val="bullet"/>
      <w:lvlText w:val=""/>
      <w:lvlJc w:val="left"/>
      <w:pPr>
        <w:ind w:left="3186" w:hanging="360"/>
      </w:pPr>
      <w:rPr>
        <w:rFonts w:ascii="Symbol" w:hAnsi="Symbol" w:hint="default"/>
      </w:rPr>
    </w:lvl>
    <w:lvl w:ilvl="4" w:tplc="14090003" w:tentative="1">
      <w:start w:val="1"/>
      <w:numFmt w:val="bullet"/>
      <w:lvlText w:val="o"/>
      <w:lvlJc w:val="left"/>
      <w:pPr>
        <w:ind w:left="3906" w:hanging="360"/>
      </w:pPr>
      <w:rPr>
        <w:rFonts w:ascii="Courier New" w:hAnsi="Courier New" w:cs="Courier New" w:hint="default"/>
      </w:rPr>
    </w:lvl>
    <w:lvl w:ilvl="5" w:tplc="14090005" w:tentative="1">
      <w:start w:val="1"/>
      <w:numFmt w:val="bullet"/>
      <w:lvlText w:val=""/>
      <w:lvlJc w:val="left"/>
      <w:pPr>
        <w:ind w:left="4626" w:hanging="360"/>
      </w:pPr>
      <w:rPr>
        <w:rFonts w:ascii="Wingdings" w:hAnsi="Wingdings" w:hint="default"/>
      </w:rPr>
    </w:lvl>
    <w:lvl w:ilvl="6" w:tplc="14090001" w:tentative="1">
      <w:start w:val="1"/>
      <w:numFmt w:val="bullet"/>
      <w:lvlText w:val=""/>
      <w:lvlJc w:val="left"/>
      <w:pPr>
        <w:ind w:left="5346" w:hanging="360"/>
      </w:pPr>
      <w:rPr>
        <w:rFonts w:ascii="Symbol" w:hAnsi="Symbol" w:hint="default"/>
      </w:rPr>
    </w:lvl>
    <w:lvl w:ilvl="7" w:tplc="14090003" w:tentative="1">
      <w:start w:val="1"/>
      <w:numFmt w:val="bullet"/>
      <w:lvlText w:val="o"/>
      <w:lvlJc w:val="left"/>
      <w:pPr>
        <w:ind w:left="6066" w:hanging="360"/>
      </w:pPr>
      <w:rPr>
        <w:rFonts w:ascii="Courier New" w:hAnsi="Courier New" w:cs="Courier New" w:hint="default"/>
      </w:rPr>
    </w:lvl>
    <w:lvl w:ilvl="8" w:tplc="14090005" w:tentative="1">
      <w:start w:val="1"/>
      <w:numFmt w:val="bullet"/>
      <w:lvlText w:val=""/>
      <w:lvlJc w:val="left"/>
      <w:pPr>
        <w:ind w:left="6786" w:hanging="360"/>
      </w:pPr>
      <w:rPr>
        <w:rFonts w:ascii="Wingdings" w:hAnsi="Wingdings" w:hint="default"/>
      </w:rPr>
    </w:lvl>
  </w:abstractNum>
  <w:abstractNum w:abstractNumId="7" w15:restartNumberingAfterBreak="0">
    <w:nsid w:val="23EC550D"/>
    <w:multiLevelType w:val="multilevel"/>
    <w:tmpl w:val="4C886C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74597C"/>
    <w:multiLevelType w:val="multilevel"/>
    <w:tmpl w:val="4BCA125E"/>
    <w:lvl w:ilvl="0">
      <w:start w:val="1"/>
      <w:numFmt w:val="bullet"/>
      <w:pStyle w:val="NumberedParagraphs-MOH"/>
      <w:lvlText w:val=""/>
      <w:lvlJc w:val="left"/>
      <w:pPr>
        <w:tabs>
          <w:tab w:val="num" w:pos="493"/>
        </w:tabs>
        <w:ind w:left="493" w:hanging="493"/>
      </w:pPr>
      <w:rPr>
        <w:rFonts w:ascii="Symbol" w:hAnsi="Symbol" w:hint="default"/>
      </w:rPr>
    </w:lvl>
    <w:lvl w:ilvl="1">
      <w:start w:val="1"/>
      <w:numFmt w:val="decimal"/>
      <w:pStyle w:val="ReportBody2-MOH"/>
      <w:lvlText w:val="%1.%2"/>
      <w:lvlJc w:val="left"/>
      <w:pPr>
        <w:tabs>
          <w:tab w:val="num" w:pos="493"/>
        </w:tabs>
        <w:ind w:left="987" w:hanging="494"/>
      </w:pPr>
    </w:lvl>
    <w:lvl w:ilvl="2">
      <w:start w:val="1"/>
      <w:numFmt w:val="decimal"/>
      <w:pStyle w:val="SecondLevelBullets-MOH"/>
      <w:lvlText w:val="%1.%2.%3"/>
      <w:lvlJc w:val="left"/>
      <w:pPr>
        <w:tabs>
          <w:tab w:val="num" w:pos="1554"/>
        </w:tabs>
        <w:ind w:left="1554" w:hanging="567"/>
      </w:pPr>
    </w:lvl>
    <w:lvl w:ilvl="3">
      <w:start w:val="1"/>
      <w:numFmt w:val="decimal"/>
      <w:lvlText w:val="%1.%2.%3.%4."/>
      <w:lvlJc w:val="left"/>
      <w:pPr>
        <w:tabs>
          <w:tab w:val="num" w:pos="2133"/>
        </w:tabs>
        <w:ind w:left="1701" w:hanging="648"/>
      </w:pPr>
    </w:lvl>
    <w:lvl w:ilvl="4">
      <w:start w:val="1"/>
      <w:numFmt w:val="decimal"/>
      <w:lvlText w:val="%1.%2.%3.%4.%5."/>
      <w:lvlJc w:val="left"/>
      <w:pPr>
        <w:tabs>
          <w:tab w:val="num" w:pos="2493"/>
        </w:tabs>
        <w:ind w:left="2205" w:hanging="792"/>
      </w:pPr>
    </w:lvl>
    <w:lvl w:ilvl="5">
      <w:start w:val="1"/>
      <w:numFmt w:val="decimal"/>
      <w:lvlText w:val="%1.%2.%3.%4.%5.%6."/>
      <w:lvlJc w:val="left"/>
      <w:pPr>
        <w:tabs>
          <w:tab w:val="num" w:pos="3213"/>
        </w:tabs>
        <w:ind w:left="2709" w:hanging="936"/>
      </w:pPr>
    </w:lvl>
    <w:lvl w:ilvl="6">
      <w:start w:val="1"/>
      <w:numFmt w:val="decimal"/>
      <w:lvlText w:val="%1.%2.%3.%4.%5.%6.%7."/>
      <w:lvlJc w:val="left"/>
      <w:pPr>
        <w:tabs>
          <w:tab w:val="num" w:pos="3573"/>
        </w:tabs>
        <w:ind w:left="3213" w:hanging="1080"/>
      </w:pPr>
    </w:lvl>
    <w:lvl w:ilvl="7">
      <w:start w:val="1"/>
      <w:numFmt w:val="decimal"/>
      <w:lvlText w:val="%1.%2.%3.%4.%5.%6.%7.%8."/>
      <w:lvlJc w:val="left"/>
      <w:pPr>
        <w:tabs>
          <w:tab w:val="num" w:pos="4293"/>
        </w:tabs>
        <w:ind w:left="3717" w:hanging="1224"/>
      </w:pPr>
    </w:lvl>
    <w:lvl w:ilvl="8">
      <w:start w:val="1"/>
      <w:numFmt w:val="decimal"/>
      <w:lvlText w:val="%1.%2.%3.%4.%5.%6.%7.%8.%9."/>
      <w:lvlJc w:val="left"/>
      <w:pPr>
        <w:tabs>
          <w:tab w:val="num" w:pos="4653"/>
        </w:tabs>
        <w:ind w:left="4293" w:hanging="1440"/>
      </w:pPr>
    </w:lvl>
  </w:abstractNum>
  <w:abstractNum w:abstractNumId="9" w15:restartNumberingAfterBreak="0">
    <w:nsid w:val="3AD132F3"/>
    <w:multiLevelType w:val="hybridMultilevel"/>
    <w:tmpl w:val="C958ABE6"/>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DB503ED"/>
    <w:multiLevelType w:val="hybridMultilevel"/>
    <w:tmpl w:val="FFFFFFFF"/>
    <w:lvl w:ilvl="0" w:tplc="7032BDAE">
      <w:start w:val="1"/>
      <w:numFmt w:val="lowerLetter"/>
      <w:lvlText w:val="%1."/>
      <w:lvlJc w:val="left"/>
      <w:pPr>
        <w:ind w:left="720" w:hanging="360"/>
      </w:pPr>
    </w:lvl>
    <w:lvl w:ilvl="1" w:tplc="61E89DE0">
      <w:start w:val="1"/>
      <w:numFmt w:val="lowerLetter"/>
      <w:lvlText w:val="%2."/>
      <w:lvlJc w:val="left"/>
      <w:pPr>
        <w:ind w:left="1440" w:hanging="360"/>
      </w:pPr>
    </w:lvl>
    <w:lvl w:ilvl="2" w:tplc="2230E374">
      <w:start w:val="1"/>
      <w:numFmt w:val="lowerRoman"/>
      <w:lvlText w:val="%3."/>
      <w:lvlJc w:val="right"/>
      <w:pPr>
        <w:ind w:left="2160" w:hanging="180"/>
      </w:pPr>
    </w:lvl>
    <w:lvl w:ilvl="3" w:tplc="72324B9E">
      <w:start w:val="1"/>
      <w:numFmt w:val="decimal"/>
      <w:lvlText w:val="%4."/>
      <w:lvlJc w:val="left"/>
      <w:pPr>
        <w:ind w:left="2880" w:hanging="360"/>
      </w:pPr>
    </w:lvl>
    <w:lvl w:ilvl="4" w:tplc="49B2A74E">
      <w:start w:val="1"/>
      <w:numFmt w:val="lowerLetter"/>
      <w:lvlText w:val="%5."/>
      <w:lvlJc w:val="left"/>
      <w:pPr>
        <w:ind w:left="3600" w:hanging="360"/>
      </w:pPr>
    </w:lvl>
    <w:lvl w:ilvl="5" w:tplc="DD605F60">
      <w:start w:val="1"/>
      <w:numFmt w:val="lowerRoman"/>
      <w:lvlText w:val="%6."/>
      <w:lvlJc w:val="right"/>
      <w:pPr>
        <w:ind w:left="4320" w:hanging="180"/>
      </w:pPr>
    </w:lvl>
    <w:lvl w:ilvl="6" w:tplc="681C7920">
      <w:start w:val="1"/>
      <w:numFmt w:val="decimal"/>
      <w:lvlText w:val="%7."/>
      <w:lvlJc w:val="left"/>
      <w:pPr>
        <w:ind w:left="5040" w:hanging="360"/>
      </w:pPr>
    </w:lvl>
    <w:lvl w:ilvl="7" w:tplc="289088E8">
      <w:start w:val="1"/>
      <w:numFmt w:val="lowerLetter"/>
      <w:lvlText w:val="%8."/>
      <w:lvlJc w:val="left"/>
      <w:pPr>
        <w:ind w:left="5760" w:hanging="360"/>
      </w:pPr>
    </w:lvl>
    <w:lvl w:ilvl="8" w:tplc="D6700E18">
      <w:start w:val="1"/>
      <w:numFmt w:val="lowerRoman"/>
      <w:lvlText w:val="%9."/>
      <w:lvlJc w:val="right"/>
      <w:pPr>
        <w:ind w:left="6480" w:hanging="180"/>
      </w:pPr>
    </w:lvl>
  </w:abstractNum>
  <w:abstractNum w:abstractNumId="11" w15:restartNumberingAfterBreak="0">
    <w:nsid w:val="566D5BA5"/>
    <w:multiLevelType w:val="multilevel"/>
    <w:tmpl w:val="1E3E9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D72884"/>
    <w:multiLevelType w:val="multilevel"/>
    <w:tmpl w:val="25E8A3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D62D68"/>
    <w:multiLevelType w:val="hybridMultilevel"/>
    <w:tmpl w:val="927AFBD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4" w15:restartNumberingAfterBreak="0">
    <w:nsid w:val="7BDD14C2"/>
    <w:multiLevelType w:val="hybridMultilevel"/>
    <w:tmpl w:val="D214C520"/>
    <w:lvl w:ilvl="0" w:tplc="F9EED286">
      <w:start w:val="1"/>
      <w:numFmt w:val="bullet"/>
      <w:pStyle w:val="ListParagraph"/>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9"/>
  </w:num>
  <w:num w:numId="4">
    <w:abstractNumId w:val="0"/>
  </w:num>
  <w:num w:numId="5">
    <w:abstractNumId w:val="10"/>
  </w:num>
  <w:num w:numId="6">
    <w:abstractNumId w:val="6"/>
  </w:num>
  <w:num w:numId="7">
    <w:abstractNumId w:val="8"/>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8">
    <w:abstractNumId w:val="11"/>
  </w:num>
  <w:num w:numId="9">
    <w:abstractNumId w:val="1"/>
  </w:num>
  <w:num w:numId="10">
    <w:abstractNumId w:val="12"/>
  </w:num>
  <w:num w:numId="11">
    <w:abstractNumId w:val="7"/>
  </w:num>
  <w:num w:numId="12">
    <w:abstractNumId w:val="4"/>
  </w:num>
  <w:num w:numId="13">
    <w:abstractNumId w:val="5"/>
  </w:num>
  <w:num w:numId="14">
    <w:abstractNumId w:val="3"/>
  </w:num>
  <w:num w:numId="1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7CB"/>
    <w:rsid w:val="0000131A"/>
    <w:rsid w:val="00001B30"/>
    <w:rsid w:val="00001E46"/>
    <w:rsid w:val="00002A01"/>
    <w:rsid w:val="00002F8F"/>
    <w:rsid w:val="00003B04"/>
    <w:rsid w:val="00004183"/>
    <w:rsid w:val="0000463C"/>
    <w:rsid w:val="00004A7D"/>
    <w:rsid w:val="00005104"/>
    <w:rsid w:val="000054F0"/>
    <w:rsid w:val="00005AC0"/>
    <w:rsid w:val="00006F47"/>
    <w:rsid w:val="00007A7B"/>
    <w:rsid w:val="00007A8D"/>
    <w:rsid w:val="00007F41"/>
    <w:rsid w:val="000102F6"/>
    <w:rsid w:val="0001070B"/>
    <w:rsid w:val="0001081D"/>
    <w:rsid w:val="00010BC9"/>
    <w:rsid w:val="00011673"/>
    <w:rsid w:val="000123EE"/>
    <w:rsid w:val="00013A91"/>
    <w:rsid w:val="00013EA7"/>
    <w:rsid w:val="00014178"/>
    <w:rsid w:val="0001457F"/>
    <w:rsid w:val="00014A0B"/>
    <w:rsid w:val="000152C3"/>
    <w:rsid w:val="0001548B"/>
    <w:rsid w:val="00015A7E"/>
    <w:rsid w:val="00016055"/>
    <w:rsid w:val="00016252"/>
    <w:rsid w:val="00016C17"/>
    <w:rsid w:val="00020075"/>
    <w:rsid w:val="00020199"/>
    <w:rsid w:val="00020C98"/>
    <w:rsid w:val="0002134B"/>
    <w:rsid w:val="00021A10"/>
    <w:rsid w:val="00021B61"/>
    <w:rsid w:val="00021CD6"/>
    <w:rsid w:val="000221E2"/>
    <w:rsid w:val="000225B1"/>
    <w:rsid w:val="00023552"/>
    <w:rsid w:val="000237FE"/>
    <w:rsid w:val="00023807"/>
    <w:rsid w:val="0002380D"/>
    <w:rsid w:val="000238DB"/>
    <w:rsid w:val="00023EB2"/>
    <w:rsid w:val="000277F1"/>
    <w:rsid w:val="00027A94"/>
    <w:rsid w:val="000301A8"/>
    <w:rsid w:val="00030941"/>
    <w:rsid w:val="000323E9"/>
    <w:rsid w:val="000325B4"/>
    <w:rsid w:val="000331FD"/>
    <w:rsid w:val="000337B6"/>
    <w:rsid w:val="000339F9"/>
    <w:rsid w:val="000349A1"/>
    <w:rsid w:val="00034FB4"/>
    <w:rsid w:val="000362B1"/>
    <w:rsid w:val="00037258"/>
    <w:rsid w:val="000377C7"/>
    <w:rsid w:val="00037FE4"/>
    <w:rsid w:val="000402F9"/>
    <w:rsid w:val="000407BA"/>
    <w:rsid w:val="000409CE"/>
    <w:rsid w:val="00040C59"/>
    <w:rsid w:val="00040F36"/>
    <w:rsid w:val="00042A3E"/>
    <w:rsid w:val="00042E47"/>
    <w:rsid w:val="00043DE8"/>
    <w:rsid w:val="0004584F"/>
    <w:rsid w:val="00045E9F"/>
    <w:rsid w:val="00046644"/>
    <w:rsid w:val="00046E4E"/>
    <w:rsid w:val="00047CE3"/>
    <w:rsid w:val="000503E1"/>
    <w:rsid w:val="00050FAB"/>
    <w:rsid w:val="00052362"/>
    <w:rsid w:val="00052428"/>
    <w:rsid w:val="00054160"/>
    <w:rsid w:val="000543FA"/>
    <w:rsid w:val="00054BBB"/>
    <w:rsid w:val="0005596A"/>
    <w:rsid w:val="00055CB5"/>
    <w:rsid w:val="00055E11"/>
    <w:rsid w:val="0005615A"/>
    <w:rsid w:val="00056D2B"/>
    <w:rsid w:val="00057777"/>
    <w:rsid w:val="00057DF3"/>
    <w:rsid w:val="000604CB"/>
    <w:rsid w:val="000606B6"/>
    <w:rsid w:val="000615FB"/>
    <w:rsid w:val="00061A4F"/>
    <w:rsid w:val="000620D5"/>
    <w:rsid w:val="00062535"/>
    <w:rsid w:val="00062571"/>
    <w:rsid w:val="00062647"/>
    <w:rsid w:val="0006269F"/>
    <w:rsid w:val="00062D95"/>
    <w:rsid w:val="00062FFE"/>
    <w:rsid w:val="000648DA"/>
    <w:rsid w:val="000659C6"/>
    <w:rsid w:val="000659DC"/>
    <w:rsid w:val="00065E09"/>
    <w:rsid w:val="00066C61"/>
    <w:rsid w:val="000678DA"/>
    <w:rsid w:val="000707EF"/>
    <w:rsid w:val="00070C52"/>
    <w:rsid w:val="00071829"/>
    <w:rsid w:val="00071998"/>
    <w:rsid w:val="00071A0B"/>
    <w:rsid w:val="00071D35"/>
    <w:rsid w:val="0007444E"/>
    <w:rsid w:val="00074BC5"/>
    <w:rsid w:val="00074E49"/>
    <w:rsid w:val="00075008"/>
    <w:rsid w:val="000753C4"/>
    <w:rsid w:val="0007632D"/>
    <w:rsid w:val="00077086"/>
    <w:rsid w:val="0007779D"/>
    <w:rsid w:val="00080A0E"/>
    <w:rsid w:val="00080C2E"/>
    <w:rsid w:val="00081CAA"/>
    <w:rsid w:val="00082146"/>
    <w:rsid w:val="0008216B"/>
    <w:rsid w:val="00082D31"/>
    <w:rsid w:val="00083020"/>
    <w:rsid w:val="000839D4"/>
    <w:rsid w:val="00083A7E"/>
    <w:rsid w:val="00085174"/>
    <w:rsid w:val="00085F46"/>
    <w:rsid w:val="000864D5"/>
    <w:rsid w:val="00086587"/>
    <w:rsid w:val="000865BD"/>
    <w:rsid w:val="0008685F"/>
    <w:rsid w:val="00086FB6"/>
    <w:rsid w:val="000870F0"/>
    <w:rsid w:val="000876A5"/>
    <w:rsid w:val="00087AB2"/>
    <w:rsid w:val="00090726"/>
    <w:rsid w:val="00091B15"/>
    <w:rsid w:val="00091F30"/>
    <w:rsid w:val="000925BF"/>
    <w:rsid w:val="00092E98"/>
    <w:rsid w:val="00093918"/>
    <w:rsid w:val="000939F5"/>
    <w:rsid w:val="00093AC7"/>
    <w:rsid w:val="0009410F"/>
    <w:rsid w:val="00094713"/>
    <w:rsid w:val="00097035"/>
    <w:rsid w:val="00097497"/>
    <w:rsid w:val="00097FEF"/>
    <w:rsid w:val="000A0553"/>
    <w:rsid w:val="000A1000"/>
    <w:rsid w:val="000A1CF4"/>
    <w:rsid w:val="000A2901"/>
    <w:rsid w:val="000A34C8"/>
    <w:rsid w:val="000A3A5A"/>
    <w:rsid w:val="000A3CBC"/>
    <w:rsid w:val="000A4163"/>
    <w:rsid w:val="000A44FF"/>
    <w:rsid w:val="000A5314"/>
    <w:rsid w:val="000A53BE"/>
    <w:rsid w:val="000A5462"/>
    <w:rsid w:val="000A5A9B"/>
    <w:rsid w:val="000A5E79"/>
    <w:rsid w:val="000A5FC5"/>
    <w:rsid w:val="000A6462"/>
    <w:rsid w:val="000A6DE7"/>
    <w:rsid w:val="000B0043"/>
    <w:rsid w:val="000B069A"/>
    <w:rsid w:val="000B0797"/>
    <w:rsid w:val="000B0916"/>
    <w:rsid w:val="000B0D08"/>
    <w:rsid w:val="000B0EEE"/>
    <w:rsid w:val="000B14DC"/>
    <w:rsid w:val="000B1CA1"/>
    <w:rsid w:val="000B2139"/>
    <w:rsid w:val="000B2256"/>
    <w:rsid w:val="000B257E"/>
    <w:rsid w:val="000B2737"/>
    <w:rsid w:val="000B38C2"/>
    <w:rsid w:val="000B3AA3"/>
    <w:rsid w:val="000B3E52"/>
    <w:rsid w:val="000B4250"/>
    <w:rsid w:val="000B4A15"/>
    <w:rsid w:val="000B4E2D"/>
    <w:rsid w:val="000B4F41"/>
    <w:rsid w:val="000B5140"/>
    <w:rsid w:val="000B6368"/>
    <w:rsid w:val="000B6801"/>
    <w:rsid w:val="000B6CB0"/>
    <w:rsid w:val="000B76E1"/>
    <w:rsid w:val="000C03CB"/>
    <w:rsid w:val="000C0570"/>
    <w:rsid w:val="000C05CC"/>
    <w:rsid w:val="000C087A"/>
    <w:rsid w:val="000C08C0"/>
    <w:rsid w:val="000C099B"/>
    <w:rsid w:val="000C263A"/>
    <w:rsid w:val="000C26DE"/>
    <w:rsid w:val="000C343A"/>
    <w:rsid w:val="000C3D11"/>
    <w:rsid w:val="000C45F2"/>
    <w:rsid w:val="000C4C66"/>
    <w:rsid w:val="000C571A"/>
    <w:rsid w:val="000C58EB"/>
    <w:rsid w:val="000C59C9"/>
    <w:rsid w:val="000C6B3B"/>
    <w:rsid w:val="000D1EEF"/>
    <w:rsid w:val="000D2317"/>
    <w:rsid w:val="000D3638"/>
    <w:rsid w:val="000D37E7"/>
    <w:rsid w:val="000D3804"/>
    <w:rsid w:val="000D4327"/>
    <w:rsid w:val="000D4716"/>
    <w:rsid w:val="000D4A99"/>
    <w:rsid w:val="000D4FC7"/>
    <w:rsid w:val="000D568C"/>
    <w:rsid w:val="000D6256"/>
    <w:rsid w:val="000D668A"/>
    <w:rsid w:val="000D772D"/>
    <w:rsid w:val="000D7CE0"/>
    <w:rsid w:val="000D7E8B"/>
    <w:rsid w:val="000D7F59"/>
    <w:rsid w:val="000E04DF"/>
    <w:rsid w:val="000E0A74"/>
    <w:rsid w:val="000E0C4A"/>
    <w:rsid w:val="000E160B"/>
    <w:rsid w:val="000E1905"/>
    <w:rsid w:val="000E1EEC"/>
    <w:rsid w:val="000E2278"/>
    <w:rsid w:val="000E2C44"/>
    <w:rsid w:val="000E2EF4"/>
    <w:rsid w:val="000E2FC9"/>
    <w:rsid w:val="000E3222"/>
    <w:rsid w:val="000E36DD"/>
    <w:rsid w:val="000E4420"/>
    <w:rsid w:val="000E496A"/>
    <w:rsid w:val="000E572D"/>
    <w:rsid w:val="000E61E8"/>
    <w:rsid w:val="000E62F0"/>
    <w:rsid w:val="000E6E69"/>
    <w:rsid w:val="000E715E"/>
    <w:rsid w:val="000E74D2"/>
    <w:rsid w:val="000E7935"/>
    <w:rsid w:val="000E7AEF"/>
    <w:rsid w:val="000F0EC4"/>
    <w:rsid w:val="000F13A9"/>
    <w:rsid w:val="000F1931"/>
    <w:rsid w:val="000F1A21"/>
    <w:rsid w:val="000F1C2D"/>
    <w:rsid w:val="000F1C71"/>
    <w:rsid w:val="000F2574"/>
    <w:rsid w:val="000F299E"/>
    <w:rsid w:val="000F2ACC"/>
    <w:rsid w:val="000F2B2D"/>
    <w:rsid w:val="000F35F7"/>
    <w:rsid w:val="000F3748"/>
    <w:rsid w:val="000F4660"/>
    <w:rsid w:val="000F48A2"/>
    <w:rsid w:val="000F6853"/>
    <w:rsid w:val="000F70A5"/>
    <w:rsid w:val="000F79A4"/>
    <w:rsid w:val="001008B9"/>
    <w:rsid w:val="00100F72"/>
    <w:rsid w:val="00101505"/>
    <w:rsid w:val="001017E3"/>
    <w:rsid w:val="00101AAC"/>
    <w:rsid w:val="001021BF"/>
    <w:rsid w:val="0010225E"/>
    <w:rsid w:val="001027DF"/>
    <w:rsid w:val="00103DF6"/>
    <w:rsid w:val="00103E54"/>
    <w:rsid w:val="0010493C"/>
    <w:rsid w:val="0010544E"/>
    <w:rsid w:val="0010564E"/>
    <w:rsid w:val="001056D9"/>
    <w:rsid w:val="001058DD"/>
    <w:rsid w:val="00107264"/>
    <w:rsid w:val="001072E8"/>
    <w:rsid w:val="0010754B"/>
    <w:rsid w:val="001075CD"/>
    <w:rsid w:val="001109E7"/>
    <w:rsid w:val="00110BA2"/>
    <w:rsid w:val="001124F8"/>
    <w:rsid w:val="0011257E"/>
    <w:rsid w:val="0011264E"/>
    <w:rsid w:val="001126FD"/>
    <w:rsid w:val="001127A0"/>
    <w:rsid w:val="00112BA2"/>
    <w:rsid w:val="00112C2F"/>
    <w:rsid w:val="00113A1C"/>
    <w:rsid w:val="00113D42"/>
    <w:rsid w:val="00114101"/>
    <w:rsid w:val="00114159"/>
    <w:rsid w:val="00114377"/>
    <w:rsid w:val="001144BC"/>
    <w:rsid w:val="0011486E"/>
    <w:rsid w:val="00114D08"/>
    <w:rsid w:val="00114D36"/>
    <w:rsid w:val="00115B32"/>
    <w:rsid w:val="001160E4"/>
    <w:rsid w:val="00116B2B"/>
    <w:rsid w:val="00116B62"/>
    <w:rsid w:val="00116F56"/>
    <w:rsid w:val="0011704D"/>
    <w:rsid w:val="001171D8"/>
    <w:rsid w:val="00120107"/>
    <w:rsid w:val="0012028F"/>
    <w:rsid w:val="0012034C"/>
    <w:rsid w:val="001203B3"/>
    <w:rsid w:val="00120540"/>
    <w:rsid w:val="00120639"/>
    <w:rsid w:val="00120FCF"/>
    <w:rsid w:val="0012104F"/>
    <w:rsid w:val="001211E0"/>
    <w:rsid w:val="00121B7B"/>
    <w:rsid w:val="00121E69"/>
    <w:rsid w:val="00121FCE"/>
    <w:rsid w:val="00122BE7"/>
    <w:rsid w:val="00123E98"/>
    <w:rsid w:val="00124013"/>
    <w:rsid w:val="00124A4B"/>
    <w:rsid w:val="00124BBF"/>
    <w:rsid w:val="001259FB"/>
    <w:rsid w:val="00125A1E"/>
    <w:rsid w:val="00126B10"/>
    <w:rsid w:val="00127ADE"/>
    <w:rsid w:val="00130CCD"/>
    <w:rsid w:val="00130DE9"/>
    <w:rsid w:val="00131877"/>
    <w:rsid w:val="00131E17"/>
    <w:rsid w:val="001320D9"/>
    <w:rsid w:val="00132D0C"/>
    <w:rsid w:val="00132FA3"/>
    <w:rsid w:val="00133F20"/>
    <w:rsid w:val="001347A8"/>
    <w:rsid w:val="00134E65"/>
    <w:rsid w:val="00134ED5"/>
    <w:rsid w:val="001352D3"/>
    <w:rsid w:val="0013614C"/>
    <w:rsid w:val="00136A33"/>
    <w:rsid w:val="0013748A"/>
    <w:rsid w:val="00137614"/>
    <w:rsid w:val="001403C9"/>
    <w:rsid w:val="00141727"/>
    <w:rsid w:val="00141A52"/>
    <w:rsid w:val="00141F6C"/>
    <w:rsid w:val="00141F8A"/>
    <w:rsid w:val="00142AC6"/>
    <w:rsid w:val="00143B1C"/>
    <w:rsid w:val="00143D59"/>
    <w:rsid w:val="00143F35"/>
    <w:rsid w:val="001442D1"/>
    <w:rsid w:val="001444CA"/>
    <w:rsid w:val="0014497B"/>
    <w:rsid w:val="00144A16"/>
    <w:rsid w:val="00145051"/>
    <w:rsid w:val="00146EDD"/>
    <w:rsid w:val="00147B03"/>
    <w:rsid w:val="00147CC6"/>
    <w:rsid w:val="001502E9"/>
    <w:rsid w:val="00150B45"/>
    <w:rsid w:val="00151777"/>
    <w:rsid w:val="0015310F"/>
    <w:rsid w:val="00153808"/>
    <w:rsid w:val="00153B7E"/>
    <w:rsid w:val="001547EF"/>
    <w:rsid w:val="00154CD2"/>
    <w:rsid w:val="001551A3"/>
    <w:rsid w:val="001551FF"/>
    <w:rsid w:val="0015542E"/>
    <w:rsid w:val="00155AC4"/>
    <w:rsid w:val="00156819"/>
    <w:rsid w:val="00156FA2"/>
    <w:rsid w:val="00157205"/>
    <w:rsid w:val="00157654"/>
    <w:rsid w:val="00157C3A"/>
    <w:rsid w:val="001607FC"/>
    <w:rsid w:val="00160B74"/>
    <w:rsid w:val="0016135D"/>
    <w:rsid w:val="001620F5"/>
    <w:rsid w:val="00162755"/>
    <w:rsid w:val="00162850"/>
    <w:rsid w:val="00162CFB"/>
    <w:rsid w:val="00162FA5"/>
    <w:rsid w:val="00163103"/>
    <w:rsid w:val="001632EB"/>
    <w:rsid w:val="001637A7"/>
    <w:rsid w:val="00163B18"/>
    <w:rsid w:val="00164083"/>
    <w:rsid w:val="001643AA"/>
    <w:rsid w:val="001644FC"/>
    <w:rsid w:val="00164937"/>
    <w:rsid w:val="001650FD"/>
    <w:rsid w:val="00165B6A"/>
    <w:rsid w:val="00166351"/>
    <w:rsid w:val="0016639B"/>
    <w:rsid w:val="00167157"/>
    <w:rsid w:val="00167475"/>
    <w:rsid w:val="00167F46"/>
    <w:rsid w:val="001702CF"/>
    <w:rsid w:val="001707A3"/>
    <w:rsid w:val="00170962"/>
    <w:rsid w:val="00170F76"/>
    <w:rsid w:val="001711B6"/>
    <w:rsid w:val="001712EA"/>
    <w:rsid w:val="00171869"/>
    <w:rsid w:val="00172145"/>
    <w:rsid w:val="0017259E"/>
    <w:rsid w:val="001725C6"/>
    <w:rsid w:val="001727C1"/>
    <w:rsid w:val="00172B39"/>
    <w:rsid w:val="00172D23"/>
    <w:rsid w:val="00172EE6"/>
    <w:rsid w:val="001731FF"/>
    <w:rsid w:val="0017437C"/>
    <w:rsid w:val="00174426"/>
    <w:rsid w:val="00174FFC"/>
    <w:rsid w:val="001754D9"/>
    <w:rsid w:val="00175ABA"/>
    <w:rsid w:val="001778C6"/>
    <w:rsid w:val="00177D95"/>
    <w:rsid w:val="00180560"/>
    <w:rsid w:val="00180717"/>
    <w:rsid w:val="00180F40"/>
    <w:rsid w:val="0018185C"/>
    <w:rsid w:val="00181EB5"/>
    <w:rsid w:val="00182385"/>
    <w:rsid w:val="0018262E"/>
    <w:rsid w:val="00182BE6"/>
    <w:rsid w:val="00182C54"/>
    <w:rsid w:val="00183087"/>
    <w:rsid w:val="001832BC"/>
    <w:rsid w:val="00184437"/>
    <w:rsid w:val="001845D1"/>
    <w:rsid w:val="00184878"/>
    <w:rsid w:val="001849CA"/>
    <w:rsid w:val="00184B42"/>
    <w:rsid w:val="00185B2E"/>
    <w:rsid w:val="00185E24"/>
    <w:rsid w:val="00186B76"/>
    <w:rsid w:val="00186C73"/>
    <w:rsid w:val="0018776C"/>
    <w:rsid w:val="00187EB1"/>
    <w:rsid w:val="00191CBC"/>
    <w:rsid w:val="00191CE0"/>
    <w:rsid w:val="00191DB6"/>
    <w:rsid w:val="00192080"/>
    <w:rsid w:val="00192EDF"/>
    <w:rsid w:val="001951DF"/>
    <w:rsid w:val="00195964"/>
    <w:rsid w:val="00196B78"/>
    <w:rsid w:val="00196E5F"/>
    <w:rsid w:val="001970C0"/>
    <w:rsid w:val="00197EBC"/>
    <w:rsid w:val="001A13FA"/>
    <w:rsid w:val="001A165B"/>
    <w:rsid w:val="001A1F8D"/>
    <w:rsid w:val="001A2237"/>
    <w:rsid w:val="001A3503"/>
    <w:rsid w:val="001A3CC5"/>
    <w:rsid w:val="001A59FF"/>
    <w:rsid w:val="001A5B75"/>
    <w:rsid w:val="001A5E35"/>
    <w:rsid w:val="001A6358"/>
    <w:rsid w:val="001A6483"/>
    <w:rsid w:val="001A7C16"/>
    <w:rsid w:val="001B0BD9"/>
    <w:rsid w:val="001B13EC"/>
    <w:rsid w:val="001B1D15"/>
    <w:rsid w:val="001B2621"/>
    <w:rsid w:val="001B2CB9"/>
    <w:rsid w:val="001B364B"/>
    <w:rsid w:val="001B3771"/>
    <w:rsid w:val="001B3FE0"/>
    <w:rsid w:val="001B4ABF"/>
    <w:rsid w:val="001B4CB0"/>
    <w:rsid w:val="001B5797"/>
    <w:rsid w:val="001B66E3"/>
    <w:rsid w:val="001B7B0E"/>
    <w:rsid w:val="001B7D12"/>
    <w:rsid w:val="001B7E0C"/>
    <w:rsid w:val="001B7FA3"/>
    <w:rsid w:val="001C10A6"/>
    <w:rsid w:val="001C14D3"/>
    <w:rsid w:val="001C1858"/>
    <w:rsid w:val="001C1D50"/>
    <w:rsid w:val="001C2513"/>
    <w:rsid w:val="001C2BBB"/>
    <w:rsid w:val="001C4B7F"/>
    <w:rsid w:val="001C4DDC"/>
    <w:rsid w:val="001C52B3"/>
    <w:rsid w:val="001C683B"/>
    <w:rsid w:val="001C700C"/>
    <w:rsid w:val="001C770E"/>
    <w:rsid w:val="001D00D9"/>
    <w:rsid w:val="001D0340"/>
    <w:rsid w:val="001D0987"/>
    <w:rsid w:val="001D1031"/>
    <w:rsid w:val="001D23BA"/>
    <w:rsid w:val="001D3814"/>
    <w:rsid w:val="001D3D00"/>
    <w:rsid w:val="001D4EE8"/>
    <w:rsid w:val="001D4F0E"/>
    <w:rsid w:val="001D51E2"/>
    <w:rsid w:val="001D5FD7"/>
    <w:rsid w:val="001D644D"/>
    <w:rsid w:val="001D6627"/>
    <w:rsid w:val="001D6BE1"/>
    <w:rsid w:val="001D70C3"/>
    <w:rsid w:val="001D7495"/>
    <w:rsid w:val="001D7E6A"/>
    <w:rsid w:val="001E0A2E"/>
    <w:rsid w:val="001E0E60"/>
    <w:rsid w:val="001E1296"/>
    <w:rsid w:val="001E217D"/>
    <w:rsid w:val="001E2432"/>
    <w:rsid w:val="001E360C"/>
    <w:rsid w:val="001E3ED3"/>
    <w:rsid w:val="001E4187"/>
    <w:rsid w:val="001E45EC"/>
    <w:rsid w:val="001E49E4"/>
    <w:rsid w:val="001E53DF"/>
    <w:rsid w:val="001E560A"/>
    <w:rsid w:val="001E631B"/>
    <w:rsid w:val="001F120B"/>
    <w:rsid w:val="001F1FDC"/>
    <w:rsid w:val="001F2AB0"/>
    <w:rsid w:val="001F2EFE"/>
    <w:rsid w:val="001F4972"/>
    <w:rsid w:val="001F4EC2"/>
    <w:rsid w:val="001F52A7"/>
    <w:rsid w:val="001F5B16"/>
    <w:rsid w:val="001F5C7C"/>
    <w:rsid w:val="001F68AF"/>
    <w:rsid w:val="001F6ED1"/>
    <w:rsid w:val="001F7851"/>
    <w:rsid w:val="0020039D"/>
    <w:rsid w:val="00200755"/>
    <w:rsid w:val="002009C3"/>
    <w:rsid w:val="00201201"/>
    <w:rsid w:val="00202396"/>
    <w:rsid w:val="00202D03"/>
    <w:rsid w:val="002035C1"/>
    <w:rsid w:val="00203D8F"/>
    <w:rsid w:val="00204228"/>
    <w:rsid w:val="002044BA"/>
    <w:rsid w:val="002055D6"/>
    <w:rsid w:val="00205D01"/>
    <w:rsid w:val="00205D46"/>
    <w:rsid w:val="00205E02"/>
    <w:rsid w:val="00206BB1"/>
    <w:rsid w:val="002072CB"/>
    <w:rsid w:val="00207A46"/>
    <w:rsid w:val="00210D5B"/>
    <w:rsid w:val="002113D5"/>
    <w:rsid w:val="00211D3F"/>
    <w:rsid w:val="00213191"/>
    <w:rsid w:val="002131B0"/>
    <w:rsid w:val="00213DE5"/>
    <w:rsid w:val="002146F1"/>
    <w:rsid w:val="00215229"/>
    <w:rsid w:val="002155D4"/>
    <w:rsid w:val="002155E2"/>
    <w:rsid w:val="00215802"/>
    <w:rsid w:val="00215AF4"/>
    <w:rsid w:val="00215F07"/>
    <w:rsid w:val="0021634D"/>
    <w:rsid w:val="00216AE4"/>
    <w:rsid w:val="002171AA"/>
    <w:rsid w:val="00217ED6"/>
    <w:rsid w:val="002200DF"/>
    <w:rsid w:val="00220963"/>
    <w:rsid w:val="00220E7D"/>
    <w:rsid w:val="00221B05"/>
    <w:rsid w:val="00223CD0"/>
    <w:rsid w:val="00223CD5"/>
    <w:rsid w:val="0022449C"/>
    <w:rsid w:val="0022451B"/>
    <w:rsid w:val="00224BB8"/>
    <w:rsid w:val="00224F79"/>
    <w:rsid w:val="00225345"/>
    <w:rsid w:val="0022568B"/>
    <w:rsid w:val="00225E56"/>
    <w:rsid w:val="002261C3"/>
    <w:rsid w:val="002263A0"/>
    <w:rsid w:val="002272C6"/>
    <w:rsid w:val="002322B7"/>
    <w:rsid w:val="0023250E"/>
    <w:rsid w:val="002326EB"/>
    <w:rsid w:val="002333DB"/>
    <w:rsid w:val="00233D0D"/>
    <w:rsid w:val="00233F0C"/>
    <w:rsid w:val="00235062"/>
    <w:rsid w:val="002357D1"/>
    <w:rsid w:val="002358BF"/>
    <w:rsid w:val="00236189"/>
    <w:rsid w:val="00236985"/>
    <w:rsid w:val="002377E3"/>
    <w:rsid w:val="0023782C"/>
    <w:rsid w:val="00240461"/>
    <w:rsid w:val="002406D4"/>
    <w:rsid w:val="002406FE"/>
    <w:rsid w:val="00241A8F"/>
    <w:rsid w:val="00241CDE"/>
    <w:rsid w:val="00242796"/>
    <w:rsid w:val="00242888"/>
    <w:rsid w:val="0024339D"/>
    <w:rsid w:val="0024349D"/>
    <w:rsid w:val="002437C0"/>
    <w:rsid w:val="00243DC4"/>
    <w:rsid w:val="00245675"/>
    <w:rsid w:val="0024573D"/>
    <w:rsid w:val="0024581B"/>
    <w:rsid w:val="00245A25"/>
    <w:rsid w:val="002462B0"/>
    <w:rsid w:val="00246897"/>
    <w:rsid w:val="00246D95"/>
    <w:rsid w:val="0025089A"/>
    <w:rsid w:val="00250F89"/>
    <w:rsid w:val="00251169"/>
    <w:rsid w:val="002516D5"/>
    <w:rsid w:val="002540D7"/>
    <w:rsid w:val="00254B13"/>
    <w:rsid w:val="00254CC6"/>
    <w:rsid w:val="00254D90"/>
    <w:rsid w:val="00255BBA"/>
    <w:rsid w:val="00255D66"/>
    <w:rsid w:val="00255DAF"/>
    <w:rsid w:val="00255E9B"/>
    <w:rsid w:val="00256207"/>
    <w:rsid w:val="002563BD"/>
    <w:rsid w:val="00256942"/>
    <w:rsid w:val="002578C3"/>
    <w:rsid w:val="00260774"/>
    <w:rsid w:val="00261D82"/>
    <w:rsid w:val="00261FA8"/>
    <w:rsid w:val="002620BB"/>
    <w:rsid w:val="002627FA"/>
    <w:rsid w:val="00263050"/>
    <w:rsid w:val="002630BC"/>
    <w:rsid w:val="00264146"/>
    <w:rsid w:val="002642DF"/>
    <w:rsid w:val="00264B7A"/>
    <w:rsid w:val="00265449"/>
    <w:rsid w:val="00265820"/>
    <w:rsid w:val="00265AA1"/>
    <w:rsid w:val="00265E37"/>
    <w:rsid w:val="002670A5"/>
    <w:rsid w:val="0026767C"/>
    <w:rsid w:val="002678EA"/>
    <w:rsid w:val="0027035D"/>
    <w:rsid w:val="00270B51"/>
    <w:rsid w:val="0027124E"/>
    <w:rsid w:val="002714FE"/>
    <w:rsid w:val="00271678"/>
    <w:rsid w:val="00271809"/>
    <w:rsid w:val="00272257"/>
    <w:rsid w:val="0027226A"/>
    <w:rsid w:val="0027256A"/>
    <w:rsid w:val="00273A19"/>
    <w:rsid w:val="00274674"/>
    <w:rsid w:val="002746A9"/>
    <w:rsid w:val="002751F8"/>
    <w:rsid w:val="0027629B"/>
    <w:rsid w:val="002763BC"/>
    <w:rsid w:val="00276D99"/>
    <w:rsid w:val="0027778F"/>
    <w:rsid w:val="002779DA"/>
    <w:rsid w:val="00280027"/>
    <w:rsid w:val="00280353"/>
    <w:rsid w:val="002805B0"/>
    <w:rsid w:val="002808EA"/>
    <w:rsid w:val="002809E8"/>
    <w:rsid w:val="00281201"/>
    <w:rsid w:val="00281222"/>
    <w:rsid w:val="00281332"/>
    <w:rsid w:val="00281BFD"/>
    <w:rsid w:val="00283278"/>
    <w:rsid w:val="00284BAF"/>
    <w:rsid w:val="00285011"/>
    <w:rsid w:val="002853AF"/>
    <w:rsid w:val="002858F5"/>
    <w:rsid w:val="00285A0E"/>
    <w:rsid w:val="002862E3"/>
    <w:rsid w:val="002864FB"/>
    <w:rsid w:val="00286793"/>
    <w:rsid w:val="002878B3"/>
    <w:rsid w:val="0028792D"/>
    <w:rsid w:val="00290440"/>
    <w:rsid w:val="00291705"/>
    <w:rsid w:val="00291E1D"/>
    <w:rsid w:val="00292216"/>
    <w:rsid w:val="00292257"/>
    <w:rsid w:val="002922D1"/>
    <w:rsid w:val="00292A8F"/>
    <w:rsid w:val="00292E6E"/>
    <w:rsid w:val="002944B4"/>
    <w:rsid w:val="00294587"/>
    <w:rsid w:val="00294A30"/>
    <w:rsid w:val="00294DEA"/>
    <w:rsid w:val="002965A9"/>
    <w:rsid w:val="002967B4"/>
    <w:rsid w:val="002967C1"/>
    <w:rsid w:val="00296F8B"/>
    <w:rsid w:val="00296F9D"/>
    <w:rsid w:val="00297F81"/>
    <w:rsid w:val="002A09CF"/>
    <w:rsid w:val="002A1121"/>
    <w:rsid w:val="002A1655"/>
    <w:rsid w:val="002A19EE"/>
    <w:rsid w:val="002A1AC3"/>
    <w:rsid w:val="002A1DAA"/>
    <w:rsid w:val="002A268B"/>
    <w:rsid w:val="002A2E81"/>
    <w:rsid w:val="002A3219"/>
    <w:rsid w:val="002A3BB0"/>
    <w:rsid w:val="002A4C4D"/>
    <w:rsid w:val="002A53C3"/>
    <w:rsid w:val="002A7051"/>
    <w:rsid w:val="002A7808"/>
    <w:rsid w:val="002B06F2"/>
    <w:rsid w:val="002B0764"/>
    <w:rsid w:val="002B0978"/>
    <w:rsid w:val="002B11C4"/>
    <w:rsid w:val="002B1340"/>
    <w:rsid w:val="002B173C"/>
    <w:rsid w:val="002B1A5D"/>
    <w:rsid w:val="002B1ED5"/>
    <w:rsid w:val="002B1F87"/>
    <w:rsid w:val="002B2102"/>
    <w:rsid w:val="002B2203"/>
    <w:rsid w:val="002B2EBC"/>
    <w:rsid w:val="002B38F9"/>
    <w:rsid w:val="002B444D"/>
    <w:rsid w:val="002B4676"/>
    <w:rsid w:val="002B481C"/>
    <w:rsid w:val="002B4F2D"/>
    <w:rsid w:val="002B4FA0"/>
    <w:rsid w:val="002B50C5"/>
    <w:rsid w:val="002B5378"/>
    <w:rsid w:val="002B54BD"/>
    <w:rsid w:val="002B5538"/>
    <w:rsid w:val="002B5875"/>
    <w:rsid w:val="002B5A95"/>
    <w:rsid w:val="002B5E38"/>
    <w:rsid w:val="002B5E56"/>
    <w:rsid w:val="002B62C8"/>
    <w:rsid w:val="002B632D"/>
    <w:rsid w:val="002B663E"/>
    <w:rsid w:val="002B6BA6"/>
    <w:rsid w:val="002B7D20"/>
    <w:rsid w:val="002B7E58"/>
    <w:rsid w:val="002B7F1C"/>
    <w:rsid w:val="002B7FBD"/>
    <w:rsid w:val="002C0A68"/>
    <w:rsid w:val="002C1722"/>
    <w:rsid w:val="002C1738"/>
    <w:rsid w:val="002C1F65"/>
    <w:rsid w:val="002C245E"/>
    <w:rsid w:val="002C2EF0"/>
    <w:rsid w:val="002C322E"/>
    <w:rsid w:val="002C344D"/>
    <w:rsid w:val="002C3794"/>
    <w:rsid w:val="002C38F4"/>
    <w:rsid w:val="002C3DE0"/>
    <w:rsid w:val="002C400A"/>
    <w:rsid w:val="002C4D39"/>
    <w:rsid w:val="002C5AF4"/>
    <w:rsid w:val="002C5D74"/>
    <w:rsid w:val="002C6B7F"/>
    <w:rsid w:val="002C6FAD"/>
    <w:rsid w:val="002C7CC8"/>
    <w:rsid w:val="002D01C3"/>
    <w:rsid w:val="002D06A1"/>
    <w:rsid w:val="002D07B5"/>
    <w:rsid w:val="002D089F"/>
    <w:rsid w:val="002D0E30"/>
    <w:rsid w:val="002D18ED"/>
    <w:rsid w:val="002D1FEB"/>
    <w:rsid w:val="002D2DC6"/>
    <w:rsid w:val="002D333D"/>
    <w:rsid w:val="002D33E9"/>
    <w:rsid w:val="002D47F9"/>
    <w:rsid w:val="002D493E"/>
    <w:rsid w:val="002D4A58"/>
    <w:rsid w:val="002D4B02"/>
    <w:rsid w:val="002D4B98"/>
    <w:rsid w:val="002D52D5"/>
    <w:rsid w:val="002D5783"/>
    <w:rsid w:val="002D5ABE"/>
    <w:rsid w:val="002D5FC5"/>
    <w:rsid w:val="002D66E2"/>
    <w:rsid w:val="002D6BC5"/>
    <w:rsid w:val="002D6CBD"/>
    <w:rsid w:val="002D796E"/>
    <w:rsid w:val="002D7A57"/>
    <w:rsid w:val="002D7BF0"/>
    <w:rsid w:val="002D7E12"/>
    <w:rsid w:val="002E1C37"/>
    <w:rsid w:val="002E1FBE"/>
    <w:rsid w:val="002E2011"/>
    <w:rsid w:val="002E27A9"/>
    <w:rsid w:val="002E311E"/>
    <w:rsid w:val="002E3144"/>
    <w:rsid w:val="002E3F42"/>
    <w:rsid w:val="002E5020"/>
    <w:rsid w:val="002E51E6"/>
    <w:rsid w:val="002E528E"/>
    <w:rsid w:val="002E5B36"/>
    <w:rsid w:val="002E6231"/>
    <w:rsid w:val="002E7704"/>
    <w:rsid w:val="002E7B8B"/>
    <w:rsid w:val="002F073D"/>
    <w:rsid w:val="002F09C4"/>
    <w:rsid w:val="002F121A"/>
    <w:rsid w:val="002F1359"/>
    <w:rsid w:val="002F14F4"/>
    <w:rsid w:val="002F1553"/>
    <w:rsid w:val="002F181E"/>
    <w:rsid w:val="002F19DE"/>
    <w:rsid w:val="002F1BD7"/>
    <w:rsid w:val="002F1DAE"/>
    <w:rsid w:val="002F2797"/>
    <w:rsid w:val="002F2998"/>
    <w:rsid w:val="002F2C4A"/>
    <w:rsid w:val="002F2CC8"/>
    <w:rsid w:val="002F3C94"/>
    <w:rsid w:val="002F42FC"/>
    <w:rsid w:val="002F45BC"/>
    <w:rsid w:val="002F45C0"/>
    <w:rsid w:val="002F4A2B"/>
    <w:rsid w:val="002F4CDE"/>
    <w:rsid w:val="002F4EAA"/>
    <w:rsid w:val="002F4F20"/>
    <w:rsid w:val="002F5C6F"/>
    <w:rsid w:val="002F6FB1"/>
    <w:rsid w:val="002F768A"/>
    <w:rsid w:val="002F77D2"/>
    <w:rsid w:val="002F78DF"/>
    <w:rsid w:val="002F7D94"/>
    <w:rsid w:val="00300EC1"/>
    <w:rsid w:val="003012BB"/>
    <w:rsid w:val="00302BEF"/>
    <w:rsid w:val="0030353F"/>
    <w:rsid w:val="003049C7"/>
    <w:rsid w:val="00304FC4"/>
    <w:rsid w:val="00305813"/>
    <w:rsid w:val="00305A88"/>
    <w:rsid w:val="00305B97"/>
    <w:rsid w:val="00305CE1"/>
    <w:rsid w:val="003077F3"/>
    <w:rsid w:val="00307CC3"/>
    <w:rsid w:val="00307D44"/>
    <w:rsid w:val="00310135"/>
    <w:rsid w:val="0031097E"/>
    <w:rsid w:val="00310DC6"/>
    <w:rsid w:val="00311070"/>
    <w:rsid w:val="003110AC"/>
    <w:rsid w:val="00311678"/>
    <w:rsid w:val="00312493"/>
    <w:rsid w:val="00312D11"/>
    <w:rsid w:val="00312DAD"/>
    <w:rsid w:val="00313276"/>
    <w:rsid w:val="0031373D"/>
    <w:rsid w:val="003142B9"/>
    <w:rsid w:val="00314575"/>
    <w:rsid w:val="0031495C"/>
    <w:rsid w:val="00314A09"/>
    <w:rsid w:val="00314B23"/>
    <w:rsid w:val="003155D4"/>
    <w:rsid w:val="00316007"/>
    <w:rsid w:val="00316B9C"/>
    <w:rsid w:val="00316FA0"/>
    <w:rsid w:val="0031776A"/>
    <w:rsid w:val="003177E5"/>
    <w:rsid w:val="003229B0"/>
    <w:rsid w:val="003232D4"/>
    <w:rsid w:val="003232D5"/>
    <w:rsid w:val="003237A6"/>
    <w:rsid w:val="003237F7"/>
    <w:rsid w:val="00324E46"/>
    <w:rsid w:val="0032577E"/>
    <w:rsid w:val="00325BE9"/>
    <w:rsid w:val="00325F04"/>
    <w:rsid w:val="00325F36"/>
    <w:rsid w:val="0032680B"/>
    <w:rsid w:val="00326B82"/>
    <w:rsid w:val="0032743B"/>
    <w:rsid w:val="0032790E"/>
    <w:rsid w:val="00327BB4"/>
    <w:rsid w:val="00327F6F"/>
    <w:rsid w:val="0033012D"/>
    <w:rsid w:val="00330137"/>
    <w:rsid w:val="00330659"/>
    <w:rsid w:val="00330728"/>
    <w:rsid w:val="003310DF"/>
    <w:rsid w:val="00331266"/>
    <w:rsid w:val="003315ED"/>
    <w:rsid w:val="0033346F"/>
    <w:rsid w:val="003335CF"/>
    <w:rsid w:val="003337A3"/>
    <w:rsid w:val="003344CF"/>
    <w:rsid w:val="003347F5"/>
    <w:rsid w:val="00334AD2"/>
    <w:rsid w:val="00334CC2"/>
    <w:rsid w:val="00334E73"/>
    <w:rsid w:val="00335CDC"/>
    <w:rsid w:val="00336996"/>
    <w:rsid w:val="0033775D"/>
    <w:rsid w:val="0033776A"/>
    <w:rsid w:val="00337B37"/>
    <w:rsid w:val="00337F06"/>
    <w:rsid w:val="003411C4"/>
    <w:rsid w:val="003414D1"/>
    <w:rsid w:val="00341510"/>
    <w:rsid w:val="00343371"/>
    <w:rsid w:val="00343430"/>
    <w:rsid w:val="0034663A"/>
    <w:rsid w:val="00346712"/>
    <w:rsid w:val="00347D1C"/>
    <w:rsid w:val="00347D90"/>
    <w:rsid w:val="00350814"/>
    <w:rsid w:val="00351624"/>
    <w:rsid w:val="00352007"/>
    <w:rsid w:val="00352B77"/>
    <w:rsid w:val="0035417E"/>
    <w:rsid w:val="003543B2"/>
    <w:rsid w:val="00354E7A"/>
    <w:rsid w:val="00355B52"/>
    <w:rsid w:val="00355D7E"/>
    <w:rsid w:val="0035712F"/>
    <w:rsid w:val="00357BDB"/>
    <w:rsid w:val="00360EE6"/>
    <w:rsid w:val="00361639"/>
    <w:rsid w:val="00361E91"/>
    <w:rsid w:val="00362715"/>
    <w:rsid w:val="00362A76"/>
    <w:rsid w:val="00363B40"/>
    <w:rsid w:val="00363E67"/>
    <w:rsid w:val="00363E96"/>
    <w:rsid w:val="003658A3"/>
    <w:rsid w:val="00365D3E"/>
    <w:rsid w:val="0036775B"/>
    <w:rsid w:val="003677F5"/>
    <w:rsid w:val="00367B0D"/>
    <w:rsid w:val="00367F44"/>
    <w:rsid w:val="00370084"/>
    <w:rsid w:val="00370432"/>
    <w:rsid w:val="003709B3"/>
    <w:rsid w:val="00370F45"/>
    <w:rsid w:val="0037107C"/>
    <w:rsid w:val="003713FE"/>
    <w:rsid w:val="00371D26"/>
    <w:rsid w:val="00372D7E"/>
    <w:rsid w:val="00373986"/>
    <w:rsid w:val="003739FE"/>
    <w:rsid w:val="00373BB7"/>
    <w:rsid w:val="00373CB9"/>
    <w:rsid w:val="0037457B"/>
    <w:rsid w:val="00374649"/>
    <w:rsid w:val="003748B1"/>
    <w:rsid w:val="00374CD5"/>
    <w:rsid w:val="0037534A"/>
    <w:rsid w:val="00375966"/>
    <w:rsid w:val="0037616E"/>
    <w:rsid w:val="00376195"/>
    <w:rsid w:val="00376DF6"/>
    <w:rsid w:val="0037730A"/>
    <w:rsid w:val="00380335"/>
    <w:rsid w:val="0038077D"/>
    <w:rsid w:val="003808BA"/>
    <w:rsid w:val="00380E82"/>
    <w:rsid w:val="00380EAF"/>
    <w:rsid w:val="00381076"/>
    <w:rsid w:val="00381A16"/>
    <w:rsid w:val="00381BCD"/>
    <w:rsid w:val="00382253"/>
    <w:rsid w:val="0038360D"/>
    <w:rsid w:val="00383820"/>
    <w:rsid w:val="003845C3"/>
    <w:rsid w:val="003849B9"/>
    <w:rsid w:val="00384DEB"/>
    <w:rsid w:val="00385711"/>
    <w:rsid w:val="00385986"/>
    <w:rsid w:val="0038615A"/>
    <w:rsid w:val="00386978"/>
    <w:rsid w:val="00386CC6"/>
    <w:rsid w:val="003874D8"/>
    <w:rsid w:val="00387BC5"/>
    <w:rsid w:val="00390B78"/>
    <w:rsid w:val="003915C7"/>
    <w:rsid w:val="00392CED"/>
    <w:rsid w:val="0039410F"/>
    <w:rsid w:val="00394D00"/>
    <w:rsid w:val="003959B1"/>
    <w:rsid w:val="00395BFE"/>
    <w:rsid w:val="0039641F"/>
    <w:rsid w:val="00396B3A"/>
    <w:rsid w:val="00397C26"/>
    <w:rsid w:val="003A13C5"/>
    <w:rsid w:val="003A17E9"/>
    <w:rsid w:val="003A1DC1"/>
    <w:rsid w:val="003A2681"/>
    <w:rsid w:val="003A2A17"/>
    <w:rsid w:val="003A3943"/>
    <w:rsid w:val="003A3D95"/>
    <w:rsid w:val="003A4132"/>
    <w:rsid w:val="003A5417"/>
    <w:rsid w:val="003A5560"/>
    <w:rsid w:val="003A5DA3"/>
    <w:rsid w:val="003A5DDF"/>
    <w:rsid w:val="003A6677"/>
    <w:rsid w:val="003A6B42"/>
    <w:rsid w:val="003A7B2C"/>
    <w:rsid w:val="003A7C64"/>
    <w:rsid w:val="003A7E6A"/>
    <w:rsid w:val="003B0836"/>
    <w:rsid w:val="003B0B34"/>
    <w:rsid w:val="003B1678"/>
    <w:rsid w:val="003B233F"/>
    <w:rsid w:val="003B243C"/>
    <w:rsid w:val="003B3D0C"/>
    <w:rsid w:val="003B45A2"/>
    <w:rsid w:val="003B4610"/>
    <w:rsid w:val="003B461F"/>
    <w:rsid w:val="003B4FD3"/>
    <w:rsid w:val="003B50E8"/>
    <w:rsid w:val="003B5478"/>
    <w:rsid w:val="003B5AF6"/>
    <w:rsid w:val="003B5CF9"/>
    <w:rsid w:val="003B6280"/>
    <w:rsid w:val="003B63BC"/>
    <w:rsid w:val="003B679A"/>
    <w:rsid w:val="003B6B2D"/>
    <w:rsid w:val="003B7195"/>
    <w:rsid w:val="003B78E7"/>
    <w:rsid w:val="003B7B43"/>
    <w:rsid w:val="003C0828"/>
    <w:rsid w:val="003C090A"/>
    <w:rsid w:val="003C12B4"/>
    <w:rsid w:val="003C162E"/>
    <w:rsid w:val="003C1864"/>
    <w:rsid w:val="003C1CCD"/>
    <w:rsid w:val="003C472D"/>
    <w:rsid w:val="003C4A77"/>
    <w:rsid w:val="003C4F70"/>
    <w:rsid w:val="003C560C"/>
    <w:rsid w:val="003C5B38"/>
    <w:rsid w:val="003C5C05"/>
    <w:rsid w:val="003C61AA"/>
    <w:rsid w:val="003C62F2"/>
    <w:rsid w:val="003C70F1"/>
    <w:rsid w:val="003D0040"/>
    <w:rsid w:val="003D0B72"/>
    <w:rsid w:val="003D1C27"/>
    <w:rsid w:val="003D2D87"/>
    <w:rsid w:val="003D3499"/>
    <w:rsid w:val="003D3698"/>
    <w:rsid w:val="003D382D"/>
    <w:rsid w:val="003D3B9E"/>
    <w:rsid w:val="003D4897"/>
    <w:rsid w:val="003D553C"/>
    <w:rsid w:val="003D57D9"/>
    <w:rsid w:val="003D5CC9"/>
    <w:rsid w:val="003D6924"/>
    <w:rsid w:val="003D694B"/>
    <w:rsid w:val="003D782E"/>
    <w:rsid w:val="003D7A6D"/>
    <w:rsid w:val="003D7FB4"/>
    <w:rsid w:val="003E0361"/>
    <w:rsid w:val="003E0599"/>
    <w:rsid w:val="003E1151"/>
    <w:rsid w:val="003E1952"/>
    <w:rsid w:val="003E200A"/>
    <w:rsid w:val="003E28D3"/>
    <w:rsid w:val="003E28F4"/>
    <w:rsid w:val="003E32CF"/>
    <w:rsid w:val="003E3FFF"/>
    <w:rsid w:val="003E558D"/>
    <w:rsid w:val="003E5801"/>
    <w:rsid w:val="003E5823"/>
    <w:rsid w:val="003E5939"/>
    <w:rsid w:val="003E5EC2"/>
    <w:rsid w:val="003E5EE3"/>
    <w:rsid w:val="003E5FFC"/>
    <w:rsid w:val="003E60E7"/>
    <w:rsid w:val="003E6151"/>
    <w:rsid w:val="003E71A6"/>
    <w:rsid w:val="003E77B1"/>
    <w:rsid w:val="003E79BE"/>
    <w:rsid w:val="003F03C1"/>
    <w:rsid w:val="003F07BD"/>
    <w:rsid w:val="003F0D33"/>
    <w:rsid w:val="003F11E3"/>
    <w:rsid w:val="003F231A"/>
    <w:rsid w:val="003F2671"/>
    <w:rsid w:val="003F2898"/>
    <w:rsid w:val="003F3865"/>
    <w:rsid w:val="003F3937"/>
    <w:rsid w:val="003F3951"/>
    <w:rsid w:val="003F4B4E"/>
    <w:rsid w:val="003F5744"/>
    <w:rsid w:val="003F5EEC"/>
    <w:rsid w:val="003F60FE"/>
    <w:rsid w:val="003F6202"/>
    <w:rsid w:val="003F6271"/>
    <w:rsid w:val="003F62B4"/>
    <w:rsid w:val="003F6D7F"/>
    <w:rsid w:val="003F76AE"/>
    <w:rsid w:val="003F7A27"/>
    <w:rsid w:val="003F7A40"/>
    <w:rsid w:val="00400055"/>
    <w:rsid w:val="004004B0"/>
    <w:rsid w:val="00400601"/>
    <w:rsid w:val="00400B02"/>
    <w:rsid w:val="00401132"/>
    <w:rsid w:val="0040133B"/>
    <w:rsid w:val="004018AF"/>
    <w:rsid w:val="00402611"/>
    <w:rsid w:val="00404ADF"/>
    <w:rsid w:val="00404AF2"/>
    <w:rsid w:val="00404F8E"/>
    <w:rsid w:val="00405136"/>
    <w:rsid w:val="0040519F"/>
    <w:rsid w:val="004069D1"/>
    <w:rsid w:val="00406C5F"/>
    <w:rsid w:val="00406D94"/>
    <w:rsid w:val="00407135"/>
    <w:rsid w:val="004071A6"/>
    <w:rsid w:val="004073CA"/>
    <w:rsid w:val="00407D97"/>
    <w:rsid w:val="00410510"/>
    <w:rsid w:val="00412AD9"/>
    <w:rsid w:val="00413332"/>
    <w:rsid w:val="004134EA"/>
    <w:rsid w:val="00413544"/>
    <w:rsid w:val="00413BBE"/>
    <w:rsid w:val="0041465D"/>
    <w:rsid w:val="00414A02"/>
    <w:rsid w:val="0041588D"/>
    <w:rsid w:val="00415AE3"/>
    <w:rsid w:val="00417631"/>
    <w:rsid w:val="004178BD"/>
    <w:rsid w:val="00420045"/>
    <w:rsid w:val="00420807"/>
    <w:rsid w:val="00420C57"/>
    <w:rsid w:val="0042185F"/>
    <w:rsid w:val="00421888"/>
    <w:rsid w:val="00421C75"/>
    <w:rsid w:val="00421E27"/>
    <w:rsid w:val="004221A0"/>
    <w:rsid w:val="0042245B"/>
    <w:rsid w:val="004228D7"/>
    <w:rsid w:val="00422EF6"/>
    <w:rsid w:val="004235C6"/>
    <w:rsid w:val="00423ADD"/>
    <w:rsid w:val="00423CAC"/>
    <w:rsid w:val="00424345"/>
    <w:rsid w:val="0042454C"/>
    <w:rsid w:val="00425144"/>
    <w:rsid w:val="00425AE8"/>
    <w:rsid w:val="004264A2"/>
    <w:rsid w:val="0042722B"/>
    <w:rsid w:val="00427DF0"/>
    <w:rsid w:val="00427F4F"/>
    <w:rsid w:val="004303DB"/>
    <w:rsid w:val="00430853"/>
    <w:rsid w:val="00430AAF"/>
    <w:rsid w:val="00430BFE"/>
    <w:rsid w:val="0043106A"/>
    <w:rsid w:val="00431099"/>
    <w:rsid w:val="0043160F"/>
    <w:rsid w:val="00431993"/>
    <w:rsid w:val="00432755"/>
    <w:rsid w:val="0043297D"/>
    <w:rsid w:val="00432D26"/>
    <w:rsid w:val="00433D8A"/>
    <w:rsid w:val="0043462B"/>
    <w:rsid w:val="004346D4"/>
    <w:rsid w:val="0043478F"/>
    <w:rsid w:val="00434A9A"/>
    <w:rsid w:val="004359B8"/>
    <w:rsid w:val="00435B4E"/>
    <w:rsid w:val="00435CB0"/>
    <w:rsid w:val="00435CBD"/>
    <w:rsid w:val="00436CC0"/>
    <w:rsid w:val="00436E61"/>
    <w:rsid w:val="0044088C"/>
    <w:rsid w:val="00441785"/>
    <w:rsid w:val="0044194B"/>
    <w:rsid w:val="00442013"/>
    <w:rsid w:val="00442D50"/>
    <w:rsid w:val="00443169"/>
    <w:rsid w:val="0044327F"/>
    <w:rsid w:val="00443E97"/>
    <w:rsid w:val="00443FF3"/>
    <w:rsid w:val="00444D01"/>
    <w:rsid w:val="00444D49"/>
    <w:rsid w:val="00445AE3"/>
    <w:rsid w:val="00446489"/>
    <w:rsid w:val="00446653"/>
    <w:rsid w:val="0044675B"/>
    <w:rsid w:val="00447028"/>
    <w:rsid w:val="004476E3"/>
    <w:rsid w:val="004502EE"/>
    <w:rsid w:val="00450591"/>
    <w:rsid w:val="00450ABF"/>
    <w:rsid w:val="00451CCE"/>
    <w:rsid w:val="004532A4"/>
    <w:rsid w:val="004535BF"/>
    <w:rsid w:val="00453623"/>
    <w:rsid w:val="0045422C"/>
    <w:rsid w:val="0045453D"/>
    <w:rsid w:val="00454638"/>
    <w:rsid w:val="00454776"/>
    <w:rsid w:val="00454F38"/>
    <w:rsid w:val="0045541B"/>
    <w:rsid w:val="00455922"/>
    <w:rsid w:val="00455DE5"/>
    <w:rsid w:val="00456371"/>
    <w:rsid w:val="004573B6"/>
    <w:rsid w:val="0046001D"/>
    <w:rsid w:val="004604EF"/>
    <w:rsid w:val="00461154"/>
    <w:rsid w:val="00461317"/>
    <w:rsid w:val="00461DA3"/>
    <w:rsid w:val="004623DD"/>
    <w:rsid w:val="00462ECD"/>
    <w:rsid w:val="00463A52"/>
    <w:rsid w:val="004648FF"/>
    <w:rsid w:val="00464AF0"/>
    <w:rsid w:val="00465DB7"/>
    <w:rsid w:val="00465F40"/>
    <w:rsid w:val="00466429"/>
    <w:rsid w:val="004674FA"/>
    <w:rsid w:val="004677DE"/>
    <w:rsid w:val="00470854"/>
    <w:rsid w:val="0047145B"/>
    <w:rsid w:val="004715A3"/>
    <w:rsid w:val="004737B0"/>
    <w:rsid w:val="00474131"/>
    <w:rsid w:val="00474BDE"/>
    <w:rsid w:val="0047526E"/>
    <w:rsid w:val="00475395"/>
    <w:rsid w:val="004754F6"/>
    <w:rsid w:val="0047602D"/>
    <w:rsid w:val="0047643B"/>
    <w:rsid w:val="00477237"/>
    <w:rsid w:val="004800D0"/>
    <w:rsid w:val="004803DD"/>
    <w:rsid w:val="00480476"/>
    <w:rsid w:val="004808F3"/>
    <w:rsid w:val="00480B7F"/>
    <w:rsid w:val="0048174D"/>
    <w:rsid w:val="0048188F"/>
    <w:rsid w:val="00481C2A"/>
    <w:rsid w:val="004845C3"/>
    <w:rsid w:val="00484A86"/>
    <w:rsid w:val="00484B13"/>
    <w:rsid w:val="004851A3"/>
    <w:rsid w:val="004867F8"/>
    <w:rsid w:val="00486C30"/>
    <w:rsid w:val="00487267"/>
    <w:rsid w:val="00487DA6"/>
    <w:rsid w:val="00487F23"/>
    <w:rsid w:val="004908AA"/>
    <w:rsid w:val="00490DD5"/>
    <w:rsid w:val="00491215"/>
    <w:rsid w:val="00492392"/>
    <w:rsid w:val="0049262E"/>
    <w:rsid w:val="00492763"/>
    <w:rsid w:val="00492FD5"/>
    <w:rsid w:val="0049347C"/>
    <w:rsid w:val="00493ABC"/>
    <w:rsid w:val="00494C53"/>
    <w:rsid w:val="0049508B"/>
    <w:rsid w:val="00495299"/>
    <w:rsid w:val="00495780"/>
    <w:rsid w:val="00496148"/>
    <w:rsid w:val="00496203"/>
    <w:rsid w:val="00496270"/>
    <w:rsid w:val="00496803"/>
    <w:rsid w:val="00496D79"/>
    <w:rsid w:val="004970E2"/>
    <w:rsid w:val="004972C4"/>
    <w:rsid w:val="00497589"/>
    <w:rsid w:val="00497696"/>
    <w:rsid w:val="00497A83"/>
    <w:rsid w:val="004A009E"/>
    <w:rsid w:val="004A11D0"/>
    <w:rsid w:val="004A16E9"/>
    <w:rsid w:val="004A1E89"/>
    <w:rsid w:val="004A20C3"/>
    <w:rsid w:val="004A223A"/>
    <w:rsid w:val="004A260A"/>
    <w:rsid w:val="004A3116"/>
    <w:rsid w:val="004A432E"/>
    <w:rsid w:val="004A44B2"/>
    <w:rsid w:val="004A4EC1"/>
    <w:rsid w:val="004A5071"/>
    <w:rsid w:val="004A56B0"/>
    <w:rsid w:val="004A5A28"/>
    <w:rsid w:val="004A5B98"/>
    <w:rsid w:val="004A5FEA"/>
    <w:rsid w:val="004A66C1"/>
    <w:rsid w:val="004A6861"/>
    <w:rsid w:val="004A7268"/>
    <w:rsid w:val="004A7CA9"/>
    <w:rsid w:val="004B0705"/>
    <w:rsid w:val="004B091B"/>
    <w:rsid w:val="004B0CAD"/>
    <w:rsid w:val="004B1637"/>
    <w:rsid w:val="004B1997"/>
    <w:rsid w:val="004B24A5"/>
    <w:rsid w:val="004B2DB4"/>
    <w:rsid w:val="004B34D8"/>
    <w:rsid w:val="004B426D"/>
    <w:rsid w:val="004B57B4"/>
    <w:rsid w:val="004B5B94"/>
    <w:rsid w:val="004B5BBA"/>
    <w:rsid w:val="004B744C"/>
    <w:rsid w:val="004B7AA9"/>
    <w:rsid w:val="004C0484"/>
    <w:rsid w:val="004C1176"/>
    <w:rsid w:val="004C17C1"/>
    <w:rsid w:val="004C20CF"/>
    <w:rsid w:val="004C30A4"/>
    <w:rsid w:val="004C3598"/>
    <w:rsid w:val="004C4530"/>
    <w:rsid w:val="004C4812"/>
    <w:rsid w:val="004C5499"/>
    <w:rsid w:val="004C5D7F"/>
    <w:rsid w:val="004C5E98"/>
    <w:rsid w:val="004C6CAC"/>
    <w:rsid w:val="004C6D45"/>
    <w:rsid w:val="004C77EC"/>
    <w:rsid w:val="004D02A1"/>
    <w:rsid w:val="004D2834"/>
    <w:rsid w:val="004D3AC8"/>
    <w:rsid w:val="004D41F3"/>
    <w:rsid w:val="004D4428"/>
    <w:rsid w:val="004D4858"/>
    <w:rsid w:val="004D4CBA"/>
    <w:rsid w:val="004D5272"/>
    <w:rsid w:val="004D52BF"/>
    <w:rsid w:val="004D57A1"/>
    <w:rsid w:val="004D6063"/>
    <w:rsid w:val="004D613C"/>
    <w:rsid w:val="004D7ACB"/>
    <w:rsid w:val="004D7D74"/>
    <w:rsid w:val="004E07B5"/>
    <w:rsid w:val="004E0EDA"/>
    <w:rsid w:val="004E144C"/>
    <w:rsid w:val="004E1685"/>
    <w:rsid w:val="004E214A"/>
    <w:rsid w:val="004E2353"/>
    <w:rsid w:val="004E2F96"/>
    <w:rsid w:val="004E2FAB"/>
    <w:rsid w:val="004E333A"/>
    <w:rsid w:val="004E3583"/>
    <w:rsid w:val="004E4DCD"/>
    <w:rsid w:val="004E506A"/>
    <w:rsid w:val="004E5198"/>
    <w:rsid w:val="004E5A3C"/>
    <w:rsid w:val="004E5B76"/>
    <w:rsid w:val="004E5BD0"/>
    <w:rsid w:val="004E5E87"/>
    <w:rsid w:val="004E649B"/>
    <w:rsid w:val="004E6E68"/>
    <w:rsid w:val="004F01CB"/>
    <w:rsid w:val="004F0AAE"/>
    <w:rsid w:val="004F129A"/>
    <w:rsid w:val="004F138A"/>
    <w:rsid w:val="004F1829"/>
    <w:rsid w:val="004F1D29"/>
    <w:rsid w:val="004F1F46"/>
    <w:rsid w:val="004F2156"/>
    <w:rsid w:val="004F2825"/>
    <w:rsid w:val="004F2B02"/>
    <w:rsid w:val="004F37F8"/>
    <w:rsid w:val="004F4708"/>
    <w:rsid w:val="004F4738"/>
    <w:rsid w:val="004F4C3D"/>
    <w:rsid w:val="004F4F23"/>
    <w:rsid w:val="004F5AD9"/>
    <w:rsid w:val="004F610B"/>
    <w:rsid w:val="004F6134"/>
    <w:rsid w:val="004F74AE"/>
    <w:rsid w:val="004F7639"/>
    <w:rsid w:val="004F7F91"/>
    <w:rsid w:val="0050068D"/>
    <w:rsid w:val="00500773"/>
    <w:rsid w:val="00500963"/>
    <w:rsid w:val="00500F3C"/>
    <w:rsid w:val="005014C3"/>
    <w:rsid w:val="005017D9"/>
    <w:rsid w:val="00501A3B"/>
    <w:rsid w:val="00501A53"/>
    <w:rsid w:val="00501ED1"/>
    <w:rsid w:val="005020BE"/>
    <w:rsid w:val="00502865"/>
    <w:rsid w:val="00503C35"/>
    <w:rsid w:val="00504067"/>
    <w:rsid w:val="00504295"/>
    <w:rsid w:val="00504A6F"/>
    <w:rsid w:val="00504D7B"/>
    <w:rsid w:val="005057D6"/>
    <w:rsid w:val="00505C3E"/>
    <w:rsid w:val="00505C46"/>
    <w:rsid w:val="00505F1F"/>
    <w:rsid w:val="00507D88"/>
    <w:rsid w:val="00507F37"/>
    <w:rsid w:val="00507F7F"/>
    <w:rsid w:val="00510AF1"/>
    <w:rsid w:val="00510E69"/>
    <w:rsid w:val="00511009"/>
    <w:rsid w:val="00511D7B"/>
    <w:rsid w:val="00512331"/>
    <w:rsid w:val="00512614"/>
    <w:rsid w:val="00513817"/>
    <w:rsid w:val="00513E42"/>
    <w:rsid w:val="005149F0"/>
    <w:rsid w:val="0051652B"/>
    <w:rsid w:val="00517285"/>
    <w:rsid w:val="00517462"/>
    <w:rsid w:val="005179A3"/>
    <w:rsid w:val="00517BA6"/>
    <w:rsid w:val="005209E9"/>
    <w:rsid w:val="00521D63"/>
    <w:rsid w:val="00521DAE"/>
    <w:rsid w:val="005220BC"/>
    <w:rsid w:val="00522553"/>
    <w:rsid w:val="00523909"/>
    <w:rsid w:val="005250D9"/>
    <w:rsid w:val="00525D71"/>
    <w:rsid w:val="00525EE6"/>
    <w:rsid w:val="0052643E"/>
    <w:rsid w:val="0052665A"/>
    <w:rsid w:val="0052763B"/>
    <w:rsid w:val="00527972"/>
    <w:rsid w:val="00530453"/>
    <w:rsid w:val="00531195"/>
    <w:rsid w:val="005312A8"/>
    <w:rsid w:val="00531FE8"/>
    <w:rsid w:val="005326D8"/>
    <w:rsid w:val="005326E0"/>
    <w:rsid w:val="00532A52"/>
    <w:rsid w:val="00532F8A"/>
    <w:rsid w:val="005336EC"/>
    <w:rsid w:val="0053384A"/>
    <w:rsid w:val="00533DB8"/>
    <w:rsid w:val="00534AE7"/>
    <w:rsid w:val="00534DF5"/>
    <w:rsid w:val="005357D4"/>
    <w:rsid w:val="00535A30"/>
    <w:rsid w:val="00535E53"/>
    <w:rsid w:val="00536724"/>
    <w:rsid w:val="0053757E"/>
    <w:rsid w:val="0054049A"/>
    <w:rsid w:val="005408E9"/>
    <w:rsid w:val="00541191"/>
    <w:rsid w:val="00542DAA"/>
    <w:rsid w:val="005435F9"/>
    <w:rsid w:val="005440BA"/>
    <w:rsid w:val="0054410E"/>
    <w:rsid w:val="00544149"/>
    <w:rsid w:val="00544AF3"/>
    <w:rsid w:val="00544E57"/>
    <w:rsid w:val="0054524D"/>
    <w:rsid w:val="00545388"/>
    <w:rsid w:val="005456B2"/>
    <w:rsid w:val="00545AC0"/>
    <w:rsid w:val="00545EDA"/>
    <w:rsid w:val="0054613B"/>
    <w:rsid w:val="00546FF1"/>
    <w:rsid w:val="00550063"/>
    <w:rsid w:val="00550E9B"/>
    <w:rsid w:val="00551875"/>
    <w:rsid w:val="00551B04"/>
    <w:rsid w:val="005527F4"/>
    <w:rsid w:val="00552899"/>
    <w:rsid w:val="00552B5C"/>
    <w:rsid w:val="00553351"/>
    <w:rsid w:val="005547D1"/>
    <w:rsid w:val="00554B6D"/>
    <w:rsid w:val="00555122"/>
    <w:rsid w:val="0055514C"/>
    <w:rsid w:val="00555A2C"/>
    <w:rsid w:val="005566E8"/>
    <w:rsid w:val="0055672B"/>
    <w:rsid w:val="00556E54"/>
    <w:rsid w:val="00557014"/>
    <w:rsid w:val="0055713A"/>
    <w:rsid w:val="00557B9E"/>
    <w:rsid w:val="00557C50"/>
    <w:rsid w:val="005604F6"/>
    <w:rsid w:val="0056075B"/>
    <w:rsid w:val="00560761"/>
    <w:rsid w:val="00560A47"/>
    <w:rsid w:val="00560ED1"/>
    <w:rsid w:val="00561CA8"/>
    <w:rsid w:val="00561F83"/>
    <w:rsid w:val="00561F87"/>
    <w:rsid w:val="005621AB"/>
    <w:rsid w:val="00562268"/>
    <w:rsid w:val="00562440"/>
    <w:rsid w:val="00562933"/>
    <w:rsid w:val="00562CB6"/>
    <w:rsid w:val="00563820"/>
    <w:rsid w:val="0056424F"/>
    <w:rsid w:val="00564292"/>
    <w:rsid w:val="00564488"/>
    <w:rsid w:val="00564C10"/>
    <w:rsid w:val="00564C3C"/>
    <w:rsid w:val="005662F4"/>
    <w:rsid w:val="005668E7"/>
    <w:rsid w:val="0056743B"/>
    <w:rsid w:val="00567814"/>
    <w:rsid w:val="00567B94"/>
    <w:rsid w:val="00567F4F"/>
    <w:rsid w:val="0057074F"/>
    <w:rsid w:val="00570923"/>
    <w:rsid w:val="00570EB4"/>
    <w:rsid w:val="00571223"/>
    <w:rsid w:val="00571834"/>
    <w:rsid w:val="0057186F"/>
    <w:rsid w:val="00571E79"/>
    <w:rsid w:val="0057240B"/>
    <w:rsid w:val="00572428"/>
    <w:rsid w:val="005726A8"/>
    <w:rsid w:val="00572A06"/>
    <w:rsid w:val="00572B91"/>
    <w:rsid w:val="00573266"/>
    <w:rsid w:val="00573453"/>
    <w:rsid w:val="00573A89"/>
    <w:rsid w:val="00573ED2"/>
    <w:rsid w:val="00574890"/>
    <w:rsid w:val="00574CA0"/>
    <w:rsid w:val="00574D20"/>
    <w:rsid w:val="005754E5"/>
    <w:rsid w:val="00575882"/>
    <w:rsid w:val="005760A0"/>
    <w:rsid w:val="0057641B"/>
    <w:rsid w:val="00580015"/>
    <w:rsid w:val="0058087B"/>
    <w:rsid w:val="0058129A"/>
    <w:rsid w:val="00581841"/>
    <w:rsid w:val="00581A47"/>
    <w:rsid w:val="00581DF0"/>
    <w:rsid w:val="00582E54"/>
    <w:rsid w:val="0058331C"/>
    <w:rsid w:val="00583A07"/>
    <w:rsid w:val="00583B55"/>
    <w:rsid w:val="005857BD"/>
    <w:rsid w:val="00585EA7"/>
    <w:rsid w:val="0058704F"/>
    <w:rsid w:val="00587C5F"/>
    <w:rsid w:val="00590177"/>
    <w:rsid w:val="0059039C"/>
    <w:rsid w:val="0059080B"/>
    <w:rsid w:val="00590E70"/>
    <w:rsid w:val="005912FE"/>
    <w:rsid w:val="00591AD1"/>
    <w:rsid w:val="00591C3E"/>
    <w:rsid w:val="00591FE9"/>
    <w:rsid w:val="00592346"/>
    <w:rsid w:val="00592451"/>
    <w:rsid w:val="00592488"/>
    <w:rsid w:val="00593015"/>
    <w:rsid w:val="00593757"/>
    <w:rsid w:val="00593C05"/>
    <w:rsid w:val="00594A89"/>
    <w:rsid w:val="00594C0A"/>
    <w:rsid w:val="00594C2B"/>
    <w:rsid w:val="0059570C"/>
    <w:rsid w:val="0059624C"/>
    <w:rsid w:val="00596750"/>
    <w:rsid w:val="00596BF7"/>
    <w:rsid w:val="00596F52"/>
    <w:rsid w:val="0059713C"/>
    <w:rsid w:val="0059742C"/>
    <w:rsid w:val="00597783"/>
    <w:rsid w:val="005978B1"/>
    <w:rsid w:val="00597C8B"/>
    <w:rsid w:val="005A01B9"/>
    <w:rsid w:val="005A0882"/>
    <w:rsid w:val="005A100A"/>
    <w:rsid w:val="005A1B6F"/>
    <w:rsid w:val="005A21D6"/>
    <w:rsid w:val="005A32A9"/>
    <w:rsid w:val="005A33EA"/>
    <w:rsid w:val="005A3C1B"/>
    <w:rsid w:val="005A4C6D"/>
    <w:rsid w:val="005A4F34"/>
    <w:rsid w:val="005A5F1D"/>
    <w:rsid w:val="005A5F69"/>
    <w:rsid w:val="005A65F5"/>
    <w:rsid w:val="005A6B4F"/>
    <w:rsid w:val="005A7241"/>
    <w:rsid w:val="005A7559"/>
    <w:rsid w:val="005A7EF0"/>
    <w:rsid w:val="005B03E0"/>
    <w:rsid w:val="005B17A2"/>
    <w:rsid w:val="005B1F30"/>
    <w:rsid w:val="005B3049"/>
    <w:rsid w:val="005B3618"/>
    <w:rsid w:val="005B3D20"/>
    <w:rsid w:val="005B41CB"/>
    <w:rsid w:val="005B50AC"/>
    <w:rsid w:val="005B50DD"/>
    <w:rsid w:val="005B547C"/>
    <w:rsid w:val="005B57AA"/>
    <w:rsid w:val="005B5962"/>
    <w:rsid w:val="005B6CE3"/>
    <w:rsid w:val="005B7199"/>
    <w:rsid w:val="005B7B55"/>
    <w:rsid w:val="005C0667"/>
    <w:rsid w:val="005C1F69"/>
    <w:rsid w:val="005C24EB"/>
    <w:rsid w:val="005C2A9F"/>
    <w:rsid w:val="005C2D6F"/>
    <w:rsid w:val="005C30B7"/>
    <w:rsid w:val="005C3BF4"/>
    <w:rsid w:val="005C42CA"/>
    <w:rsid w:val="005C42D1"/>
    <w:rsid w:val="005C436E"/>
    <w:rsid w:val="005C4FE1"/>
    <w:rsid w:val="005C504A"/>
    <w:rsid w:val="005C58A8"/>
    <w:rsid w:val="005C5A84"/>
    <w:rsid w:val="005C5ABC"/>
    <w:rsid w:val="005C69DB"/>
    <w:rsid w:val="005C6E3B"/>
    <w:rsid w:val="005C7383"/>
    <w:rsid w:val="005C7581"/>
    <w:rsid w:val="005C7FC6"/>
    <w:rsid w:val="005D06B6"/>
    <w:rsid w:val="005D0C75"/>
    <w:rsid w:val="005D1175"/>
    <w:rsid w:val="005D2285"/>
    <w:rsid w:val="005D2405"/>
    <w:rsid w:val="005D2924"/>
    <w:rsid w:val="005D2DAD"/>
    <w:rsid w:val="005D32E5"/>
    <w:rsid w:val="005D388D"/>
    <w:rsid w:val="005D3AA4"/>
    <w:rsid w:val="005D3C70"/>
    <w:rsid w:val="005D415D"/>
    <w:rsid w:val="005D4314"/>
    <w:rsid w:val="005D4514"/>
    <w:rsid w:val="005D45C1"/>
    <w:rsid w:val="005D4709"/>
    <w:rsid w:val="005D5529"/>
    <w:rsid w:val="005D58FF"/>
    <w:rsid w:val="005D5FC7"/>
    <w:rsid w:val="005D6CB5"/>
    <w:rsid w:val="005D6FCA"/>
    <w:rsid w:val="005D7242"/>
    <w:rsid w:val="005D73D7"/>
    <w:rsid w:val="005E030F"/>
    <w:rsid w:val="005E05E7"/>
    <w:rsid w:val="005E0B44"/>
    <w:rsid w:val="005E2404"/>
    <w:rsid w:val="005E492D"/>
    <w:rsid w:val="005E63A5"/>
    <w:rsid w:val="005E6A6B"/>
    <w:rsid w:val="005E6AB4"/>
    <w:rsid w:val="005E6BE3"/>
    <w:rsid w:val="005E6E88"/>
    <w:rsid w:val="005E73F7"/>
    <w:rsid w:val="005E7971"/>
    <w:rsid w:val="005E7CC9"/>
    <w:rsid w:val="005F0665"/>
    <w:rsid w:val="005F1656"/>
    <w:rsid w:val="005F1EBC"/>
    <w:rsid w:val="005F21A6"/>
    <w:rsid w:val="005F2715"/>
    <w:rsid w:val="005F298F"/>
    <w:rsid w:val="005F3A6C"/>
    <w:rsid w:val="005F492A"/>
    <w:rsid w:val="005F4D85"/>
    <w:rsid w:val="005F5C81"/>
    <w:rsid w:val="005F6514"/>
    <w:rsid w:val="005F666E"/>
    <w:rsid w:val="005F6C3F"/>
    <w:rsid w:val="005F70C2"/>
    <w:rsid w:val="00600AD4"/>
    <w:rsid w:val="00600E02"/>
    <w:rsid w:val="00601605"/>
    <w:rsid w:val="0060177E"/>
    <w:rsid w:val="00601CFB"/>
    <w:rsid w:val="00602BAD"/>
    <w:rsid w:val="00602C9C"/>
    <w:rsid w:val="00602F3E"/>
    <w:rsid w:val="006030C2"/>
    <w:rsid w:val="006030D0"/>
    <w:rsid w:val="00603CC1"/>
    <w:rsid w:val="00603D46"/>
    <w:rsid w:val="00605F00"/>
    <w:rsid w:val="00606597"/>
    <w:rsid w:val="00606F86"/>
    <w:rsid w:val="006104FA"/>
    <w:rsid w:val="00610C08"/>
    <w:rsid w:val="00610DA1"/>
    <w:rsid w:val="00611890"/>
    <w:rsid w:val="0061325B"/>
    <w:rsid w:val="00613F9B"/>
    <w:rsid w:val="00614728"/>
    <w:rsid w:val="00615108"/>
    <w:rsid w:val="00616C8D"/>
    <w:rsid w:val="00616F8F"/>
    <w:rsid w:val="00617783"/>
    <w:rsid w:val="00617C24"/>
    <w:rsid w:val="00617EB4"/>
    <w:rsid w:val="00617F9F"/>
    <w:rsid w:val="00620971"/>
    <w:rsid w:val="00621026"/>
    <w:rsid w:val="006211A4"/>
    <w:rsid w:val="00621C53"/>
    <w:rsid w:val="00621D34"/>
    <w:rsid w:val="00621E7C"/>
    <w:rsid w:val="00622925"/>
    <w:rsid w:val="00623FE4"/>
    <w:rsid w:val="006240F6"/>
    <w:rsid w:val="00624250"/>
    <w:rsid w:val="00624C6B"/>
    <w:rsid w:val="0062554B"/>
    <w:rsid w:val="00626447"/>
    <w:rsid w:val="00627495"/>
    <w:rsid w:val="0062771C"/>
    <w:rsid w:val="00630317"/>
    <w:rsid w:val="0063054C"/>
    <w:rsid w:val="0063062E"/>
    <w:rsid w:val="00630870"/>
    <w:rsid w:val="00630936"/>
    <w:rsid w:val="00630AFC"/>
    <w:rsid w:val="0063183F"/>
    <w:rsid w:val="00631FA8"/>
    <w:rsid w:val="006322B5"/>
    <w:rsid w:val="00632C1B"/>
    <w:rsid w:val="006331FB"/>
    <w:rsid w:val="00633393"/>
    <w:rsid w:val="00633CC0"/>
    <w:rsid w:val="00634E91"/>
    <w:rsid w:val="0063585A"/>
    <w:rsid w:val="006359FB"/>
    <w:rsid w:val="0063668E"/>
    <w:rsid w:val="00636757"/>
    <w:rsid w:val="00636E60"/>
    <w:rsid w:val="00636F84"/>
    <w:rsid w:val="00637544"/>
    <w:rsid w:val="00637659"/>
    <w:rsid w:val="00637BA6"/>
    <w:rsid w:val="00640BFA"/>
    <w:rsid w:val="00641190"/>
    <w:rsid w:val="00641574"/>
    <w:rsid w:val="00641722"/>
    <w:rsid w:val="006418FB"/>
    <w:rsid w:val="0064191A"/>
    <w:rsid w:val="00641E3C"/>
    <w:rsid w:val="00642F95"/>
    <w:rsid w:val="006430F3"/>
    <w:rsid w:val="0064314E"/>
    <w:rsid w:val="00643626"/>
    <w:rsid w:val="00644468"/>
    <w:rsid w:val="0064464E"/>
    <w:rsid w:val="00645036"/>
    <w:rsid w:val="0064535C"/>
    <w:rsid w:val="006457DD"/>
    <w:rsid w:val="00645C1F"/>
    <w:rsid w:val="0064634C"/>
    <w:rsid w:val="006475D4"/>
    <w:rsid w:val="00650073"/>
    <w:rsid w:val="0065052E"/>
    <w:rsid w:val="006519DE"/>
    <w:rsid w:val="00651B9B"/>
    <w:rsid w:val="00652707"/>
    <w:rsid w:val="00652ABA"/>
    <w:rsid w:val="0065359D"/>
    <w:rsid w:val="0065388E"/>
    <w:rsid w:val="00653A10"/>
    <w:rsid w:val="00653BAA"/>
    <w:rsid w:val="00653CA0"/>
    <w:rsid w:val="00653D75"/>
    <w:rsid w:val="0065438E"/>
    <w:rsid w:val="0065477B"/>
    <w:rsid w:val="00654B7E"/>
    <w:rsid w:val="006564E2"/>
    <w:rsid w:val="00656BAA"/>
    <w:rsid w:val="00657286"/>
    <w:rsid w:val="00657A67"/>
    <w:rsid w:val="00657ACD"/>
    <w:rsid w:val="0066063E"/>
    <w:rsid w:val="00661061"/>
    <w:rsid w:val="00661C66"/>
    <w:rsid w:val="0066268E"/>
    <w:rsid w:val="00662699"/>
    <w:rsid w:val="00662930"/>
    <w:rsid w:val="006630F1"/>
    <w:rsid w:val="006632E8"/>
    <w:rsid w:val="00663CC4"/>
    <w:rsid w:val="00663E84"/>
    <w:rsid w:val="00663EEF"/>
    <w:rsid w:val="006648FF"/>
    <w:rsid w:val="00664C51"/>
    <w:rsid w:val="00664EE9"/>
    <w:rsid w:val="0066509E"/>
    <w:rsid w:val="0066597C"/>
    <w:rsid w:val="00666555"/>
    <w:rsid w:val="00667A85"/>
    <w:rsid w:val="00667C11"/>
    <w:rsid w:val="0067031E"/>
    <w:rsid w:val="006709C5"/>
    <w:rsid w:val="00671419"/>
    <w:rsid w:val="00671783"/>
    <w:rsid w:val="0067187C"/>
    <w:rsid w:val="00671A43"/>
    <w:rsid w:val="006729C0"/>
    <w:rsid w:val="00674A38"/>
    <w:rsid w:val="00674FD6"/>
    <w:rsid w:val="0067518E"/>
    <w:rsid w:val="00676A3D"/>
    <w:rsid w:val="00677AC1"/>
    <w:rsid w:val="00677CBB"/>
    <w:rsid w:val="00677FA8"/>
    <w:rsid w:val="00680E50"/>
    <w:rsid w:val="00681267"/>
    <w:rsid w:val="00681A7B"/>
    <w:rsid w:val="00682576"/>
    <w:rsid w:val="00682BC1"/>
    <w:rsid w:val="0068300A"/>
    <w:rsid w:val="006838A3"/>
    <w:rsid w:val="00683D16"/>
    <w:rsid w:val="00683F74"/>
    <w:rsid w:val="006841B6"/>
    <w:rsid w:val="006853C7"/>
    <w:rsid w:val="00685CAB"/>
    <w:rsid w:val="00686313"/>
    <w:rsid w:val="0068643B"/>
    <w:rsid w:val="006906DE"/>
    <w:rsid w:val="006910F3"/>
    <w:rsid w:val="00692478"/>
    <w:rsid w:val="00692571"/>
    <w:rsid w:val="006927F8"/>
    <w:rsid w:val="00693106"/>
    <w:rsid w:val="00693D42"/>
    <w:rsid w:val="00693F1E"/>
    <w:rsid w:val="0069471A"/>
    <w:rsid w:val="00695572"/>
    <w:rsid w:val="0069594C"/>
    <w:rsid w:val="00695984"/>
    <w:rsid w:val="00695D4B"/>
    <w:rsid w:val="00696883"/>
    <w:rsid w:val="00696C8D"/>
    <w:rsid w:val="0069737E"/>
    <w:rsid w:val="0069782A"/>
    <w:rsid w:val="00697B57"/>
    <w:rsid w:val="00697F59"/>
    <w:rsid w:val="006A09C4"/>
    <w:rsid w:val="006A0A30"/>
    <w:rsid w:val="006A0A7B"/>
    <w:rsid w:val="006A0B73"/>
    <w:rsid w:val="006A11BB"/>
    <w:rsid w:val="006A1D13"/>
    <w:rsid w:val="006A2808"/>
    <w:rsid w:val="006A2A86"/>
    <w:rsid w:val="006A2D20"/>
    <w:rsid w:val="006A3609"/>
    <w:rsid w:val="006A4CA9"/>
    <w:rsid w:val="006A568D"/>
    <w:rsid w:val="006A62E0"/>
    <w:rsid w:val="006A6885"/>
    <w:rsid w:val="006A69C4"/>
    <w:rsid w:val="006A794C"/>
    <w:rsid w:val="006A7F42"/>
    <w:rsid w:val="006B015C"/>
    <w:rsid w:val="006B02B1"/>
    <w:rsid w:val="006B3034"/>
    <w:rsid w:val="006B322A"/>
    <w:rsid w:val="006B3379"/>
    <w:rsid w:val="006B373B"/>
    <w:rsid w:val="006B44F9"/>
    <w:rsid w:val="006B4CFC"/>
    <w:rsid w:val="006B4F98"/>
    <w:rsid w:val="006B5309"/>
    <w:rsid w:val="006B5877"/>
    <w:rsid w:val="006B5D0D"/>
    <w:rsid w:val="006B5F16"/>
    <w:rsid w:val="006B7184"/>
    <w:rsid w:val="006B7B2C"/>
    <w:rsid w:val="006C07EF"/>
    <w:rsid w:val="006C0CB5"/>
    <w:rsid w:val="006C1569"/>
    <w:rsid w:val="006C17DC"/>
    <w:rsid w:val="006C1818"/>
    <w:rsid w:val="006C1AC9"/>
    <w:rsid w:val="006C2C30"/>
    <w:rsid w:val="006C3362"/>
    <w:rsid w:val="006C3424"/>
    <w:rsid w:val="006C400E"/>
    <w:rsid w:val="006C47B0"/>
    <w:rsid w:val="006C5B19"/>
    <w:rsid w:val="006C69F3"/>
    <w:rsid w:val="006C6D65"/>
    <w:rsid w:val="006C79C5"/>
    <w:rsid w:val="006C7D4A"/>
    <w:rsid w:val="006D0926"/>
    <w:rsid w:val="006D0B98"/>
    <w:rsid w:val="006D0DDE"/>
    <w:rsid w:val="006D0DE6"/>
    <w:rsid w:val="006D1C32"/>
    <w:rsid w:val="006D2183"/>
    <w:rsid w:val="006D25A0"/>
    <w:rsid w:val="006D25E5"/>
    <w:rsid w:val="006D2CAB"/>
    <w:rsid w:val="006D3247"/>
    <w:rsid w:val="006D3F6D"/>
    <w:rsid w:val="006D44E2"/>
    <w:rsid w:val="006D4531"/>
    <w:rsid w:val="006D48DC"/>
    <w:rsid w:val="006D5343"/>
    <w:rsid w:val="006D58B6"/>
    <w:rsid w:val="006D5F10"/>
    <w:rsid w:val="006D641F"/>
    <w:rsid w:val="006D6587"/>
    <w:rsid w:val="006D65CF"/>
    <w:rsid w:val="006D6800"/>
    <w:rsid w:val="006D6D11"/>
    <w:rsid w:val="006D77DA"/>
    <w:rsid w:val="006D7D35"/>
    <w:rsid w:val="006E041E"/>
    <w:rsid w:val="006E0EED"/>
    <w:rsid w:val="006E126F"/>
    <w:rsid w:val="006E1A72"/>
    <w:rsid w:val="006E1FC7"/>
    <w:rsid w:val="006E20B4"/>
    <w:rsid w:val="006E2C0E"/>
    <w:rsid w:val="006E30FC"/>
    <w:rsid w:val="006E3731"/>
    <w:rsid w:val="006E4504"/>
    <w:rsid w:val="006E4FCA"/>
    <w:rsid w:val="006E53B5"/>
    <w:rsid w:val="006E54C7"/>
    <w:rsid w:val="006E568C"/>
    <w:rsid w:val="006E5814"/>
    <w:rsid w:val="006E58A4"/>
    <w:rsid w:val="006E6E64"/>
    <w:rsid w:val="006E702B"/>
    <w:rsid w:val="006E751A"/>
    <w:rsid w:val="006E7871"/>
    <w:rsid w:val="006E7D11"/>
    <w:rsid w:val="006F06B8"/>
    <w:rsid w:val="006F16BC"/>
    <w:rsid w:val="006F1F9D"/>
    <w:rsid w:val="006F210D"/>
    <w:rsid w:val="006F262B"/>
    <w:rsid w:val="006F3354"/>
    <w:rsid w:val="006F388E"/>
    <w:rsid w:val="006F3CD7"/>
    <w:rsid w:val="006F63E5"/>
    <w:rsid w:val="006F681F"/>
    <w:rsid w:val="006F6E69"/>
    <w:rsid w:val="006F6F30"/>
    <w:rsid w:val="006F6FE6"/>
    <w:rsid w:val="006F7880"/>
    <w:rsid w:val="006F7AD6"/>
    <w:rsid w:val="006F7C77"/>
    <w:rsid w:val="006F7FC1"/>
    <w:rsid w:val="00700C1D"/>
    <w:rsid w:val="0070142E"/>
    <w:rsid w:val="0070171C"/>
    <w:rsid w:val="007017C9"/>
    <w:rsid w:val="0070199B"/>
    <w:rsid w:val="00701A23"/>
    <w:rsid w:val="00703C48"/>
    <w:rsid w:val="00703E1D"/>
    <w:rsid w:val="00704082"/>
    <w:rsid w:val="0070590F"/>
    <w:rsid w:val="00705B98"/>
    <w:rsid w:val="00706B0D"/>
    <w:rsid w:val="00706FAD"/>
    <w:rsid w:val="00706FD6"/>
    <w:rsid w:val="0070716F"/>
    <w:rsid w:val="007076FE"/>
    <w:rsid w:val="007105DC"/>
    <w:rsid w:val="00710643"/>
    <w:rsid w:val="0071134E"/>
    <w:rsid w:val="007126F5"/>
    <w:rsid w:val="007127BB"/>
    <w:rsid w:val="007127E2"/>
    <w:rsid w:val="00712B82"/>
    <w:rsid w:val="00712CCC"/>
    <w:rsid w:val="00713844"/>
    <w:rsid w:val="00713A13"/>
    <w:rsid w:val="00713AE1"/>
    <w:rsid w:val="00714491"/>
    <w:rsid w:val="00715627"/>
    <w:rsid w:val="007156B6"/>
    <w:rsid w:val="00715AE4"/>
    <w:rsid w:val="00716FAD"/>
    <w:rsid w:val="00717131"/>
    <w:rsid w:val="00717997"/>
    <w:rsid w:val="00717E7C"/>
    <w:rsid w:val="00717F11"/>
    <w:rsid w:val="00720C7F"/>
    <w:rsid w:val="00721175"/>
    <w:rsid w:val="00721397"/>
    <w:rsid w:val="00722556"/>
    <w:rsid w:val="00722946"/>
    <w:rsid w:val="00723E49"/>
    <w:rsid w:val="00724082"/>
    <w:rsid w:val="00724D72"/>
    <w:rsid w:val="00724F1B"/>
    <w:rsid w:val="007254F9"/>
    <w:rsid w:val="00727C75"/>
    <w:rsid w:val="00727CB6"/>
    <w:rsid w:val="0073105A"/>
    <w:rsid w:val="0073121F"/>
    <w:rsid w:val="00731F57"/>
    <w:rsid w:val="00732D99"/>
    <w:rsid w:val="00734128"/>
    <w:rsid w:val="007342E2"/>
    <w:rsid w:val="0073494E"/>
    <w:rsid w:val="00734D00"/>
    <w:rsid w:val="00734EF4"/>
    <w:rsid w:val="00735162"/>
    <w:rsid w:val="00735660"/>
    <w:rsid w:val="00735689"/>
    <w:rsid w:val="007359C2"/>
    <w:rsid w:val="00735AAE"/>
    <w:rsid w:val="00737070"/>
    <w:rsid w:val="007375F6"/>
    <w:rsid w:val="007376C4"/>
    <w:rsid w:val="00737EC4"/>
    <w:rsid w:val="00740017"/>
    <w:rsid w:val="00740AD2"/>
    <w:rsid w:val="00740ECC"/>
    <w:rsid w:val="007417FD"/>
    <w:rsid w:val="007428AD"/>
    <w:rsid w:val="007428AF"/>
    <w:rsid w:val="0074460C"/>
    <w:rsid w:val="00744785"/>
    <w:rsid w:val="00744B7D"/>
    <w:rsid w:val="00744C49"/>
    <w:rsid w:val="00744ECC"/>
    <w:rsid w:val="00745230"/>
    <w:rsid w:val="00745A4B"/>
    <w:rsid w:val="00745DB3"/>
    <w:rsid w:val="007468B6"/>
    <w:rsid w:val="00746B85"/>
    <w:rsid w:val="00746EB3"/>
    <w:rsid w:val="00747B57"/>
    <w:rsid w:val="00750EB9"/>
    <w:rsid w:val="0075288C"/>
    <w:rsid w:val="007530FF"/>
    <w:rsid w:val="0075339A"/>
    <w:rsid w:val="00753683"/>
    <w:rsid w:val="00753907"/>
    <w:rsid w:val="00754945"/>
    <w:rsid w:val="00754C4D"/>
    <w:rsid w:val="007550BE"/>
    <w:rsid w:val="00755F79"/>
    <w:rsid w:val="0075665B"/>
    <w:rsid w:val="00756707"/>
    <w:rsid w:val="00756ADB"/>
    <w:rsid w:val="00756F50"/>
    <w:rsid w:val="00757870"/>
    <w:rsid w:val="00757DF5"/>
    <w:rsid w:val="00760628"/>
    <w:rsid w:val="00760657"/>
    <w:rsid w:val="00761C02"/>
    <w:rsid w:val="0076265E"/>
    <w:rsid w:val="0076334E"/>
    <w:rsid w:val="00763A35"/>
    <w:rsid w:val="00763EC6"/>
    <w:rsid w:val="0076401E"/>
    <w:rsid w:val="00764A20"/>
    <w:rsid w:val="00764B5B"/>
    <w:rsid w:val="00764C88"/>
    <w:rsid w:val="00764E5F"/>
    <w:rsid w:val="0076551C"/>
    <w:rsid w:val="0076637C"/>
    <w:rsid w:val="0076767B"/>
    <w:rsid w:val="00767981"/>
    <w:rsid w:val="00767BA2"/>
    <w:rsid w:val="00767E8B"/>
    <w:rsid w:val="00771377"/>
    <w:rsid w:val="00772134"/>
    <w:rsid w:val="007728BE"/>
    <w:rsid w:val="00772A28"/>
    <w:rsid w:val="00772B9F"/>
    <w:rsid w:val="0077327D"/>
    <w:rsid w:val="00773B61"/>
    <w:rsid w:val="007758F4"/>
    <w:rsid w:val="00775B29"/>
    <w:rsid w:val="00776005"/>
    <w:rsid w:val="00776481"/>
    <w:rsid w:val="00776697"/>
    <w:rsid w:val="00776DD9"/>
    <w:rsid w:val="007770A6"/>
    <w:rsid w:val="00777280"/>
    <w:rsid w:val="007776BB"/>
    <w:rsid w:val="00780D58"/>
    <w:rsid w:val="00781933"/>
    <w:rsid w:val="00781B4B"/>
    <w:rsid w:val="00782439"/>
    <w:rsid w:val="00782B26"/>
    <w:rsid w:val="00782CCB"/>
    <w:rsid w:val="007830D2"/>
    <w:rsid w:val="00783306"/>
    <w:rsid w:val="00783313"/>
    <w:rsid w:val="0078346B"/>
    <w:rsid w:val="0078385C"/>
    <w:rsid w:val="0078407A"/>
    <w:rsid w:val="00784A07"/>
    <w:rsid w:val="007851B2"/>
    <w:rsid w:val="00785E27"/>
    <w:rsid w:val="00785E28"/>
    <w:rsid w:val="007860D8"/>
    <w:rsid w:val="00786145"/>
    <w:rsid w:val="00786575"/>
    <w:rsid w:val="00787244"/>
    <w:rsid w:val="007909D4"/>
    <w:rsid w:val="00791A5D"/>
    <w:rsid w:val="00791B94"/>
    <w:rsid w:val="0079202C"/>
    <w:rsid w:val="00792820"/>
    <w:rsid w:val="007931C8"/>
    <w:rsid w:val="00793EF0"/>
    <w:rsid w:val="00793F68"/>
    <w:rsid w:val="007946D7"/>
    <w:rsid w:val="00794E1E"/>
    <w:rsid w:val="00794EF8"/>
    <w:rsid w:val="00795577"/>
    <w:rsid w:val="007A064F"/>
    <w:rsid w:val="007A0DB5"/>
    <w:rsid w:val="007A0E45"/>
    <w:rsid w:val="007A1089"/>
    <w:rsid w:val="007A145E"/>
    <w:rsid w:val="007A1618"/>
    <w:rsid w:val="007A1A99"/>
    <w:rsid w:val="007A1C12"/>
    <w:rsid w:val="007A1CC0"/>
    <w:rsid w:val="007A2B2B"/>
    <w:rsid w:val="007A30A9"/>
    <w:rsid w:val="007A3A87"/>
    <w:rsid w:val="007A3D60"/>
    <w:rsid w:val="007A424E"/>
    <w:rsid w:val="007A5BDB"/>
    <w:rsid w:val="007A6088"/>
    <w:rsid w:val="007A68C3"/>
    <w:rsid w:val="007A728F"/>
    <w:rsid w:val="007A73E6"/>
    <w:rsid w:val="007A75F3"/>
    <w:rsid w:val="007B06C8"/>
    <w:rsid w:val="007B0A16"/>
    <w:rsid w:val="007B206B"/>
    <w:rsid w:val="007B27F5"/>
    <w:rsid w:val="007B2E63"/>
    <w:rsid w:val="007B2EE4"/>
    <w:rsid w:val="007B30A7"/>
    <w:rsid w:val="007B3170"/>
    <w:rsid w:val="007B3255"/>
    <w:rsid w:val="007B3C16"/>
    <w:rsid w:val="007B4981"/>
    <w:rsid w:val="007B5412"/>
    <w:rsid w:val="007B5425"/>
    <w:rsid w:val="007B5C21"/>
    <w:rsid w:val="007B7A83"/>
    <w:rsid w:val="007C07F0"/>
    <w:rsid w:val="007C08A5"/>
    <w:rsid w:val="007C162B"/>
    <w:rsid w:val="007C1C48"/>
    <w:rsid w:val="007C2DB9"/>
    <w:rsid w:val="007C383F"/>
    <w:rsid w:val="007C3849"/>
    <w:rsid w:val="007C3A88"/>
    <w:rsid w:val="007C3C05"/>
    <w:rsid w:val="007C4176"/>
    <w:rsid w:val="007C61EA"/>
    <w:rsid w:val="007C63D8"/>
    <w:rsid w:val="007C6A23"/>
    <w:rsid w:val="007C7E53"/>
    <w:rsid w:val="007D0B58"/>
    <w:rsid w:val="007D1352"/>
    <w:rsid w:val="007D1B02"/>
    <w:rsid w:val="007D1C87"/>
    <w:rsid w:val="007D25CB"/>
    <w:rsid w:val="007D302E"/>
    <w:rsid w:val="007D303A"/>
    <w:rsid w:val="007D371A"/>
    <w:rsid w:val="007D3EB8"/>
    <w:rsid w:val="007D3FA1"/>
    <w:rsid w:val="007D4167"/>
    <w:rsid w:val="007D4841"/>
    <w:rsid w:val="007D681D"/>
    <w:rsid w:val="007D76C5"/>
    <w:rsid w:val="007E0579"/>
    <w:rsid w:val="007E074F"/>
    <w:rsid w:val="007E098F"/>
    <w:rsid w:val="007E11A8"/>
    <w:rsid w:val="007E1307"/>
    <w:rsid w:val="007E139F"/>
    <w:rsid w:val="007E165B"/>
    <w:rsid w:val="007E2B47"/>
    <w:rsid w:val="007E3FAB"/>
    <w:rsid w:val="007E4166"/>
    <w:rsid w:val="007E41C2"/>
    <w:rsid w:val="007E4BC5"/>
    <w:rsid w:val="007E4CFA"/>
    <w:rsid w:val="007E566D"/>
    <w:rsid w:val="007E5B69"/>
    <w:rsid w:val="007E651E"/>
    <w:rsid w:val="007E6C69"/>
    <w:rsid w:val="007E72F1"/>
    <w:rsid w:val="007E7ED0"/>
    <w:rsid w:val="007F1A34"/>
    <w:rsid w:val="007F1C9A"/>
    <w:rsid w:val="007F3251"/>
    <w:rsid w:val="007F3B05"/>
    <w:rsid w:val="007F513A"/>
    <w:rsid w:val="007F52E8"/>
    <w:rsid w:val="007F5B06"/>
    <w:rsid w:val="007F6044"/>
    <w:rsid w:val="007F65DE"/>
    <w:rsid w:val="007F7299"/>
    <w:rsid w:val="007F77CF"/>
    <w:rsid w:val="007F7C93"/>
    <w:rsid w:val="00800181"/>
    <w:rsid w:val="00800B1A"/>
    <w:rsid w:val="008018F3"/>
    <w:rsid w:val="00801E3F"/>
    <w:rsid w:val="008030D0"/>
    <w:rsid w:val="008032E0"/>
    <w:rsid w:val="00803972"/>
    <w:rsid w:val="00804BA5"/>
    <w:rsid w:val="00804DAB"/>
    <w:rsid w:val="00804DC1"/>
    <w:rsid w:val="00805664"/>
    <w:rsid w:val="00805B88"/>
    <w:rsid w:val="00805FB2"/>
    <w:rsid w:val="008064E1"/>
    <w:rsid w:val="00806BD5"/>
    <w:rsid w:val="00807505"/>
    <w:rsid w:val="00807A18"/>
    <w:rsid w:val="00807A71"/>
    <w:rsid w:val="008106B1"/>
    <w:rsid w:val="00810E29"/>
    <w:rsid w:val="00811233"/>
    <w:rsid w:val="00811A39"/>
    <w:rsid w:val="00811C95"/>
    <w:rsid w:val="00812ADB"/>
    <w:rsid w:val="00812F25"/>
    <w:rsid w:val="0081309A"/>
    <w:rsid w:val="00813FA0"/>
    <w:rsid w:val="008140F7"/>
    <w:rsid w:val="00814417"/>
    <w:rsid w:val="008147D1"/>
    <w:rsid w:val="00814AA7"/>
    <w:rsid w:val="008159E2"/>
    <w:rsid w:val="008160B4"/>
    <w:rsid w:val="00817CC2"/>
    <w:rsid w:val="0082035D"/>
    <w:rsid w:val="00820A8C"/>
    <w:rsid w:val="008213CA"/>
    <w:rsid w:val="008214C7"/>
    <w:rsid w:val="008217D3"/>
    <w:rsid w:val="00821ACC"/>
    <w:rsid w:val="00822AC7"/>
    <w:rsid w:val="00822BF5"/>
    <w:rsid w:val="00822E85"/>
    <w:rsid w:val="00823260"/>
    <w:rsid w:val="00823317"/>
    <w:rsid w:val="00824C86"/>
    <w:rsid w:val="00825608"/>
    <w:rsid w:val="0082585B"/>
    <w:rsid w:val="0082627C"/>
    <w:rsid w:val="008268BE"/>
    <w:rsid w:val="00827544"/>
    <w:rsid w:val="008277D4"/>
    <w:rsid w:val="00827CD3"/>
    <w:rsid w:val="00830B42"/>
    <w:rsid w:val="00830BE3"/>
    <w:rsid w:val="00832049"/>
    <w:rsid w:val="0083214B"/>
    <w:rsid w:val="00832945"/>
    <w:rsid w:val="00832D82"/>
    <w:rsid w:val="00832F48"/>
    <w:rsid w:val="00833728"/>
    <w:rsid w:val="00833AD1"/>
    <w:rsid w:val="00837992"/>
    <w:rsid w:val="00837CEF"/>
    <w:rsid w:val="008405A9"/>
    <w:rsid w:val="00840C4B"/>
    <w:rsid w:val="00842ABC"/>
    <w:rsid w:val="00842C3A"/>
    <w:rsid w:val="00842C7E"/>
    <w:rsid w:val="00843410"/>
    <w:rsid w:val="0084356A"/>
    <w:rsid w:val="008436A0"/>
    <w:rsid w:val="00843838"/>
    <w:rsid w:val="00843ACF"/>
    <w:rsid w:val="00843DE7"/>
    <w:rsid w:val="008443C4"/>
    <w:rsid w:val="00844A4E"/>
    <w:rsid w:val="00844CA8"/>
    <w:rsid w:val="0084500D"/>
    <w:rsid w:val="008453FE"/>
    <w:rsid w:val="008460DE"/>
    <w:rsid w:val="00846D8D"/>
    <w:rsid w:val="0085048C"/>
    <w:rsid w:val="00850605"/>
    <w:rsid w:val="0085071C"/>
    <w:rsid w:val="00850B2C"/>
    <w:rsid w:val="00851D82"/>
    <w:rsid w:val="00851E4F"/>
    <w:rsid w:val="008525BA"/>
    <w:rsid w:val="00852FDA"/>
    <w:rsid w:val="00853206"/>
    <w:rsid w:val="00853792"/>
    <w:rsid w:val="0085420D"/>
    <w:rsid w:val="00855BE9"/>
    <w:rsid w:val="00856075"/>
    <w:rsid w:val="00856385"/>
    <w:rsid w:val="0085642A"/>
    <w:rsid w:val="00856D5D"/>
    <w:rsid w:val="0085795A"/>
    <w:rsid w:val="00857D47"/>
    <w:rsid w:val="00860AC5"/>
    <w:rsid w:val="00860EE9"/>
    <w:rsid w:val="0086139F"/>
    <w:rsid w:val="0086175A"/>
    <w:rsid w:val="0086189F"/>
    <w:rsid w:val="0086196C"/>
    <w:rsid w:val="008626B4"/>
    <w:rsid w:val="00862DEA"/>
    <w:rsid w:val="00863027"/>
    <w:rsid w:val="00863342"/>
    <w:rsid w:val="008636FB"/>
    <w:rsid w:val="00863764"/>
    <w:rsid w:val="00863DFA"/>
    <w:rsid w:val="00864A79"/>
    <w:rsid w:val="008651E2"/>
    <w:rsid w:val="00865BFA"/>
    <w:rsid w:val="00866143"/>
    <w:rsid w:val="00866C46"/>
    <w:rsid w:val="00867386"/>
    <w:rsid w:val="008678DE"/>
    <w:rsid w:val="00867A8D"/>
    <w:rsid w:val="00867B0D"/>
    <w:rsid w:val="008700F4"/>
    <w:rsid w:val="008716A0"/>
    <w:rsid w:val="00872D48"/>
    <w:rsid w:val="00872FE9"/>
    <w:rsid w:val="0087525E"/>
    <w:rsid w:val="00875682"/>
    <w:rsid w:val="00876CC1"/>
    <w:rsid w:val="00877212"/>
    <w:rsid w:val="0087769D"/>
    <w:rsid w:val="0088024E"/>
    <w:rsid w:val="008807CF"/>
    <w:rsid w:val="00880818"/>
    <w:rsid w:val="00880CF8"/>
    <w:rsid w:val="00880D33"/>
    <w:rsid w:val="00882078"/>
    <w:rsid w:val="00882949"/>
    <w:rsid w:val="00882CA5"/>
    <w:rsid w:val="00882E87"/>
    <w:rsid w:val="00882F02"/>
    <w:rsid w:val="00883286"/>
    <w:rsid w:val="00883F86"/>
    <w:rsid w:val="00884671"/>
    <w:rsid w:val="00885515"/>
    <w:rsid w:val="00885EC7"/>
    <w:rsid w:val="008862B5"/>
    <w:rsid w:val="00886A4E"/>
    <w:rsid w:val="00886B5D"/>
    <w:rsid w:val="00886D82"/>
    <w:rsid w:val="008907FB"/>
    <w:rsid w:val="00890917"/>
    <w:rsid w:val="00890DCE"/>
    <w:rsid w:val="00890F4D"/>
    <w:rsid w:val="0089143B"/>
    <w:rsid w:val="0089174D"/>
    <w:rsid w:val="00891874"/>
    <w:rsid w:val="00891D2A"/>
    <w:rsid w:val="0089225D"/>
    <w:rsid w:val="008936F7"/>
    <w:rsid w:val="00893924"/>
    <w:rsid w:val="00894367"/>
    <w:rsid w:val="0089464D"/>
    <w:rsid w:val="00894E10"/>
    <w:rsid w:val="00895110"/>
    <w:rsid w:val="00895C01"/>
    <w:rsid w:val="00896636"/>
    <w:rsid w:val="00896AD0"/>
    <w:rsid w:val="008975DC"/>
    <w:rsid w:val="00897A32"/>
    <w:rsid w:val="00897D56"/>
    <w:rsid w:val="008A083E"/>
    <w:rsid w:val="008A0D43"/>
    <w:rsid w:val="008A118F"/>
    <w:rsid w:val="008A157C"/>
    <w:rsid w:val="008A2246"/>
    <w:rsid w:val="008A2392"/>
    <w:rsid w:val="008A2D78"/>
    <w:rsid w:val="008A2F65"/>
    <w:rsid w:val="008A536F"/>
    <w:rsid w:val="008A5867"/>
    <w:rsid w:val="008A5D97"/>
    <w:rsid w:val="008A702B"/>
    <w:rsid w:val="008A7C6F"/>
    <w:rsid w:val="008B05A1"/>
    <w:rsid w:val="008B1AC1"/>
    <w:rsid w:val="008B2CF3"/>
    <w:rsid w:val="008B3194"/>
    <w:rsid w:val="008B347D"/>
    <w:rsid w:val="008B37C1"/>
    <w:rsid w:val="008B44CA"/>
    <w:rsid w:val="008B4D31"/>
    <w:rsid w:val="008B52D9"/>
    <w:rsid w:val="008B574D"/>
    <w:rsid w:val="008B59B2"/>
    <w:rsid w:val="008B6442"/>
    <w:rsid w:val="008B70BE"/>
    <w:rsid w:val="008C1275"/>
    <w:rsid w:val="008C1B61"/>
    <w:rsid w:val="008C204C"/>
    <w:rsid w:val="008C2CB3"/>
    <w:rsid w:val="008C40E7"/>
    <w:rsid w:val="008C44A7"/>
    <w:rsid w:val="008C49ED"/>
    <w:rsid w:val="008C4BAA"/>
    <w:rsid w:val="008C5654"/>
    <w:rsid w:val="008C5EA9"/>
    <w:rsid w:val="008C68A1"/>
    <w:rsid w:val="008C6DA2"/>
    <w:rsid w:val="008D01AF"/>
    <w:rsid w:val="008D0561"/>
    <w:rsid w:val="008D1476"/>
    <w:rsid w:val="008D2585"/>
    <w:rsid w:val="008D2769"/>
    <w:rsid w:val="008D33D6"/>
    <w:rsid w:val="008D36BD"/>
    <w:rsid w:val="008D4E90"/>
    <w:rsid w:val="008D5624"/>
    <w:rsid w:val="008D7A22"/>
    <w:rsid w:val="008D7BCA"/>
    <w:rsid w:val="008E0219"/>
    <w:rsid w:val="008E1048"/>
    <w:rsid w:val="008E1AD4"/>
    <w:rsid w:val="008E1FCB"/>
    <w:rsid w:val="008E2B14"/>
    <w:rsid w:val="008E3044"/>
    <w:rsid w:val="008E30A9"/>
    <w:rsid w:val="008E385F"/>
    <w:rsid w:val="008E3A93"/>
    <w:rsid w:val="008E3F03"/>
    <w:rsid w:val="008E45FD"/>
    <w:rsid w:val="008E4C10"/>
    <w:rsid w:val="008E518F"/>
    <w:rsid w:val="008E681E"/>
    <w:rsid w:val="008E79CC"/>
    <w:rsid w:val="008F07E1"/>
    <w:rsid w:val="008F09D5"/>
    <w:rsid w:val="008F0B27"/>
    <w:rsid w:val="008F1A27"/>
    <w:rsid w:val="008F1D3A"/>
    <w:rsid w:val="008F2958"/>
    <w:rsid w:val="008F29B3"/>
    <w:rsid w:val="008F2A04"/>
    <w:rsid w:val="008F3C33"/>
    <w:rsid w:val="008F42E6"/>
    <w:rsid w:val="008F472C"/>
    <w:rsid w:val="008F505C"/>
    <w:rsid w:val="008F559B"/>
    <w:rsid w:val="008F581C"/>
    <w:rsid w:val="008F6F49"/>
    <w:rsid w:val="008F76A9"/>
    <w:rsid w:val="009000BA"/>
    <w:rsid w:val="00900606"/>
    <w:rsid w:val="009008FC"/>
    <w:rsid w:val="00900B06"/>
    <w:rsid w:val="00901D2D"/>
    <w:rsid w:val="009021E5"/>
    <w:rsid w:val="00902634"/>
    <w:rsid w:val="00902BA9"/>
    <w:rsid w:val="00902DB3"/>
    <w:rsid w:val="00903046"/>
    <w:rsid w:val="009036ED"/>
    <w:rsid w:val="009040BE"/>
    <w:rsid w:val="00904753"/>
    <w:rsid w:val="00904B38"/>
    <w:rsid w:val="00904E19"/>
    <w:rsid w:val="00905A24"/>
    <w:rsid w:val="00905CF2"/>
    <w:rsid w:val="00906679"/>
    <w:rsid w:val="00907DB6"/>
    <w:rsid w:val="00907EF6"/>
    <w:rsid w:val="00910454"/>
    <w:rsid w:val="00910D4F"/>
    <w:rsid w:val="009117B6"/>
    <w:rsid w:val="00911947"/>
    <w:rsid w:val="00911C50"/>
    <w:rsid w:val="0091289A"/>
    <w:rsid w:val="00913162"/>
    <w:rsid w:val="00913569"/>
    <w:rsid w:val="00914108"/>
    <w:rsid w:val="00914AF7"/>
    <w:rsid w:val="00915025"/>
    <w:rsid w:val="0091514C"/>
    <w:rsid w:val="00915665"/>
    <w:rsid w:val="00915B1F"/>
    <w:rsid w:val="0091602F"/>
    <w:rsid w:val="00916143"/>
    <w:rsid w:val="00916C66"/>
    <w:rsid w:val="00917B55"/>
    <w:rsid w:val="00917D2C"/>
    <w:rsid w:val="009205B1"/>
    <w:rsid w:val="00920F65"/>
    <w:rsid w:val="00921254"/>
    <w:rsid w:val="00921E56"/>
    <w:rsid w:val="009223D8"/>
    <w:rsid w:val="00922D8B"/>
    <w:rsid w:val="00922EA7"/>
    <w:rsid w:val="00923010"/>
    <w:rsid w:val="009239C5"/>
    <w:rsid w:val="00924147"/>
    <w:rsid w:val="00925486"/>
    <w:rsid w:val="009258C0"/>
    <w:rsid w:val="00925FAD"/>
    <w:rsid w:val="00926688"/>
    <w:rsid w:val="0092729B"/>
    <w:rsid w:val="00927366"/>
    <w:rsid w:val="009275F3"/>
    <w:rsid w:val="00927CDF"/>
    <w:rsid w:val="00927E10"/>
    <w:rsid w:val="00930CA5"/>
    <w:rsid w:val="009311DC"/>
    <w:rsid w:val="00931466"/>
    <w:rsid w:val="00932CF0"/>
    <w:rsid w:val="00932F1C"/>
    <w:rsid w:val="009332BB"/>
    <w:rsid w:val="00933DC3"/>
    <w:rsid w:val="00933EE2"/>
    <w:rsid w:val="00934968"/>
    <w:rsid w:val="00934FE4"/>
    <w:rsid w:val="009351D5"/>
    <w:rsid w:val="009355DC"/>
    <w:rsid w:val="00935B4D"/>
    <w:rsid w:val="00936FB5"/>
    <w:rsid w:val="00937C62"/>
    <w:rsid w:val="00940531"/>
    <w:rsid w:val="00941383"/>
    <w:rsid w:val="00942332"/>
    <w:rsid w:val="00942D6B"/>
    <w:rsid w:val="009431F3"/>
    <w:rsid w:val="009433DC"/>
    <w:rsid w:val="00944F7C"/>
    <w:rsid w:val="009457B7"/>
    <w:rsid w:val="009460FB"/>
    <w:rsid w:val="009463CD"/>
    <w:rsid w:val="0094682F"/>
    <w:rsid w:val="0094684D"/>
    <w:rsid w:val="0094686E"/>
    <w:rsid w:val="00947A7C"/>
    <w:rsid w:val="0095052C"/>
    <w:rsid w:val="00950C32"/>
    <w:rsid w:val="00951105"/>
    <w:rsid w:val="00951DA3"/>
    <w:rsid w:val="00951F05"/>
    <w:rsid w:val="00952C85"/>
    <w:rsid w:val="0095306A"/>
    <w:rsid w:val="0095323A"/>
    <w:rsid w:val="0095327D"/>
    <w:rsid w:val="0095363B"/>
    <w:rsid w:val="009539CB"/>
    <w:rsid w:val="00953E09"/>
    <w:rsid w:val="00953FA3"/>
    <w:rsid w:val="00954A2D"/>
    <w:rsid w:val="009550FE"/>
    <w:rsid w:val="009557FE"/>
    <w:rsid w:val="00955E95"/>
    <w:rsid w:val="0095626E"/>
    <w:rsid w:val="009576E8"/>
    <w:rsid w:val="00957C97"/>
    <w:rsid w:val="0096005B"/>
    <w:rsid w:val="00960479"/>
    <w:rsid w:val="009605DF"/>
    <w:rsid w:val="00960614"/>
    <w:rsid w:val="009609D3"/>
    <w:rsid w:val="00961ADC"/>
    <w:rsid w:val="00961E88"/>
    <w:rsid w:val="009625F3"/>
    <w:rsid w:val="009625FB"/>
    <w:rsid w:val="00962B38"/>
    <w:rsid w:val="009634DA"/>
    <w:rsid w:val="00963F3F"/>
    <w:rsid w:val="00964696"/>
    <w:rsid w:val="00964A17"/>
    <w:rsid w:val="009653D9"/>
    <w:rsid w:val="00966788"/>
    <w:rsid w:val="00966AF9"/>
    <w:rsid w:val="00966DF7"/>
    <w:rsid w:val="00966E14"/>
    <w:rsid w:val="0096777B"/>
    <w:rsid w:val="009678D6"/>
    <w:rsid w:val="00971A78"/>
    <w:rsid w:val="00971FE7"/>
    <w:rsid w:val="0097203D"/>
    <w:rsid w:val="009720A9"/>
    <w:rsid w:val="0097296A"/>
    <w:rsid w:val="00972A95"/>
    <w:rsid w:val="00972D6F"/>
    <w:rsid w:val="0097354B"/>
    <w:rsid w:val="00974D12"/>
    <w:rsid w:val="00974EBE"/>
    <w:rsid w:val="0097517C"/>
    <w:rsid w:val="00975E73"/>
    <w:rsid w:val="00976190"/>
    <w:rsid w:val="00976C92"/>
    <w:rsid w:val="00977005"/>
    <w:rsid w:val="00977DB1"/>
    <w:rsid w:val="0098030F"/>
    <w:rsid w:val="009807CD"/>
    <w:rsid w:val="0098131E"/>
    <w:rsid w:val="0098169A"/>
    <w:rsid w:val="0098213D"/>
    <w:rsid w:val="00982847"/>
    <w:rsid w:val="009834D1"/>
    <w:rsid w:val="00983A8B"/>
    <w:rsid w:val="009856BD"/>
    <w:rsid w:val="00985F33"/>
    <w:rsid w:val="009866B8"/>
    <w:rsid w:val="0098707D"/>
    <w:rsid w:val="00987429"/>
    <w:rsid w:val="009878A2"/>
    <w:rsid w:val="00987BC7"/>
    <w:rsid w:val="0099057C"/>
    <w:rsid w:val="0099087C"/>
    <w:rsid w:val="00990BA2"/>
    <w:rsid w:val="0099154A"/>
    <w:rsid w:val="00991C75"/>
    <w:rsid w:val="0099399F"/>
    <w:rsid w:val="00995243"/>
    <w:rsid w:val="009969A5"/>
    <w:rsid w:val="00996F31"/>
    <w:rsid w:val="00996FD4"/>
    <w:rsid w:val="00997009"/>
    <w:rsid w:val="009A00A6"/>
    <w:rsid w:val="009A0C24"/>
    <w:rsid w:val="009A2418"/>
    <w:rsid w:val="009A260A"/>
    <w:rsid w:val="009A3095"/>
    <w:rsid w:val="009A32AC"/>
    <w:rsid w:val="009A39F6"/>
    <w:rsid w:val="009A3FDE"/>
    <w:rsid w:val="009A4168"/>
    <w:rsid w:val="009A4BFD"/>
    <w:rsid w:val="009A4FE2"/>
    <w:rsid w:val="009A64ED"/>
    <w:rsid w:val="009A6F09"/>
    <w:rsid w:val="009A7568"/>
    <w:rsid w:val="009A7A90"/>
    <w:rsid w:val="009B177C"/>
    <w:rsid w:val="009B250B"/>
    <w:rsid w:val="009B3A2B"/>
    <w:rsid w:val="009B3BC1"/>
    <w:rsid w:val="009B521A"/>
    <w:rsid w:val="009B6784"/>
    <w:rsid w:val="009B792D"/>
    <w:rsid w:val="009B7C9B"/>
    <w:rsid w:val="009C0685"/>
    <w:rsid w:val="009C1827"/>
    <w:rsid w:val="009C220D"/>
    <w:rsid w:val="009C22B2"/>
    <w:rsid w:val="009C25BD"/>
    <w:rsid w:val="009C28D5"/>
    <w:rsid w:val="009C2EFB"/>
    <w:rsid w:val="009C3B5B"/>
    <w:rsid w:val="009C45A4"/>
    <w:rsid w:val="009C55E6"/>
    <w:rsid w:val="009C5FED"/>
    <w:rsid w:val="009C647E"/>
    <w:rsid w:val="009C6C8B"/>
    <w:rsid w:val="009D01F9"/>
    <w:rsid w:val="009D087F"/>
    <w:rsid w:val="009D09B3"/>
    <w:rsid w:val="009D124C"/>
    <w:rsid w:val="009D1438"/>
    <w:rsid w:val="009D1644"/>
    <w:rsid w:val="009D18B5"/>
    <w:rsid w:val="009D2054"/>
    <w:rsid w:val="009D2730"/>
    <w:rsid w:val="009D301E"/>
    <w:rsid w:val="009D4689"/>
    <w:rsid w:val="009D4721"/>
    <w:rsid w:val="009D4A22"/>
    <w:rsid w:val="009D4F81"/>
    <w:rsid w:val="009D543F"/>
    <w:rsid w:val="009D5519"/>
    <w:rsid w:val="009D5DB1"/>
    <w:rsid w:val="009D62B9"/>
    <w:rsid w:val="009D65D4"/>
    <w:rsid w:val="009D6DD1"/>
    <w:rsid w:val="009D73E2"/>
    <w:rsid w:val="009D7466"/>
    <w:rsid w:val="009D7654"/>
    <w:rsid w:val="009D779D"/>
    <w:rsid w:val="009D78B6"/>
    <w:rsid w:val="009D7A4C"/>
    <w:rsid w:val="009D7EA7"/>
    <w:rsid w:val="009E0518"/>
    <w:rsid w:val="009E2062"/>
    <w:rsid w:val="009E2285"/>
    <w:rsid w:val="009E29D4"/>
    <w:rsid w:val="009E2E4B"/>
    <w:rsid w:val="009E3444"/>
    <w:rsid w:val="009E5768"/>
    <w:rsid w:val="009E634E"/>
    <w:rsid w:val="009F0296"/>
    <w:rsid w:val="009F0E2E"/>
    <w:rsid w:val="009F0FE4"/>
    <w:rsid w:val="009F100A"/>
    <w:rsid w:val="009F111C"/>
    <w:rsid w:val="009F112D"/>
    <w:rsid w:val="009F1C5B"/>
    <w:rsid w:val="009F25BF"/>
    <w:rsid w:val="009F2CBC"/>
    <w:rsid w:val="009F326C"/>
    <w:rsid w:val="009F43F4"/>
    <w:rsid w:val="009F530A"/>
    <w:rsid w:val="009F5B98"/>
    <w:rsid w:val="009F5CDD"/>
    <w:rsid w:val="009F64C6"/>
    <w:rsid w:val="009F705E"/>
    <w:rsid w:val="009F71EC"/>
    <w:rsid w:val="009F7ECA"/>
    <w:rsid w:val="00A005A9"/>
    <w:rsid w:val="00A00CFF"/>
    <w:rsid w:val="00A02EF7"/>
    <w:rsid w:val="00A032E2"/>
    <w:rsid w:val="00A0341A"/>
    <w:rsid w:val="00A03CEF"/>
    <w:rsid w:val="00A03D66"/>
    <w:rsid w:val="00A04288"/>
    <w:rsid w:val="00A04A1C"/>
    <w:rsid w:val="00A04DD8"/>
    <w:rsid w:val="00A055FD"/>
    <w:rsid w:val="00A05AB3"/>
    <w:rsid w:val="00A06010"/>
    <w:rsid w:val="00A06191"/>
    <w:rsid w:val="00A0620A"/>
    <w:rsid w:val="00A06329"/>
    <w:rsid w:val="00A063D6"/>
    <w:rsid w:val="00A0694D"/>
    <w:rsid w:val="00A06B32"/>
    <w:rsid w:val="00A06FE8"/>
    <w:rsid w:val="00A07293"/>
    <w:rsid w:val="00A077ED"/>
    <w:rsid w:val="00A10596"/>
    <w:rsid w:val="00A1072F"/>
    <w:rsid w:val="00A10A2F"/>
    <w:rsid w:val="00A110C5"/>
    <w:rsid w:val="00A1120C"/>
    <w:rsid w:val="00A112E1"/>
    <w:rsid w:val="00A113B2"/>
    <w:rsid w:val="00A11497"/>
    <w:rsid w:val="00A11C5C"/>
    <w:rsid w:val="00A11CD7"/>
    <w:rsid w:val="00A11ECE"/>
    <w:rsid w:val="00A12202"/>
    <w:rsid w:val="00A12DB6"/>
    <w:rsid w:val="00A13197"/>
    <w:rsid w:val="00A14691"/>
    <w:rsid w:val="00A148AB"/>
    <w:rsid w:val="00A1524A"/>
    <w:rsid w:val="00A1612D"/>
    <w:rsid w:val="00A16535"/>
    <w:rsid w:val="00A16991"/>
    <w:rsid w:val="00A17066"/>
    <w:rsid w:val="00A170B3"/>
    <w:rsid w:val="00A172D4"/>
    <w:rsid w:val="00A175AC"/>
    <w:rsid w:val="00A179DC"/>
    <w:rsid w:val="00A17E7B"/>
    <w:rsid w:val="00A20E20"/>
    <w:rsid w:val="00A2117A"/>
    <w:rsid w:val="00A2137A"/>
    <w:rsid w:val="00A21853"/>
    <w:rsid w:val="00A23DEC"/>
    <w:rsid w:val="00A24C1F"/>
    <w:rsid w:val="00A24C63"/>
    <w:rsid w:val="00A253A0"/>
    <w:rsid w:val="00A25992"/>
    <w:rsid w:val="00A25CCB"/>
    <w:rsid w:val="00A26786"/>
    <w:rsid w:val="00A26925"/>
    <w:rsid w:val="00A31538"/>
    <w:rsid w:val="00A31D3C"/>
    <w:rsid w:val="00A31EFB"/>
    <w:rsid w:val="00A31FEC"/>
    <w:rsid w:val="00A327C2"/>
    <w:rsid w:val="00A328FB"/>
    <w:rsid w:val="00A3359A"/>
    <w:rsid w:val="00A33836"/>
    <w:rsid w:val="00A342EB"/>
    <w:rsid w:val="00A346B4"/>
    <w:rsid w:val="00A35635"/>
    <w:rsid w:val="00A358C6"/>
    <w:rsid w:val="00A361C8"/>
    <w:rsid w:val="00A3681F"/>
    <w:rsid w:val="00A36FE6"/>
    <w:rsid w:val="00A37407"/>
    <w:rsid w:val="00A37AAE"/>
    <w:rsid w:val="00A37DD0"/>
    <w:rsid w:val="00A40292"/>
    <w:rsid w:val="00A40CF7"/>
    <w:rsid w:val="00A41276"/>
    <w:rsid w:val="00A412A0"/>
    <w:rsid w:val="00A419C0"/>
    <w:rsid w:val="00A41DCD"/>
    <w:rsid w:val="00A42E98"/>
    <w:rsid w:val="00A42EB9"/>
    <w:rsid w:val="00A4509E"/>
    <w:rsid w:val="00A452C6"/>
    <w:rsid w:val="00A455D1"/>
    <w:rsid w:val="00A45666"/>
    <w:rsid w:val="00A45C5D"/>
    <w:rsid w:val="00A461CF"/>
    <w:rsid w:val="00A46C4C"/>
    <w:rsid w:val="00A46C68"/>
    <w:rsid w:val="00A4706C"/>
    <w:rsid w:val="00A472A9"/>
    <w:rsid w:val="00A47C3D"/>
    <w:rsid w:val="00A47F9D"/>
    <w:rsid w:val="00A500C3"/>
    <w:rsid w:val="00A50176"/>
    <w:rsid w:val="00A50404"/>
    <w:rsid w:val="00A516F0"/>
    <w:rsid w:val="00A51DBB"/>
    <w:rsid w:val="00A521A6"/>
    <w:rsid w:val="00A52DC7"/>
    <w:rsid w:val="00A532C8"/>
    <w:rsid w:val="00A542E8"/>
    <w:rsid w:val="00A562C3"/>
    <w:rsid w:val="00A562DA"/>
    <w:rsid w:val="00A56D41"/>
    <w:rsid w:val="00A57A84"/>
    <w:rsid w:val="00A57D20"/>
    <w:rsid w:val="00A57F33"/>
    <w:rsid w:val="00A61366"/>
    <w:rsid w:val="00A61897"/>
    <w:rsid w:val="00A621F1"/>
    <w:rsid w:val="00A62367"/>
    <w:rsid w:val="00A6261E"/>
    <w:rsid w:val="00A627CB"/>
    <w:rsid w:val="00A62A4B"/>
    <w:rsid w:val="00A63019"/>
    <w:rsid w:val="00A6336A"/>
    <w:rsid w:val="00A635D1"/>
    <w:rsid w:val="00A63955"/>
    <w:rsid w:val="00A63FEA"/>
    <w:rsid w:val="00A644C5"/>
    <w:rsid w:val="00A64807"/>
    <w:rsid w:val="00A64EFE"/>
    <w:rsid w:val="00A64FF4"/>
    <w:rsid w:val="00A65561"/>
    <w:rsid w:val="00A65761"/>
    <w:rsid w:val="00A65777"/>
    <w:rsid w:val="00A66762"/>
    <w:rsid w:val="00A6686F"/>
    <w:rsid w:val="00A669AE"/>
    <w:rsid w:val="00A673A2"/>
    <w:rsid w:val="00A679DB"/>
    <w:rsid w:val="00A714A0"/>
    <w:rsid w:val="00A724B4"/>
    <w:rsid w:val="00A72A21"/>
    <w:rsid w:val="00A72E46"/>
    <w:rsid w:val="00A734BB"/>
    <w:rsid w:val="00A7461A"/>
    <w:rsid w:val="00A74806"/>
    <w:rsid w:val="00A75410"/>
    <w:rsid w:val="00A754AE"/>
    <w:rsid w:val="00A75576"/>
    <w:rsid w:val="00A766E2"/>
    <w:rsid w:val="00A76C7B"/>
    <w:rsid w:val="00A76EB2"/>
    <w:rsid w:val="00A77A14"/>
    <w:rsid w:val="00A77F29"/>
    <w:rsid w:val="00A80972"/>
    <w:rsid w:val="00A80FE0"/>
    <w:rsid w:val="00A81B55"/>
    <w:rsid w:val="00A81BAE"/>
    <w:rsid w:val="00A81BDD"/>
    <w:rsid w:val="00A81C62"/>
    <w:rsid w:val="00A81E0B"/>
    <w:rsid w:val="00A82A4D"/>
    <w:rsid w:val="00A82ADC"/>
    <w:rsid w:val="00A83054"/>
    <w:rsid w:val="00A83A8C"/>
    <w:rsid w:val="00A86055"/>
    <w:rsid w:val="00A86065"/>
    <w:rsid w:val="00A877C2"/>
    <w:rsid w:val="00A87967"/>
    <w:rsid w:val="00A87E55"/>
    <w:rsid w:val="00A90136"/>
    <w:rsid w:val="00A90700"/>
    <w:rsid w:val="00A90730"/>
    <w:rsid w:val="00A911FD"/>
    <w:rsid w:val="00A91D15"/>
    <w:rsid w:val="00A9284E"/>
    <w:rsid w:val="00A93694"/>
    <w:rsid w:val="00A94198"/>
    <w:rsid w:val="00A9435D"/>
    <w:rsid w:val="00A9591C"/>
    <w:rsid w:val="00A96DB4"/>
    <w:rsid w:val="00A9757D"/>
    <w:rsid w:val="00A97792"/>
    <w:rsid w:val="00A97A3A"/>
    <w:rsid w:val="00A97CB0"/>
    <w:rsid w:val="00AA0189"/>
    <w:rsid w:val="00AA01C0"/>
    <w:rsid w:val="00AA02AF"/>
    <w:rsid w:val="00AA0558"/>
    <w:rsid w:val="00AA136B"/>
    <w:rsid w:val="00AA1455"/>
    <w:rsid w:val="00AA1A62"/>
    <w:rsid w:val="00AA2555"/>
    <w:rsid w:val="00AA2927"/>
    <w:rsid w:val="00AA2C83"/>
    <w:rsid w:val="00AA2D97"/>
    <w:rsid w:val="00AA384B"/>
    <w:rsid w:val="00AA3A5B"/>
    <w:rsid w:val="00AA5531"/>
    <w:rsid w:val="00AA5718"/>
    <w:rsid w:val="00AA61F3"/>
    <w:rsid w:val="00AA6748"/>
    <w:rsid w:val="00AA6C6B"/>
    <w:rsid w:val="00AA71D0"/>
    <w:rsid w:val="00AA7794"/>
    <w:rsid w:val="00AB03ED"/>
    <w:rsid w:val="00AB1E01"/>
    <w:rsid w:val="00AB2122"/>
    <w:rsid w:val="00AB276C"/>
    <w:rsid w:val="00AB2F2A"/>
    <w:rsid w:val="00AB3103"/>
    <w:rsid w:val="00AB43A8"/>
    <w:rsid w:val="00AB43E2"/>
    <w:rsid w:val="00AB550A"/>
    <w:rsid w:val="00AB67E6"/>
    <w:rsid w:val="00AB6C3F"/>
    <w:rsid w:val="00AB70B8"/>
    <w:rsid w:val="00AC0BBF"/>
    <w:rsid w:val="00AC1653"/>
    <w:rsid w:val="00AC3679"/>
    <w:rsid w:val="00AC4043"/>
    <w:rsid w:val="00AC5C3C"/>
    <w:rsid w:val="00AC5EDC"/>
    <w:rsid w:val="00AC648E"/>
    <w:rsid w:val="00AC6720"/>
    <w:rsid w:val="00AC6B1F"/>
    <w:rsid w:val="00AC790B"/>
    <w:rsid w:val="00AC7CDB"/>
    <w:rsid w:val="00AD0200"/>
    <w:rsid w:val="00AD080A"/>
    <w:rsid w:val="00AD5E74"/>
    <w:rsid w:val="00AD6B6D"/>
    <w:rsid w:val="00AD6D3C"/>
    <w:rsid w:val="00AD6EB0"/>
    <w:rsid w:val="00AD6FCA"/>
    <w:rsid w:val="00AE0048"/>
    <w:rsid w:val="00AE132C"/>
    <w:rsid w:val="00AE188A"/>
    <w:rsid w:val="00AE2FE8"/>
    <w:rsid w:val="00AE31EF"/>
    <w:rsid w:val="00AE35E0"/>
    <w:rsid w:val="00AE367B"/>
    <w:rsid w:val="00AE3844"/>
    <w:rsid w:val="00AE403B"/>
    <w:rsid w:val="00AE427F"/>
    <w:rsid w:val="00AE590B"/>
    <w:rsid w:val="00AE6028"/>
    <w:rsid w:val="00AE6940"/>
    <w:rsid w:val="00AE6F52"/>
    <w:rsid w:val="00AE71C6"/>
    <w:rsid w:val="00AE7594"/>
    <w:rsid w:val="00AE7BCC"/>
    <w:rsid w:val="00AE7E36"/>
    <w:rsid w:val="00AF013A"/>
    <w:rsid w:val="00AF01D4"/>
    <w:rsid w:val="00AF06AC"/>
    <w:rsid w:val="00AF0D5F"/>
    <w:rsid w:val="00AF144F"/>
    <w:rsid w:val="00AF16EA"/>
    <w:rsid w:val="00AF1B5C"/>
    <w:rsid w:val="00AF23F7"/>
    <w:rsid w:val="00AF289E"/>
    <w:rsid w:val="00AF362B"/>
    <w:rsid w:val="00AF48FB"/>
    <w:rsid w:val="00AF4D8A"/>
    <w:rsid w:val="00AF4E3D"/>
    <w:rsid w:val="00AF632C"/>
    <w:rsid w:val="00AF63D9"/>
    <w:rsid w:val="00AF664F"/>
    <w:rsid w:val="00AF67B4"/>
    <w:rsid w:val="00AF6A66"/>
    <w:rsid w:val="00AF7CF7"/>
    <w:rsid w:val="00B00508"/>
    <w:rsid w:val="00B01227"/>
    <w:rsid w:val="00B01DE5"/>
    <w:rsid w:val="00B01F2A"/>
    <w:rsid w:val="00B02089"/>
    <w:rsid w:val="00B022E9"/>
    <w:rsid w:val="00B0273B"/>
    <w:rsid w:val="00B0278C"/>
    <w:rsid w:val="00B02F22"/>
    <w:rsid w:val="00B03CE7"/>
    <w:rsid w:val="00B040CF"/>
    <w:rsid w:val="00B04803"/>
    <w:rsid w:val="00B054A9"/>
    <w:rsid w:val="00B059B9"/>
    <w:rsid w:val="00B06098"/>
    <w:rsid w:val="00B06EF1"/>
    <w:rsid w:val="00B07F95"/>
    <w:rsid w:val="00B100A0"/>
    <w:rsid w:val="00B10384"/>
    <w:rsid w:val="00B10844"/>
    <w:rsid w:val="00B108D1"/>
    <w:rsid w:val="00B10F80"/>
    <w:rsid w:val="00B11080"/>
    <w:rsid w:val="00B1124D"/>
    <w:rsid w:val="00B114C2"/>
    <w:rsid w:val="00B116BC"/>
    <w:rsid w:val="00B11CB3"/>
    <w:rsid w:val="00B14049"/>
    <w:rsid w:val="00B14871"/>
    <w:rsid w:val="00B15406"/>
    <w:rsid w:val="00B16C90"/>
    <w:rsid w:val="00B1714D"/>
    <w:rsid w:val="00B20153"/>
    <w:rsid w:val="00B2185F"/>
    <w:rsid w:val="00B21EAC"/>
    <w:rsid w:val="00B2228A"/>
    <w:rsid w:val="00B2243F"/>
    <w:rsid w:val="00B22F31"/>
    <w:rsid w:val="00B23052"/>
    <w:rsid w:val="00B233BB"/>
    <w:rsid w:val="00B23C12"/>
    <w:rsid w:val="00B24133"/>
    <w:rsid w:val="00B248EB"/>
    <w:rsid w:val="00B2498D"/>
    <w:rsid w:val="00B24FDA"/>
    <w:rsid w:val="00B25361"/>
    <w:rsid w:val="00B253E4"/>
    <w:rsid w:val="00B25950"/>
    <w:rsid w:val="00B259B1"/>
    <w:rsid w:val="00B30CD3"/>
    <w:rsid w:val="00B315BF"/>
    <w:rsid w:val="00B31C2B"/>
    <w:rsid w:val="00B323BC"/>
    <w:rsid w:val="00B328A3"/>
    <w:rsid w:val="00B32E2A"/>
    <w:rsid w:val="00B333D3"/>
    <w:rsid w:val="00B33475"/>
    <w:rsid w:val="00B35FE6"/>
    <w:rsid w:val="00B366C4"/>
    <w:rsid w:val="00B367FA"/>
    <w:rsid w:val="00B37439"/>
    <w:rsid w:val="00B37C79"/>
    <w:rsid w:val="00B37F04"/>
    <w:rsid w:val="00B40C74"/>
    <w:rsid w:val="00B41811"/>
    <w:rsid w:val="00B41835"/>
    <w:rsid w:val="00B41CF4"/>
    <w:rsid w:val="00B42705"/>
    <w:rsid w:val="00B4299A"/>
    <w:rsid w:val="00B431B7"/>
    <w:rsid w:val="00B44EDF"/>
    <w:rsid w:val="00B45372"/>
    <w:rsid w:val="00B46AB6"/>
    <w:rsid w:val="00B479EC"/>
    <w:rsid w:val="00B47C4E"/>
    <w:rsid w:val="00B50572"/>
    <w:rsid w:val="00B50EF9"/>
    <w:rsid w:val="00B50F49"/>
    <w:rsid w:val="00B517F9"/>
    <w:rsid w:val="00B51FFB"/>
    <w:rsid w:val="00B52252"/>
    <w:rsid w:val="00B52280"/>
    <w:rsid w:val="00B52D4B"/>
    <w:rsid w:val="00B53320"/>
    <w:rsid w:val="00B5385D"/>
    <w:rsid w:val="00B54145"/>
    <w:rsid w:val="00B543C6"/>
    <w:rsid w:val="00B54D64"/>
    <w:rsid w:val="00B55941"/>
    <w:rsid w:val="00B56974"/>
    <w:rsid w:val="00B57133"/>
    <w:rsid w:val="00B57A97"/>
    <w:rsid w:val="00B57AC5"/>
    <w:rsid w:val="00B57F5F"/>
    <w:rsid w:val="00B61C66"/>
    <w:rsid w:val="00B62134"/>
    <w:rsid w:val="00B628EA"/>
    <w:rsid w:val="00B62E21"/>
    <w:rsid w:val="00B6343F"/>
    <w:rsid w:val="00B63E2A"/>
    <w:rsid w:val="00B63F82"/>
    <w:rsid w:val="00B6456B"/>
    <w:rsid w:val="00B647D7"/>
    <w:rsid w:val="00B64CC4"/>
    <w:rsid w:val="00B64F47"/>
    <w:rsid w:val="00B65A65"/>
    <w:rsid w:val="00B66365"/>
    <w:rsid w:val="00B6678A"/>
    <w:rsid w:val="00B66D45"/>
    <w:rsid w:val="00B66F47"/>
    <w:rsid w:val="00B671FF"/>
    <w:rsid w:val="00B67690"/>
    <w:rsid w:val="00B67700"/>
    <w:rsid w:val="00B67BA2"/>
    <w:rsid w:val="00B70140"/>
    <w:rsid w:val="00B701D5"/>
    <w:rsid w:val="00B74D43"/>
    <w:rsid w:val="00B751D4"/>
    <w:rsid w:val="00B7536F"/>
    <w:rsid w:val="00B75E23"/>
    <w:rsid w:val="00B765D7"/>
    <w:rsid w:val="00B76D42"/>
    <w:rsid w:val="00B77328"/>
    <w:rsid w:val="00B773FB"/>
    <w:rsid w:val="00B77AF4"/>
    <w:rsid w:val="00B77D2F"/>
    <w:rsid w:val="00B8004C"/>
    <w:rsid w:val="00B80505"/>
    <w:rsid w:val="00B809E2"/>
    <w:rsid w:val="00B80CF9"/>
    <w:rsid w:val="00B80F8F"/>
    <w:rsid w:val="00B810CD"/>
    <w:rsid w:val="00B81667"/>
    <w:rsid w:val="00B81825"/>
    <w:rsid w:val="00B81DE9"/>
    <w:rsid w:val="00B822B5"/>
    <w:rsid w:val="00B82D92"/>
    <w:rsid w:val="00B82DD4"/>
    <w:rsid w:val="00B845E3"/>
    <w:rsid w:val="00B84856"/>
    <w:rsid w:val="00B84F41"/>
    <w:rsid w:val="00B84FAB"/>
    <w:rsid w:val="00B850D6"/>
    <w:rsid w:val="00B8562F"/>
    <w:rsid w:val="00B85778"/>
    <w:rsid w:val="00B85982"/>
    <w:rsid w:val="00B85F25"/>
    <w:rsid w:val="00B862A3"/>
    <w:rsid w:val="00B86461"/>
    <w:rsid w:val="00B869DD"/>
    <w:rsid w:val="00B87917"/>
    <w:rsid w:val="00B90187"/>
    <w:rsid w:val="00B9018D"/>
    <w:rsid w:val="00B90AAF"/>
    <w:rsid w:val="00B91533"/>
    <w:rsid w:val="00B922B4"/>
    <w:rsid w:val="00B925F9"/>
    <w:rsid w:val="00B9285C"/>
    <w:rsid w:val="00B92DFD"/>
    <w:rsid w:val="00B92EE9"/>
    <w:rsid w:val="00B92F4B"/>
    <w:rsid w:val="00B93867"/>
    <w:rsid w:val="00B93DEA"/>
    <w:rsid w:val="00B94DD1"/>
    <w:rsid w:val="00B95424"/>
    <w:rsid w:val="00B95433"/>
    <w:rsid w:val="00B95602"/>
    <w:rsid w:val="00B9600F"/>
    <w:rsid w:val="00B9614A"/>
    <w:rsid w:val="00B967B1"/>
    <w:rsid w:val="00B969A6"/>
    <w:rsid w:val="00B972B9"/>
    <w:rsid w:val="00B97C18"/>
    <w:rsid w:val="00BA036E"/>
    <w:rsid w:val="00BA0A0E"/>
    <w:rsid w:val="00BA0B7C"/>
    <w:rsid w:val="00BA28FA"/>
    <w:rsid w:val="00BA41B1"/>
    <w:rsid w:val="00BA45B4"/>
    <w:rsid w:val="00BA5910"/>
    <w:rsid w:val="00BA682B"/>
    <w:rsid w:val="00BA7CDF"/>
    <w:rsid w:val="00BB065C"/>
    <w:rsid w:val="00BB11E3"/>
    <w:rsid w:val="00BB14DA"/>
    <w:rsid w:val="00BB1C12"/>
    <w:rsid w:val="00BB207D"/>
    <w:rsid w:val="00BB2086"/>
    <w:rsid w:val="00BB235D"/>
    <w:rsid w:val="00BB2719"/>
    <w:rsid w:val="00BB2F0D"/>
    <w:rsid w:val="00BB4D3A"/>
    <w:rsid w:val="00BB4F6B"/>
    <w:rsid w:val="00BB50F6"/>
    <w:rsid w:val="00BB5209"/>
    <w:rsid w:val="00BB56CF"/>
    <w:rsid w:val="00BB602C"/>
    <w:rsid w:val="00BB6586"/>
    <w:rsid w:val="00BB794C"/>
    <w:rsid w:val="00BB7C9A"/>
    <w:rsid w:val="00BC0114"/>
    <w:rsid w:val="00BC01EC"/>
    <w:rsid w:val="00BC284C"/>
    <w:rsid w:val="00BC2AB5"/>
    <w:rsid w:val="00BC31CA"/>
    <w:rsid w:val="00BC3A5C"/>
    <w:rsid w:val="00BC3FEA"/>
    <w:rsid w:val="00BC4F2D"/>
    <w:rsid w:val="00BC50ED"/>
    <w:rsid w:val="00BC556D"/>
    <w:rsid w:val="00BC5D68"/>
    <w:rsid w:val="00BC5E70"/>
    <w:rsid w:val="00BC6428"/>
    <w:rsid w:val="00BC6AE9"/>
    <w:rsid w:val="00BC7E52"/>
    <w:rsid w:val="00BD04F4"/>
    <w:rsid w:val="00BD1212"/>
    <w:rsid w:val="00BD12BA"/>
    <w:rsid w:val="00BD1395"/>
    <w:rsid w:val="00BD1450"/>
    <w:rsid w:val="00BD19E1"/>
    <w:rsid w:val="00BD1F3C"/>
    <w:rsid w:val="00BD21F9"/>
    <w:rsid w:val="00BD283E"/>
    <w:rsid w:val="00BD2BCB"/>
    <w:rsid w:val="00BD2C9B"/>
    <w:rsid w:val="00BD3C7D"/>
    <w:rsid w:val="00BD3E8D"/>
    <w:rsid w:val="00BD570C"/>
    <w:rsid w:val="00BD575C"/>
    <w:rsid w:val="00BD5CB2"/>
    <w:rsid w:val="00BD6A77"/>
    <w:rsid w:val="00BD6A9A"/>
    <w:rsid w:val="00BD72ED"/>
    <w:rsid w:val="00BD7D17"/>
    <w:rsid w:val="00BD7E10"/>
    <w:rsid w:val="00BE0063"/>
    <w:rsid w:val="00BE02FB"/>
    <w:rsid w:val="00BE05F5"/>
    <w:rsid w:val="00BE1100"/>
    <w:rsid w:val="00BE162B"/>
    <w:rsid w:val="00BE188E"/>
    <w:rsid w:val="00BE1965"/>
    <w:rsid w:val="00BE23AE"/>
    <w:rsid w:val="00BE2418"/>
    <w:rsid w:val="00BE2997"/>
    <w:rsid w:val="00BE2D2A"/>
    <w:rsid w:val="00BE40D0"/>
    <w:rsid w:val="00BE43A1"/>
    <w:rsid w:val="00BE477A"/>
    <w:rsid w:val="00BE4891"/>
    <w:rsid w:val="00BE4C44"/>
    <w:rsid w:val="00BE5176"/>
    <w:rsid w:val="00BE5566"/>
    <w:rsid w:val="00BE5B62"/>
    <w:rsid w:val="00BE5DA0"/>
    <w:rsid w:val="00BE6625"/>
    <w:rsid w:val="00BE6EC6"/>
    <w:rsid w:val="00BE7442"/>
    <w:rsid w:val="00BE74A9"/>
    <w:rsid w:val="00BF1137"/>
    <w:rsid w:val="00BF115E"/>
    <w:rsid w:val="00BF1173"/>
    <w:rsid w:val="00BF17F4"/>
    <w:rsid w:val="00BF19E7"/>
    <w:rsid w:val="00BF1F77"/>
    <w:rsid w:val="00BF2034"/>
    <w:rsid w:val="00BF2139"/>
    <w:rsid w:val="00BF25E7"/>
    <w:rsid w:val="00BF39B1"/>
    <w:rsid w:val="00BF45AF"/>
    <w:rsid w:val="00BF489A"/>
    <w:rsid w:val="00BF4918"/>
    <w:rsid w:val="00BF4DCD"/>
    <w:rsid w:val="00BF4E8D"/>
    <w:rsid w:val="00BF52BC"/>
    <w:rsid w:val="00BF5E26"/>
    <w:rsid w:val="00BF64A2"/>
    <w:rsid w:val="00BF6655"/>
    <w:rsid w:val="00BF70E3"/>
    <w:rsid w:val="00BF7D64"/>
    <w:rsid w:val="00C003D0"/>
    <w:rsid w:val="00C00468"/>
    <w:rsid w:val="00C007F2"/>
    <w:rsid w:val="00C00FBA"/>
    <w:rsid w:val="00C0166A"/>
    <w:rsid w:val="00C02375"/>
    <w:rsid w:val="00C027CE"/>
    <w:rsid w:val="00C03D40"/>
    <w:rsid w:val="00C04135"/>
    <w:rsid w:val="00C04B8A"/>
    <w:rsid w:val="00C0539B"/>
    <w:rsid w:val="00C06598"/>
    <w:rsid w:val="00C07C48"/>
    <w:rsid w:val="00C07F14"/>
    <w:rsid w:val="00C10850"/>
    <w:rsid w:val="00C10E2E"/>
    <w:rsid w:val="00C10F95"/>
    <w:rsid w:val="00C125DE"/>
    <w:rsid w:val="00C1294E"/>
    <w:rsid w:val="00C149AC"/>
    <w:rsid w:val="00C162BF"/>
    <w:rsid w:val="00C16D64"/>
    <w:rsid w:val="00C17A4D"/>
    <w:rsid w:val="00C20018"/>
    <w:rsid w:val="00C204CD"/>
    <w:rsid w:val="00C20514"/>
    <w:rsid w:val="00C20657"/>
    <w:rsid w:val="00C20F6B"/>
    <w:rsid w:val="00C21087"/>
    <w:rsid w:val="00C21216"/>
    <w:rsid w:val="00C21CEF"/>
    <w:rsid w:val="00C2232E"/>
    <w:rsid w:val="00C22387"/>
    <w:rsid w:val="00C225BD"/>
    <w:rsid w:val="00C236DD"/>
    <w:rsid w:val="00C23FE4"/>
    <w:rsid w:val="00C2482D"/>
    <w:rsid w:val="00C24A4E"/>
    <w:rsid w:val="00C24CDC"/>
    <w:rsid w:val="00C24DE4"/>
    <w:rsid w:val="00C25B5B"/>
    <w:rsid w:val="00C26B81"/>
    <w:rsid w:val="00C26C50"/>
    <w:rsid w:val="00C271DE"/>
    <w:rsid w:val="00C3034A"/>
    <w:rsid w:val="00C304EB"/>
    <w:rsid w:val="00C30E05"/>
    <w:rsid w:val="00C31C04"/>
    <w:rsid w:val="00C32139"/>
    <w:rsid w:val="00C324B5"/>
    <w:rsid w:val="00C33A83"/>
    <w:rsid w:val="00C3449A"/>
    <w:rsid w:val="00C34B47"/>
    <w:rsid w:val="00C35716"/>
    <w:rsid w:val="00C35821"/>
    <w:rsid w:val="00C371DD"/>
    <w:rsid w:val="00C37257"/>
    <w:rsid w:val="00C37EE5"/>
    <w:rsid w:val="00C406B0"/>
    <w:rsid w:val="00C40C41"/>
    <w:rsid w:val="00C411EE"/>
    <w:rsid w:val="00C41633"/>
    <w:rsid w:val="00C41723"/>
    <w:rsid w:val="00C41EFF"/>
    <w:rsid w:val="00C4250C"/>
    <w:rsid w:val="00C426E0"/>
    <w:rsid w:val="00C426F3"/>
    <w:rsid w:val="00C429CB"/>
    <w:rsid w:val="00C42AC2"/>
    <w:rsid w:val="00C432EE"/>
    <w:rsid w:val="00C4373F"/>
    <w:rsid w:val="00C44618"/>
    <w:rsid w:val="00C44E11"/>
    <w:rsid w:val="00C451C4"/>
    <w:rsid w:val="00C45C26"/>
    <w:rsid w:val="00C4659C"/>
    <w:rsid w:val="00C46D65"/>
    <w:rsid w:val="00C46EDA"/>
    <w:rsid w:val="00C4702F"/>
    <w:rsid w:val="00C4756C"/>
    <w:rsid w:val="00C47E27"/>
    <w:rsid w:val="00C47E7C"/>
    <w:rsid w:val="00C5077F"/>
    <w:rsid w:val="00C50C8A"/>
    <w:rsid w:val="00C50FB0"/>
    <w:rsid w:val="00C518B5"/>
    <w:rsid w:val="00C520E3"/>
    <w:rsid w:val="00C5227B"/>
    <w:rsid w:val="00C5263F"/>
    <w:rsid w:val="00C5277E"/>
    <w:rsid w:val="00C52D50"/>
    <w:rsid w:val="00C52FF9"/>
    <w:rsid w:val="00C531BA"/>
    <w:rsid w:val="00C533C6"/>
    <w:rsid w:val="00C53CE6"/>
    <w:rsid w:val="00C546F1"/>
    <w:rsid w:val="00C54A5B"/>
    <w:rsid w:val="00C5573C"/>
    <w:rsid w:val="00C5586D"/>
    <w:rsid w:val="00C55C89"/>
    <w:rsid w:val="00C55CFA"/>
    <w:rsid w:val="00C55FBA"/>
    <w:rsid w:val="00C5644D"/>
    <w:rsid w:val="00C5764E"/>
    <w:rsid w:val="00C60DCC"/>
    <w:rsid w:val="00C61A2F"/>
    <w:rsid w:val="00C625F4"/>
    <w:rsid w:val="00C62A4B"/>
    <w:rsid w:val="00C62E41"/>
    <w:rsid w:val="00C632EF"/>
    <w:rsid w:val="00C64AFD"/>
    <w:rsid w:val="00C65233"/>
    <w:rsid w:val="00C657BC"/>
    <w:rsid w:val="00C66218"/>
    <w:rsid w:val="00C669CD"/>
    <w:rsid w:val="00C66DA8"/>
    <w:rsid w:val="00C670DF"/>
    <w:rsid w:val="00C67367"/>
    <w:rsid w:val="00C67A76"/>
    <w:rsid w:val="00C67B80"/>
    <w:rsid w:val="00C67C21"/>
    <w:rsid w:val="00C67C87"/>
    <w:rsid w:val="00C70555"/>
    <w:rsid w:val="00C70E12"/>
    <w:rsid w:val="00C7113C"/>
    <w:rsid w:val="00C71D89"/>
    <w:rsid w:val="00C71EE6"/>
    <w:rsid w:val="00C7354F"/>
    <w:rsid w:val="00C73D5F"/>
    <w:rsid w:val="00C73F05"/>
    <w:rsid w:val="00C75432"/>
    <w:rsid w:val="00C75936"/>
    <w:rsid w:val="00C765DF"/>
    <w:rsid w:val="00C7686E"/>
    <w:rsid w:val="00C77418"/>
    <w:rsid w:val="00C77728"/>
    <w:rsid w:val="00C778D9"/>
    <w:rsid w:val="00C77FE9"/>
    <w:rsid w:val="00C80DCE"/>
    <w:rsid w:val="00C8221D"/>
    <w:rsid w:val="00C82E17"/>
    <w:rsid w:val="00C832DD"/>
    <w:rsid w:val="00C83D2E"/>
    <w:rsid w:val="00C849B8"/>
    <w:rsid w:val="00C84A1B"/>
    <w:rsid w:val="00C85944"/>
    <w:rsid w:val="00C85AF8"/>
    <w:rsid w:val="00C86A32"/>
    <w:rsid w:val="00C86E94"/>
    <w:rsid w:val="00C87387"/>
    <w:rsid w:val="00C873C4"/>
    <w:rsid w:val="00C878CC"/>
    <w:rsid w:val="00C87BF5"/>
    <w:rsid w:val="00C901FA"/>
    <w:rsid w:val="00C90444"/>
    <w:rsid w:val="00C90A24"/>
    <w:rsid w:val="00C90BBD"/>
    <w:rsid w:val="00C911EE"/>
    <w:rsid w:val="00C91635"/>
    <w:rsid w:val="00C9190D"/>
    <w:rsid w:val="00C91C58"/>
    <w:rsid w:val="00C9265A"/>
    <w:rsid w:val="00C92677"/>
    <w:rsid w:val="00C92DC5"/>
    <w:rsid w:val="00C93C0E"/>
    <w:rsid w:val="00C9408E"/>
    <w:rsid w:val="00C9417B"/>
    <w:rsid w:val="00C94312"/>
    <w:rsid w:val="00C9445C"/>
    <w:rsid w:val="00C94E05"/>
    <w:rsid w:val="00C9502F"/>
    <w:rsid w:val="00C953A4"/>
    <w:rsid w:val="00C95A49"/>
    <w:rsid w:val="00C95EBE"/>
    <w:rsid w:val="00C96843"/>
    <w:rsid w:val="00C9686C"/>
    <w:rsid w:val="00C97BBA"/>
    <w:rsid w:val="00C97D96"/>
    <w:rsid w:val="00C97FDB"/>
    <w:rsid w:val="00CA0977"/>
    <w:rsid w:val="00CA0FE0"/>
    <w:rsid w:val="00CA1806"/>
    <w:rsid w:val="00CA1A41"/>
    <w:rsid w:val="00CA237F"/>
    <w:rsid w:val="00CA2646"/>
    <w:rsid w:val="00CA3309"/>
    <w:rsid w:val="00CA3B75"/>
    <w:rsid w:val="00CA4743"/>
    <w:rsid w:val="00CA485E"/>
    <w:rsid w:val="00CA5493"/>
    <w:rsid w:val="00CA5C1B"/>
    <w:rsid w:val="00CA5E2F"/>
    <w:rsid w:val="00CA60DB"/>
    <w:rsid w:val="00CA62CE"/>
    <w:rsid w:val="00CA6466"/>
    <w:rsid w:val="00CA780D"/>
    <w:rsid w:val="00CA7989"/>
    <w:rsid w:val="00CA7FC7"/>
    <w:rsid w:val="00CB001C"/>
    <w:rsid w:val="00CB03AE"/>
    <w:rsid w:val="00CB03C3"/>
    <w:rsid w:val="00CB0A43"/>
    <w:rsid w:val="00CB1162"/>
    <w:rsid w:val="00CB12F5"/>
    <w:rsid w:val="00CB1B8D"/>
    <w:rsid w:val="00CB2325"/>
    <w:rsid w:val="00CB2C23"/>
    <w:rsid w:val="00CB3149"/>
    <w:rsid w:val="00CB35B4"/>
    <w:rsid w:val="00CB397B"/>
    <w:rsid w:val="00CB3EB2"/>
    <w:rsid w:val="00CB5717"/>
    <w:rsid w:val="00CB5FE2"/>
    <w:rsid w:val="00CB64E2"/>
    <w:rsid w:val="00CB6997"/>
    <w:rsid w:val="00CB7074"/>
    <w:rsid w:val="00CC0672"/>
    <w:rsid w:val="00CC0FC6"/>
    <w:rsid w:val="00CC144C"/>
    <w:rsid w:val="00CC1D61"/>
    <w:rsid w:val="00CC22E6"/>
    <w:rsid w:val="00CC4B03"/>
    <w:rsid w:val="00CC51F1"/>
    <w:rsid w:val="00CC7454"/>
    <w:rsid w:val="00CC7B81"/>
    <w:rsid w:val="00CC7B92"/>
    <w:rsid w:val="00CD009A"/>
    <w:rsid w:val="00CD04F6"/>
    <w:rsid w:val="00CD09AB"/>
    <w:rsid w:val="00CD09C9"/>
    <w:rsid w:val="00CD0A05"/>
    <w:rsid w:val="00CD196B"/>
    <w:rsid w:val="00CD1A13"/>
    <w:rsid w:val="00CD1F1D"/>
    <w:rsid w:val="00CD29CB"/>
    <w:rsid w:val="00CD2BD7"/>
    <w:rsid w:val="00CD2C2D"/>
    <w:rsid w:val="00CD3294"/>
    <w:rsid w:val="00CD33A3"/>
    <w:rsid w:val="00CD39DC"/>
    <w:rsid w:val="00CD3FB2"/>
    <w:rsid w:val="00CD48F2"/>
    <w:rsid w:val="00CD4B47"/>
    <w:rsid w:val="00CD6193"/>
    <w:rsid w:val="00CD6F6E"/>
    <w:rsid w:val="00CD75BB"/>
    <w:rsid w:val="00CD79D1"/>
    <w:rsid w:val="00CE025B"/>
    <w:rsid w:val="00CE02E7"/>
    <w:rsid w:val="00CE0E60"/>
    <w:rsid w:val="00CE1ED7"/>
    <w:rsid w:val="00CE2558"/>
    <w:rsid w:val="00CE2728"/>
    <w:rsid w:val="00CE2F5E"/>
    <w:rsid w:val="00CE4806"/>
    <w:rsid w:val="00CE483C"/>
    <w:rsid w:val="00CE49F2"/>
    <w:rsid w:val="00CE52C5"/>
    <w:rsid w:val="00CE5C4F"/>
    <w:rsid w:val="00CE71EB"/>
    <w:rsid w:val="00CE734B"/>
    <w:rsid w:val="00CE7F61"/>
    <w:rsid w:val="00CF08C3"/>
    <w:rsid w:val="00CF0F98"/>
    <w:rsid w:val="00CF10BF"/>
    <w:rsid w:val="00CF144C"/>
    <w:rsid w:val="00CF1461"/>
    <w:rsid w:val="00CF247F"/>
    <w:rsid w:val="00CF2A55"/>
    <w:rsid w:val="00CF2BC8"/>
    <w:rsid w:val="00CF3BFD"/>
    <w:rsid w:val="00CF4CED"/>
    <w:rsid w:val="00CF5D58"/>
    <w:rsid w:val="00CF5FA5"/>
    <w:rsid w:val="00CF692A"/>
    <w:rsid w:val="00CF6985"/>
    <w:rsid w:val="00CF6A73"/>
    <w:rsid w:val="00CF6CF2"/>
    <w:rsid w:val="00CF7091"/>
    <w:rsid w:val="00CF70C2"/>
    <w:rsid w:val="00CF741C"/>
    <w:rsid w:val="00CF7446"/>
    <w:rsid w:val="00CF7D55"/>
    <w:rsid w:val="00CF7DEB"/>
    <w:rsid w:val="00CF7F27"/>
    <w:rsid w:val="00D00BD7"/>
    <w:rsid w:val="00D011E0"/>
    <w:rsid w:val="00D01523"/>
    <w:rsid w:val="00D01BD1"/>
    <w:rsid w:val="00D01CC5"/>
    <w:rsid w:val="00D0218A"/>
    <w:rsid w:val="00D0303C"/>
    <w:rsid w:val="00D04144"/>
    <w:rsid w:val="00D04198"/>
    <w:rsid w:val="00D04F18"/>
    <w:rsid w:val="00D056D1"/>
    <w:rsid w:val="00D05716"/>
    <w:rsid w:val="00D0590D"/>
    <w:rsid w:val="00D061BB"/>
    <w:rsid w:val="00D0629E"/>
    <w:rsid w:val="00D06B95"/>
    <w:rsid w:val="00D0700A"/>
    <w:rsid w:val="00D10277"/>
    <w:rsid w:val="00D10286"/>
    <w:rsid w:val="00D11A7A"/>
    <w:rsid w:val="00D11F27"/>
    <w:rsid w:val="00D11FC8"/>
    <w:rsid w:val="00D13CE2"/>
    <w:rsid w:val="00D14C8E"/>
    <w:rsid w:val="00D153F8"/>
    <w:rsid w:val="00D16027"/>
    <w:rsid w:val="00D16470"/>
    <w:rsid w:val="00D16765"/>
    <w:rsid w:val="00D16BA8"/>
    <w:rsid w:val="00D16EDB"/>
    <w:rsid w:val="00D17098"/>
    <w:rsid w:val="00D1709A"/>
    <w:rsid w:val="00D1728A"/>
    <w:rsid w:val="00D17407"/>
    <w:rsid w:val="00D177DF"/>
    <w:rsid w:val="00D201D8"/>
    <w:rsid w:val="00D2034B"/>
    <w:rsid w:val="00D203C2"/>
    <w:rsid w:val="00D2042C"/>
    <w:rsid w:val="00D204B1"/>
    <w:rsid w:val="00D207CE"/>
    <w:rsid w:val="00D20A0A"/>
    <w:rsid w:val="00D20D40"/>
    <w:rsid w:val="00D20F41"/>
    <w:rsid w:val="00D2131F"/>
    <w:rsid w:val="00D2194C"/>
    <w:rsid w:val="00D21E22"/>
    <w:rsid w:val="00D22AAA"/>
    <w:rsid w:val="00D23766"/>
    <w:rsid w:val="00D237CF"/>
    <w:rsid w:val="00D23C92"/>
    <w:rsid w:val="00D25666"/>
    <w:rsid w:val="00D2591E"/>
    <w:rsid w:val="00D26BAE"/>
    <w:rsid w:val="00D26DEC"/>
    <w:rsid w:val="00D27DDA"/>
    <w:rsid w:val="00D30163"/>
    <w:rsid w:val="00D30C05"/>
    <w:rsid w:val="00D30EC6"/>
    <w:rsid w:val="00D31A23"/>
    <w:rsid w:val="00D31FA8"/>
    <w:rsid w:val="00D31FB4"/>
    <w:rsid w:val="00D3280C"/>
    <w:rsid w:val="00D32EC5"/>
    <w:rsid w:val="00D330D5"/>
    <w:rsid w:val="00D33350"/>
    <w:rsid w:val="00D336E0"/>
    <w:rsid w:val="00D3414A"/>
    <w:rsid w:val="00D35076"/>
    <w:rsid w:val="00D352D9"/>
    <w:rsid w:val="00D35527"/>
    <w:rsid w:val="00D35648"/>
    <w:rsid w:val="00D35C7C"/>
    <w:rsid w:val="00D361AB"/>
    <w:rsid w:val="00D368B0"/>
    <w:rsid w:val="00D3770B"/>
    <w:rsid w:val="00D37D57"/>
    <w:rsid w:val="00D40DC5"/>
    <w:rsid w:val="00D40F75"/>
    <w:rsid w:val="00D41009"/>
    <w:rsid w:val="00D41179"/>
    <w:rsid w:val="00D41720"/>
    <w:rsid w:val="00D419BA"/>
    <w:rsid w:val="00D41A48"/>
    <w:rsid w:val="00D41C92"/>
    <w:rsid w:val="00D42666"/>
    <w:rsid w:val="00D42928"/>
    <w:rsid w:val="00D439FC"/>
    <w:rsid w:val="00D43DE3"/>
    <w:rsid w:val="00D44AB5"/>
    <w:rsid w:val="00D44F6F"/>
    <w:rsid w:val="00D44FD5"/>
    <w:rsid w:val="00D45313"/>
    <w:rsid w:val="00D455B1"/>
    <w:rsid w:val="00D456F0"/>
    <w:rsid w:val="00D4583E"/>
    <w:rsid w:val="00D45B5E"/>
    <w:rsid w:val="00D471B0"/>
    <w:rsid w:val="00D47316"/>
    <w:rsid w:val="00D47C40"/>
    <w:rsid w:val="00D47F04"/>
    <w:rsid w:val="00D50458"/>
    <w:rsid w:val="00D50EE8"/>
    <w:rsid w:val="00D51298"/>
    <w:rsid w:val="00D519B0"/>
    <w:rsid w:val="00D52043"/>
    <w:rsid w:val="00D52872"/>
    <w:rsid w:val="00D528F0"/>
    <w:rsid w:val="00D53386"/>
    <w:rsid w:val="00D53CD8"/>
    <w:rsid w:val="00D54C6E"/>
    <w:rsid w:val="00D5569C"/>
    <w:rsid w:val="00D55F22"/>
    <w:rsid w:val="00D56927"/>
    <w:rsid w:val="00D56995"/>
    <w:rsid w:val="00D5768F"/>
    <w:rsid w:val="00D57B30"/>
    <w:rsid w:val="00D601A3"/>
    <w:rsid w:val="00D607EA"/>
    <w:rsid w:val="00D60905"/>
    <w:rsid w:val="00D60D3D"/>
    <w:rsid w:val="00D60FCF"/>
    <w:rsid w:val="00D61031"/>
    <w:rsid w:val="00D61B48"/>
    <w:rsid w:val="00D62723"/>
    <w:rsid w:val="00D629BF"/>
    <w:rsid w:val="00D632E1"/>
    <w:rsid w:val="00D6330F"/>
    <w:rsid w:val="00D63B6A"/>
    <w:rsid w:val="00D63EC0"/>
    <w:rsid w:val="00D64DB1"/>
    <w:rsid w:val="00D65207"/>
    <w:rsid w:val="00D66AEE"/>
    <w:rsid w:val="00D67679"/>
    <w:rsid w:val="00D679F3"/>
    <w:rsid w:val="00D7001A"/>
    <w:rsid w:val="00D7029D"/>
    <w:rsid w:val="00D70778"/>
    <w:rsid w:val="00D7087E"/>
    <w:rsid w:val="00D708AC"/>
    <w:rsid w:val="00D7110C"/>
    <w:rsid w:val="00D71AB3"/>
    <w:rsid w:val="00D71D69"/>
    <w:rsid w:val="00D72B38"/>
    <w:rsid w:val="00D73EC8"/>
    <w:rsid w:val="00D742E6"/>
    <w:rsid w:val="00D74878"/>
    <w:rsid w:val="00D74A9B"/>
    <w:rsid w:val="00D7559E"/>
    <w:rsid w:val="00D7576F"/>
    <w:rsid w:val="00D75B30"/>
    <w:rsid w:val="00D75BB4"/>
    <w:rsid w:val="00D765E4"/>
    <w:rsid w:val="00D76813"/>
    <w:rsid w:val="00D76944"/>
    <w:rsid w:val="00D8009B"/>
    <w:rsid w:val="00D808A2"/>
    <w:rsid w:val="00D80A13"/>
    <w:rsid w:val="00D81051"/>
    <w:rsid w:val="00D81128"/>
    <w:rsid w:val="00D81676"/>
    <w:rsid w:val="00D81C5C"/>
    <w:rsid w:val="00D82B8D"/>
    <w:rsid w:val="00D82BBC"/>
    <w:rsid w:val="00D82DC0"/>
    <w:rsid w:val="00D83790"/>
    <w:rsid w:val="00D839F7"/>
    <w:rsid w:val="00D83ABC"/>
    <w:rsid w:val="00D83E0B"/>
    <w:rsid w:val="00D84E82"/>
    <w:rsid w:val="00D8521E"/>
    <w:rsid w:val="00D852E2"/>
    <w:rsid w:val="00D85810"/>
    <w:rsid w:val="00D86CAE"/>
    <w:rsid w:val="00D86DDF"/>
    <w:rsid w:val="00D87308"/>
    <w:rsid w:val="00D90F26"/>
    <w:rsid w:val="00D91635"/>
    <w:rsid w:val="00D91E44"/>
    <w:rsid w:val="00D926D0"/>
    <w:rsid w:val="00D9272E"/>
    <w:rsid w:val="00D93AD8"/>
    <w:rsid w:val="00D93D27"/>
    <w:rsid w:val="00D94734"/>
    <w:rsid w:val="00D94E06"/>
    <w:rsid w:val="00D94E29"/>
    <w:rsid w:val="00D97622"/>
    <w:rsid w:val="00DA0D33"/>
    <w:rsid w:val="00DA1061"/>
    <w:rsid w:val="00DA1954"/>
    <w:rsid w:val="00DA2339"/>
    <w:rsid w:val="00DA2794"/>
    <w:rsid w:val="00DA2906"/>
    <w:rsid w:val="00DA6B45"/>
    <w:rsid w:val="00DA75E2"/>
    <w:rsid w:val="00DA75FB"/>
    <w:rsid w:val="00DA7D74"/>
    <w:rsid w:val="00DB0C1E"/>
    <w:rsid w:val="00DB0F16"/>
    <w:rsid w:val="00DB1147"/>
    <w:rsid w:val="00DB119C"/>
    <w:rsid w:val="00DB1EA6"/>
    <w:rsid w:val="00DB2575"/>
    <w:rsid w:val="00DB3701"/>
    <w:rsid w:val="00DB3A87"/>
    <w:rsid w:val="00DB43BA"/>
    <w:rsid w:val="00DB5126"/>
    <w:rsid w:val="00DB573F"/>
    <w:rsid w:val="00DB63D9"/>
    <w:rsid w:val="00DB6537"/>
    <w:rsid w:val="00DB6828"/>
    <w:rsid w:val="00DB688F"/>
    <w:rsid w:val="00DB7875"/>
    <w:rsid w:val="00DB7949"/>
    <w:rsid w:val="00DC091C"/>
    <w:rsid w:val="00DC0A12"/>
    <w:rsid w:val="00DC0EDF"/>
    <w:rsid w:val="00DC1A8D"/>
    <w:rsid w:val="00DC1CF2"/>
    <w:rsid w:val="00DC1DC3"/>
    <w:rsid w:val="00DC1E70"/>
    <w:rsid w:val="00DC230D"/>
    <w:rsid w:val="00DC2428"/>
    <w:rsid w:val="00DC2EAE"/>
    <w:rsid w:val="00DC2FFB"/>
    <w:rsid w:val="00DC3289"/>
    <w:rsid w:val="00DC3849"/>
    <w:rsid w:val="00DC3A12"/>
    <w:rsid w:val="00DC3D3E"/>
    <w:rsid w:val="00DC409C"/>
    <w:rsid w:val="00DC42AB"/>
    <w:rsid w:val="00DC435D"/>
    <w:rsid w:val="00DC5852"/>
    <w:rsid w:val="00DC5F0A"/>
    <w:rsid w:val="00DC660A"/>
    <w:rsid w:val="00DC665F"/>
    <w:rsid w:val="00DC6E4D"/>
    <w:rsid w:val="00DC725C"/>
    <w:rsid w:val="00DC7AF3"/>
    <w:rsid w:val="00DC7C55"/>
    <w:rsid w:val="00DC7E47"/>
    <w:rsid w:val="00DD0D53"/>
    <w:rsid w:val="00DD133F"/>
    <w:rsid w:val="00DD1818"/>
    <w:rsid w:val="00DD18A2"/>
    <w:rsid w:val="00DD1B79"/>
    <w:rsid w:val="00DD25DC"/>
    <w:rsid w:val="00DD2CB0"/>
    <w:rsid w:val="00DD39E2"/>
    <w:rsid w:val="00DD3D0A"/>
    <w:rsid w:val="00DD4CA9"/>
    <w:rsid w:val="00DD4EC0"/>
    <w:rsid w:val="00DD5168"/>
    <w:rsid w:val="00DD647F"/>
    <w:rsid w:val="00DD671D"/>
    <w:rsid w:val="00DD6A19"/>
    <w:rsid w:val="00DD6C83"/>
    <w:rsid w:val="00DD7CA2"/>
    <w:rsid w:val="00DE0067"/>
    <w:rsid w:val="00DE08CC"/>
    <w:rsid w:val="00DE1238"/>
    <w:rsid w:val="00DE12E6"/>
    <w:rsid w:val="00DE12FB"/>
    <w:rsid w:val="00DE2414"/>
    <w:rsid w:val="00DE26F6"/>
    <w:rsid w:val="00DE281C"/>
    <w:rsid w:val="00DE2AE4"/>
    <w:rsid w:val="00DE2AFE"/>
    <w:rsid w:val="00DE2C1E"/>
    <w:rsid w:val="00DE43E0"/>
    <w:rsid w:val="00DE50AB"/>
    <w:rsid w:val="00DE5327"/>
    <w:rsid w:val="00DE5663"/>
    <w:rsid w:val="00DE56CD"/>
    <w:rsid w:val="00DE5EFF"/>
    <w:rsid w:val="00DE5FDC"/>
    <w:rsid w:val="00DE7029"/>
    <w:rsid w:val="00DE74EA"/>
    <w:rsid w:val="00DF0541"/>
    <w:rsid w:val="00DF061B"/>
    <w:rsid w:val="00DF067B"/>
    <w:rsid w:val="00DF0E84"/>
    <w:rsid w:val="00DF1AB8"/>
    <w:rsid w:val="00DF2126"/>
    <w:rsid w:val="00DF2A81"/>
    <w:rsid w:val="00DF2D84"/>
    <w:rsid w:val="00DF2D9D"/>
    <w:rsid w:val="00DF2E03"/>
    <w:rsid w:val="00DF3823"/>
    <w:rsid w:val="00DF3B41"/>
    <w:rsid w:val="00DF3C53"/>
    <w:rsid w:val="00DF4357"/>
    <w:rsid w:val="00DF4CEF"/>
    <w:rsid w:val="00DF4D1A"/>
    <w:rsid w:val="00DF53AA"/>
    <w:rsid w:val="00DF66AC"/>
    <w:rsid w:val="00DF6B3A"/>
    <w:rsid w:val="00DF6DF5"/>
    <w:rsid w:val="00DF6ED1"/>
    <w:rsid w:val="00DF7EB9"/>
    <w:rsid w:val="00DFC739"/>
    <w:rsid w:val="00E004D3"/>
    <w:rsid w:val="00E00F5F"/>
    <w:rsid w:val="00E0124A"/>
    <w:rsid w:val="00E0141D"/>
    <w:rsid w:val="00E01536"/>
    <w:rsid w:val="00E01FA0"/>
    <w:rsid w:val="00E02588"/>
    <w:rsid w:val="00E02D75"/>
    <w:rsid w:val="00E03725"/>
    <w:rsid w:val="00E03DA3"/>
    <w:rsid w:val="00E04028"/>
    <w:rsid w:val="00E04320"/>
    <w:rsid w:val="00E04445"/>
    <w:rsid w:val="00E04F51"/>
    <w:rsid w:val="00E063AD"/>
    <w:rsid w:val="00E0645B"/>
    <w:rsid w:val="00E067AD"/>
    <w:rsid w:val="00E109B6"/>
    <w:rsid w:val="00E10D8E"/>
    <w:rsid w:val="00E134AC"/>
    <w:rsid w:val="00E13E2D"/>
    <w:rsid w:val="00E140CD"/>
    <w:rsid w:val="00E1575D"/>
    <w:rsid w:val="00E15E28"/>
    <w:rsid w:val="00E15EC0"/>
    <w:rsid w:val="00E1600A"/>
    <w:rsid w:val="00E160F4"/>
    <w:rsid w:val="00E179EB"/>
    <w:rsid w:val="00E20826"/>
    <w:rsid w:val="00E20A76"/>
    <w:rsid w:val="00E20FF8"/>
    <w:rsid w:val="00E2235B"/>
    <w:rsid w:val="00E2274F"/>
    <w:rsid w:val="00E22890"/>
    <w:rsid w:val="00E22A87"/>
    <w:rsid w:val="00E24068"/>
    <w:rsid w:val="00E24333"/>
    <w:rsid w:val="00E244DD"/>
    <w:rsid w:val="00E24719"/>
    <w:rsid w:val="00E24F10"/>
    <w:rsid w:val="00E255AE"/>
    <w:rsid w:val="00E25BCE"/>
    <w:rsid w:val="00E25EF4"/>
    <w:rsid w:val="00E2609D"/>
    <w:rsid w:val="00E261B7"/>
    <w:rsid w:val="00E269E9"/>
    <w:rsid w:val="00E27094"/>
    <w:rsid w:val="00E2709B"/>
    <w:rsid w:val="00E278D6"/>
    <w:rsid w:val="00E305A5"/>
    <w:rsid w:val="00E30672"/>
    <w:rsid w:val="00E30EE2"/>
    <w:rsid w:val="00E3113E"/>
    <w:rsid w:val="00E32B86"/>
    <w:rsid w:val="00E3304C"/>
    <w:rsid w:val="00E3365A"/>
    <w:rsid w:val="00E34567"/>
    <w:rsid w:val="00E34C16"/>
    <w:rsid w:val="00E34F4B"/>
    <w:rsid w:val="00E3573D"/>
    <w:rsid w:val="00E36F01"/>
    <w:rsid w:val="00E37694"/>
    <w:rsid w:val="00E37F4A"/>
    <w:rsid w:val="00E40421"/>
    <w:rsid w:val="00E419D7"/>
    <w:rsid w:val="00E41ABD"/>
    <w:rsid w:val="00E42521"/>
    <w:rsid w:val="00E42672"/>
    <w:rsid w:val="00E42984"/>
    <w:rsid w:val="00E4298E"/>
    <w:rsid w:val="00E42A37"/>
    <w:rsid w:val="00E42FAE"/>
    <w:rsid w:val="00E43088"/>
    <w:rsid w:val="00E435BD"/>
    <w:rsid w:val="00E4360C"/>
    <w:rsid w:val="00E43A54"/>
    <w:rsid w:val="00E43BC5"/>
    <w:rsid w:val="00E43F96"/>
    <w:rsid w:val="00E44BA2"/>
    <w:rsid w:val="00E44FB7"/>
    <w:rsid w:val="00E4517F"/>
    <w:rsid w:val="00E45873"/>
    <w:rsid w:val="00E45887"/>
    <w:rsid w:val="00E45E7D"/>
    <w:rsid w:val="00E46D4A"/>
    <w:rsid w:val="00E474D4"/>
    <w:rsid w:val="00E47578"/>
    <w:rsid w:val="00E47C4C"/>
    <w:rsid w:val="00E47E26"/>
    <w:rsid w:val="00E50789"/>
    <w:rsid w:val="00E50C29"/>
    <w:rsid w:val="00E51355"/>
    <w:rsid w:val="00E51A77"/>
    <w:rsid w:val="00E51B27"/>
    <w:rsid w:val="00E527C6"/>
    <w:rsid w:val="00E52A8B"/>
    <w:rsid w:val="00E53C42"/>
    <w:rsid w:val="00E54673"/>
    <w:rsid w:val="00E54B00"/>
    <w:rsid w:val="00E54B73"/>
    <w:rsid w:val="00E54ECA"/>
    <w:rsid w:val="00E55E6E"/>
    <w:rsid w:val="00E56D44"/>
    <w:rsid w:val="00E57C07"/>
    <w:rsid w:val="00E60912"/>
    <w:rsid w:val="00E6151E"/>
    <w:rsid w:val="00E627B1"/>
    <w:rsid w:val="00E62B47"/>
    <w:rsid w:val="00E632E1"/>
    <w:rsid w:val="00E6374D"/>
    <w:rsid w:val="00E63BDF"/>
    <w:rsid w:val="00E641C2"/>
    <w:rsid w:val="00E643B9"/>
    <w:rsid w:val="00E648D6"/>
    <w:rsid w:val="00E65C5F"/>
    <w:rsid w:val="00E65DB4"/>
    <w:rsid w:val="00E67F6D"/>
    <w:rsid w:val="00E70ADC"/>
    <w:rsid w:val="00E70E7C"/>
    <w:rsid w:val="00E70FA4"/>
    <w:rsid w:val="00E73616"/>
    <w:rsid w:val="00E7367A"/>
    <w:rsid w:val="00E739FE"/>
    <w:rsid w:val="00E73F7E"/>
    <w:rsid w:val="00E7472A"/>
    <w:rsid w:val="00E74B50"/>
    <w:rsid w:val="00E74D58"/>
    <w:rsid w:val="00E74E4B"/>
    <w:rsid w:val="00E752A8"/>
    <w:rsid w:val="00E761C4"/>
    <w:rsid w:val="00E766CF"/>
    <w:rsid w:val="00E7688B"/>
    <w:rsid w:val="00E76CD4"/>
    <w:rsid w:val="00E76FA4"/>
    <w:rsid w:val="00E7739B"/>
    <w:rsid w:val="00E776B4"/>
    <w:rsid w:val="00E8006A"/>
    <w:rsid w:val="00E806C9"/>
    <w:rsid w:val="00E813B6"/>
    <w:rsid w:val="00E8195E"/>
    <w:rsid w:val="00E81A31"/>
    <w:rsid w:val="00E82310"/>
    <w:rsid w:val="00E826FC"/>
    <w:rsid w:val="00E82A06"/>
    <w:rsid w:val="00E831DB"/>
    <w:rsid w:val="00E83A10"/>
    <w:rsid w:val="00E83D74"/>
    <w:rsid w:val="00E83E62"/>
    <w:rsid w:val="00E84472"/>
    <w:rsid w:val="00E852B3"/>
    <w:rsid w:val="00E85341"/>
    <w:rsid w:val="00E8566B"/>
    <w:rsid w:val="00E85A5E"/>
    <w:rsid w:val="00E86616"/>
    <w:rsid w:val="00E869E5"/>
    <w:rsid w:val="00E872FC"/>
    <w:rsid w:val="00E87676"/>
    <w:rsid w:val="00E87723"/>
    <w:rsid w:val="00E8793D"/>
    <w:rsid w:val="00E87975"/>
    <w:rsid w:val="00E87F0B"/>
    <w:rsid w:val="00E90336"/>
    <w:rsid w:val="00E9040F"/>
    <w:rsid w:val="00E90CC4"/>
    <w:rsid w:val="00E92022"/>
    <w:rsid w:val="00E925ED"/>
    <w:rsid w:val="00E92AD0"/>
    <w:rsid w:val="00E932C3"/>
    <w:rsid w:val="00E9406F"/>
    <w:rsid w:val="00E945DC"/>
    <w:rsid w:val="00E94FFA"/>
    <w:rsid w:val="00E9531E"/>
    <w:rsid w:val="00E95F78"/>
    <w:rsid w:val="00E9662D"/>
    <w:rsid w:val="00EA0568"/>
    <w:rsid w:val="00EA0D18"/>
    <w:rsid w:val="00EA25C2"/>
    <w:rsid w:val="00EA2BDB"/>
    <w:rsid w:val="00EA38A7"/>
    <w:rsid w:val="00EA3D27"/>
    <w:rsid w:val="00EA43AE"/>
    <w:rsid w:val="00EA46CE"/>
    <w:rsid w:val="00EA4E07"/>
    <w:rsid w:val="00EA526E"/>
    <w:rsid w:val="00EA5A51"/>
    <w:rsid w:val="00EA5D38"/>
    <w:rsid w:val="00EA7101"/>
    <w:rsid w:val="00EB0214"/>
    <w:rsid w:val="00EB10BA"/>
    <w:rsid w:val="00EB14FB"/>
    <w:rsid w:val="00EB1A14"/>
    <w:rsid w:val="00EB1AC4"/>
    <w:rsid w:val="00EB249F"/>
    <w:rsid w:val="00EB2BBA"/>
    <w:rsid w:val="00EB34F0"/>
    <w:rsid w:val="00EB394A"/>
    <w:rsid w:val="00EB3EFD"/>
    <w:rsid w:val="00EB403A"/>
    <w:rsid w:val="00EB432E"/>
    <w:rsid w:val="00EB4A2D"/>
    <w:rsid w:val="00EB4FC7"/>
    <w:rsid w:val="00EB5097"/>
    <w:rsid w:val="00EB5CEE"/>
    <w:rsid w:val="00EB5F42"/>
    <w:rsid w:val="00EB60BD"/>
    <w:rsid w:val="00EB69B6"/>
    <w:rsid w:val="00EB73C1"/>
    <w:rsid w:val="00EB771C"/>
    <w:rsid w:val="00EB7D9C"/>
    <w:rsid w:val="00EC00DF"/>
    <w:rsid w:val="00EC2170"/>
    <w:rsid w:val="00EC287A"/>
    <w:rsid w:val="00EC29FA"/>
    <w:rsid w:val="00EC3142"/>
    <w:rsid w:val="00EC3431"/>
    <w:rsid w:val="00EC3698"/>
    <w:rsid w:val="00EC3D82"/>
    <w:rsid w:val="00EC3E0A"/>
    <w:rsid w:val="00EC3F4A"/>
    <w:rsid w:val="00EC4AE1"/>
    <w:rsid w:val="00EC5331"/>
    <w:rsid w:val="00EC56DE"/>
    <w:rsid w:val="00EC5A80"/>
    <w:rsid w:val="00EC5D0D"/>
    <w:rsid w:val="00EC7270"/>
    <w:rsid w:val="00EC7368"/>
    <w:rsid w:val="00EC73B3"/>
    <w:rsid w:val="00EC7A98"/>
    <w:rsid w:val="00EC7AD1"/>
    <w:rsid w:val="00EC7CAB"/>
    <w:rsid w:val="00ED0276"/>
    <w:rsid w:val="00ED02A7"/>
    <w:rsid w:val="00ED0AC6"/>
    <w:rsid w:val="00ED0DEC"/>
    <w:rsid w:val="00ED11B8"/>
    <w:rsid w:val="00ED161F"/>
    <w:rsid w:val="00ED192C"/>
    <w:rsid w:val="00ED22E4"/>
    <w:rsid w:val="00ED258C"/>
    <w:rsid w:val="00ED2E1F"/>
    <w:rsid w:val="00ED3647"/>
    <w:rsid w:val="00ED381C"/>
    <w:rsid w:val="00ED399E"/>
    <w:rsid w:val="00ED40BF"/>
    <w:rsid w:val="00ED40C4"/>
    <w:rsid w:val="00ED466B"/>
    <w:rsid w:val="00ED51B4"/>
    <w:rsid w:val="00ED57E9"/>
    <w:rsid w:val="00ED6CBB"/>
    <w:rsid w:val="00ED72A3"/>
    <w:rsid w:val="00ED72B4"/>
    <w:rsid w:val="00ED7401"/>
    <w:rsid w:val="00ED74E3"/>
    <w:rsid w:val="00EE071F"/>
    <w:rsid w:val="00EE0B99"/>
    <w:rsid w:val="00EE0BB8"/>
    <w:rsid w:val="00EE0DAF"/>
    <w:rsid w:val="00EE0E9A"/>
    <w:rsid w:val="00EE1A9A"/>
    <w:rsid w:val="00EE1AC5"/>
    <w:rsid w:val="00EE1C74"/>
    <w:rsid w:val="00EE26C7"/>
    <w:rsid w:val="00EE2AF7"/>
    <w:rsid w:val="00EE334D"/>
    <w:rsid w:val="00EE35E9"/>
    <w:rsid w:val="00EE5437"/>
    <w:rsid w:val="00EE5465"/>
    <w:rsid w:val="00EE584D"/>
    <w:rsid w:val="00EE5A49"/>
    <w:rsid w:val="00EE6DD3"/>
    <w:rsid w:val="00EE6E1F"/>
    <w:rsid w:val="00EE7D72"/>
    <w:rsid w:val="00EF0520"/>
    <w:rsid w:val="00EF0C93"/>
    <w:rsid w:val="00EF1047"/>
    <w:rsid w:val="00EF13A3"/>
    <w:rsid w:val="00EF1E2F"/>
    <w:rsid w:val="00EF379B"/>
    <w:rsid w:val="00EF3E03"/>
    <w:rsid w:val="00EF40DC"/>
    <w:rsid w:val="00EF6225"/>
    <w:rsid w:val="00EF6EA0"/>
    <w:rsid w:val="00EF73B9"/>
    <w:rsid w:val="00EF7830"/>
    <w:rsid w:val="00EF7BD8"/>
    <w:rsid w:val="00EF7CF0"/>
    <w:rsid w:val="00EF7E9B"/>
    <w:rsid w:val="00EF7FEA"/>
    <w:rsid w:val="00F000D9"/>
    <w:rsid w:val="00F001B8"/>
    <w:rsid w:val="00F00455"/>
    <w:rsid w:val="00F004A9"/>
    <w:rsid w:val="00F01019"/>
    <w:rsid w:val="00F019F5"/>
    <w:rsid w:val="00F01DCE"/>
    <w:rsid w:val="00F02505"/>
    <w:rsid w:val="00F025CB"/>
    <w:rsid w:val="00F036C2"/>
    <w:rsid w:val="00F03C4C"/>
    <w:rsid w:val="00F04A7C"/>
    <w:rsid w:val="00F04C11"/>
    <w:rsid w:val="00F05DA6"/>
    <w:rsid w:val="00F061D9"/>
    <w:rsid w:val="00F062FE"/>
    <w:rsid w:val="00F070A0"/>
    <w:rsid w:val="00F07497"/>
    <w:rsid w:val="00F07F2F"/>
    <w:rsid w:val="00F1020E"/>
    <w:rsid w:val="00F10553"/>
    <w:rsid w:val="00F1202E"/>
    <w:rsid w:val="00F12EE3"/>
    <w:rsid w:val="00F1391A"/>
    <w:rsid w:val="00F14843"/>
    <w:rsid w:val="00F14954"/>
    <w:rsid w:val="00F14D80"/>
    <w:rsid w:val="00F15A48"/>
    <w:rsid w:val="00F15C35"/>
    <w:rsid w:val="00F16286"/>
    <w:rsid w:val="00F17371"/>
    <w:rsid w:val="00F175B6"/>
    <w:rsid w:val="00F17D10"/>
    <w:rsid w:val="00F203FE"/>
    <w:rsid w:val="00F2051D"/>
    <w:rsid w:val="00F20555"/>
    <w:rsid w:val="00F206C1"/>
    <w:rsid w:val="00F20B09"/>
    <w:rsid w:val="00F22721"/>
    <w:rsid w:val="00F23695"/>
    <w:rsid w:val="00F23CF0"/>
    <w:rsid w:val="00F23ED3"/>
    <w:rsid w:val="00F25190"/>
    <w:rsid w:val="00F25697"/>
    <w:rsid w:val="00F2578E"/>
    <w:rsid w:val="00F26110"/>
    <w:rsid w:val="00F27083"/>
    <w:rsid w:val="00F272E9"/>
    <w:rsid w:val="00F27F68"/>
    <w:rsid w:val="00F305C5"/>
    <w:rsid w:val="00F30CB6"/>
    <w:rsid w:val="00F30FEE"/>
    <w:rsid w:val="00F310F9"/>
    <w:rsid w:val="00F31514"/>
    <w:rsid w:val="00F318EC"/>
    <w:rsid w:val="00F31F5B"/>
    <w:rsid w:val="00F320BE"/>
    <w:rsid w:val="00F32ABC"/>
    <w:rsid w:val="00F32B1C"/>
    <w:rsid w:val="00F333AB"/>
    <w:rsid w:val="00F33E65"/>
    <w:rsid w:val="00F33FEF"/>
    <w:rsid w:val="00F34B80"/>
    <w:rsid w:val="00F3579B"/>
    <w:rsid w:val="00F35B37"/>
    <w:rsid w:val="00F35BB4"/>
    <w:rsid w:val="00F35D12"/>
    <w:rsid w:val="00F369F4"/>
    <w:rsid w:val="00F4104E"/>
    <w:rsid w:val="00F41116"/>
    <w:rsid w:val="00F4122A"/>
    <w:rsid w:val="00F41B6C"/>
    <w:rsid w:val="00F42110"/>
    <w:rsid w:val="00F422AC"/>
    <w:rsid w:val="00F42719"/>
    <w:rsid w:val="00F42E53"/>
    <w:rsid w:val="00F431A4"/>
    <w:rsid w:val="00F435D7"/>
    <w:rsid w:val="00F439CA"/>
    <w:rsid w:val="00F44DCE"/>
    <w:rsid w:val="00F45141"/>
    <w:rsid w:val="00F452E3"/>
    <w:rsid w:val="00F46525"/>
    <w:rsid w:val="00F4710B"/>
    <w:rsid w:val="00F47622"/>
    <w:rsid w:val="00F47C15"/>
    <w:rsid w:val="00F50355"/>
    <w:rsid w:val="00F508CC"/>
    <w:rsid w:val="00F508D7"/>
    <w:rsid w:val="00F51939"/>
    <w:rsid w:val="00F51D45"/>
    <w:rsid w:val="00F53175"/>
    <w:rsid w:val="00F539CB"/>
    <w:rsid w:val="00F53B3A"/>
    <w:rsid w:val="00F544E6"/>
    <w:rsid w:val="00F5450A"/>
    <w:rsid w:val="00F54B61"/>
    <w:rsid w:val="00F54BB3"/>
    <w:rsid w:val="00F551A1"/>
    <w:rsid w:val="00F55AAF"/>
    <w:rsid w:val="00F5609B"/>
    <w:rsid w:val="00F5674E"/>
    <w:rsid w:val="00F567E9"/>
    <w:rsid w:val="00F60142"/>
    <w:rsid w:val="00F60B45"/>
    <w:rsid w:val="00F60FCA"/>
    <w:rsid w:val="00F61210"/>
    <w:rsid w:val="00F61415"/>
    <w:rsid w:val="00F61AF6"/>
    <w:rsid w:val="00F6297A"/>
    <w:rsid w:val="00F62D6A"/>
    <w:rsid w:val="00F6322C"/>
    <w:rsid w:val="00F632A5"/>
    <w:rsid w:val="00F6360B"/>
    <w:rsid w:val="00F6368E"/>
    <w:rsid w:val="00F637A9"/>
    <w:rsid w:val="00F63A66"/>
    <w:rsid w:val="00F648C5"/>
    <w:rsid w:val="00F64994"/>
    <w:rsid w:val="00F66CE7"/>
    <w:rsid w:val="00F67EAA"/>
    <w:rsid w:val="00F70372"/>
    <w:rsid w:val="00F70457"/>
    <w:rsid w:val="00F709D5"/>
    <w:rsid w:val="00F72EFC"/>
    <w:rsid w:val="00F733FC"/>
    <w:rsid w:val="00F737B4"/>
    <w:rsid w:val="00F74ACD"/>
    <w:rsid w:val="00F74E20"/>
    <w:rsid w:val="00F74FF1"/>
    <w:rsid w:val="00F76B8F"/>
    <w:rsid w:val="00F77D12"/>
    <w:rsid w:val="00F801D9"/>
    <w:rsid w:val="00F81567"/>
    <w:rsid w:val="00F81B61"/>
    <w:rsid w:val="00F81C88"/>
    <w:rsid w:val="00F81F5B"/>
    <w:rsid w:val="00F82256"/>
    <w:rsid w:val="00F822B2"/>
    <w:rsid w:val="00F825D1"/>
    <w:rsid w:val="00F8326E"/>
    <w:rsid w:val="00F83443"/>
    <w:rsid w:val="00F84D65"/>
    <w:rsid w:val="00F86916"/>
    <w:rsid w:val="00F90762"/>
    <w:rsid w:val="00F90F08"/>
    <w:rsid w:val="00F91863"/>
    <w:rsid w:val="00F91949"/>
    <w:rsid w:val="00F91E11"/>
    <w:rsid w:val="00F92C20"/>
    <w:rsid w:val="00F93273"/>
    <w:rsid w:val="00F933B1"/>
    <w:rsid w:val="00F935BC"/>
    <w:rsid w:val="00F93809"/>
    <w:rsid w:val="00F93E96"/>
    <w:rsid w:val="00F940AC"/>
    <w:rsid w:val="00F940BF"/>
    <w:rsid w:val="00F94503"/>
    <w:rsid w:val="00F9482F"/>
    <w:rsid w:val="00F94EE4"/>
    <w:rsid w:val="00F955C6"/>
    <w:rsid w:val="00F95B4C"/>
    <w:rsid w:val="00F9676C"/>
    <w:rsid w:val="00F96983"/>
    <w:rsid w:val="00F97013"/>
    <w:rsid w:val="00F973DD"/>
    <w:rsid w:val="00F978F1"/>
    <w:rsid w:val="00FA070B"/>
    <w:rsid w:val="00FA0A66"/>
    <w:rsid w:val="00FA0BB5"/>
    <w:rsid w:val="00FA0EB7"/>
    <w:rsid w:val="00FA1AA4"/>
    <w:rsid w:val="00FA1F50"/>
    <w:rsid w:val="00FA23C7"/>
    <w:rsid w:val="00FA2E54"/>
    <w:rsid w:val="00FA3216"/>
    <w:rsid w:val="00FA40A8"/>
    <w:rsid w:val="00FA468F"/>
    <w:rsid w:val="00FA4D9F"/>
    <w:rsid w:val="00FA59D1"/>
    <w:rsid w:val="00FA5D41"/>
    <w:rsid w:val="00FA5E89"/>
    <w:rsid w:val="00FA623E"/>
    <w:rsid w:val="00FA7861"/>
    <w:rsid w:val="00FA7D9A"/>
    <w:rsid w:val="00FB010F"/>
    <w:rsid w:val="00FB1F89"/>
    <w:rsid w:val="00FB1FE5"/>
    <w:rsid w:val="00FB218C"/>
    <w:rsid w:val="00FB259A"/>
    <w:rsid w:val="00FB3AC4"/>
    <w:rsid w:val="00FB3BF6"/>
    <w:rsid w:val="00FB44D1"/>
    <w:rsid w:val="00FB477F"/>
    <w:rsid w:val="00FB612C"/>
    <w:rsid w:val="00FB643F"/>
    <w:rsid w:val="00FB7075"/>
    <w:rsid w:val="00FB75B2"/>
    <w:rsid w:val="00FC05FF"/>
    <w:rsid w:val="00FC0611"/>
    <w:rsid w:val="00FC1F8C"/>
    <w:rsid w:val="00FC3905"/>
    <w:rsid w:val="00FC3E4C"/>
    <w:rsid w:val="00FC4060"/>
    <w:rsid w:val="00FC5583"/>
    <w:rsid w:val="00FC6215"/>
    <w:rsid w:val="00FC6B60"/>
    <w:rsid w:val="00FC6EC3"/>
    <w:rsid w:val="00FD0166"/>
    <w:rsid w:val="00FD0529"/>
    <w:rsid w:val="00FD054F"/>
    <w:rsid w:val="00FD083A"/>
    <w:rsid w:val="00FD08A6"/>
    <w:rsid w:val="00FD0F95"/>
    <w:rsid w:val="00FD1BC8"/>
    <w:rsid w:val="00FD1D68"/>
    <w:rsid w:val="00FD208E"/>
    <w:rsid w:val="00FD34C6"/>
    <w:rsid w:val="00FD4D24"/>
    <w:rsid w:val="00FD5306"/>
    <w:rsid w:val="00FD5500"/>
    <w:rsid w:val="00FD63E9"/>
    <w:rsid w:val="00FD6C9A"/>
    <w:rsid w:val="00FD7623"/>
    <w:rsid w:val="00FD7B96"/>
    <w:rsid w:val="00FD7E09"/>
    <w:rsid w:val="00FD7EFD"/>
    <w:rsid w:val="00FE03EC"/>
    <w:rsid w:val="00FE0A2D"/>
    <w:rsid w:val="00FE1592"/>
    <w:rsid w:val="00FE1E42"/>
    <w:rsid w:val="00FE2109"/>
    <w:rsid w:val="00FE21D2"/>
    <w:rsid w:val="00FE22D3"/>
    <w:rsid w:val="00FE22E5"/>
    <w:rsid w:val="00FE2D3A"/>
    <w:rsid w:val="00FE5BE3"/>
    <w:rsid w:val="00FE5DF1"/>
    <w:rsid w:val="00FE6225"/>
    <w:rsid w:val="00FE639B"/>
    <w:rsid w:val="00FE69FB"/>
    <w:rsid w:val="00FE6C95"/>
    <w:rsid w:val="00FE6FEB"/>
    <w:rsid w:val="00FE7D02"/>
    <w:rsid w:val="00FF01F8"/>
    <w:rsid w:val="00FF0A6F"/>
    <w:rsid w:val="00FF15AB"/>
    <w:rsid w:val="00FF1A04"/>
    <w:rsid w:val="00FF1A92"/>
    <w:rsid w:val="00FF23D4"/>
    <w:rsid w:val="00FF349D"/>
    <w:rsid w:val="00FF3D9E"/>
    <w:rsid w:val="00FF446D"/>
    <w:rsid w:val="00FF4694"/>
    <w:rsid w:val="00FF474C"/>
    <w:rsid w:val="00FF50CC"/>
    <w:rsid w:val="00FF608C"/>
    <w:rsid w:val="00FF6128"/>
    <w:rsid w:val="00FF6474"/>
    <w:rsid w:val="00FF7824"/>
    <w:rsid w:val="00FF7B5F"/>
    <w:rsid w:val="00FF7E4F"/>
    <w:rsid w:val="011E9B7E"/>
    <w:rsid w:val="0227C3B4"/>
    <w:rsid w:val="0256DFF1"/>
    <w:rsid w:val="032B2DE7"/>
    <w:rsid w:val="03D78F65"/>
    <w:rsid w:val="04A8308F"/>
    <w:rsid w:val="04B86BD7"/>
    <w:rsid w:val="04FE483B"/>
    <w:rsid w:val="0533E09B"/>
    <w:rsid w:val="05A071FD"/>
    <w:rsid w:val="05ADE72F"/>
    <w:rsid w:val="06414878"/>
    <w:rsid w:val="068ADC3E"/>
    <w:rsid w:val="07658743"/>
    <w:rsid w:val="0A82D2FF"/>
    <w:rsid w:val="0BDB5F9B"/>
    <w:rsid w:val="0E476623"/>
    <w:rsid w:val="0F7899F5"/>
    <w:rsid w:val="0FFBACFF"/>
    <w:rsid w:val="0FFF5937"/>
    <w:rsid w:val="111A2517"/>
    <w:rsid w:val="11581635"/>
    <w:rsid w:val="11B547AC"/>
    <w:rsid w:val="13E197F5"/>
    <w:rsid w:val="14D72AC8"/>
    <w:rsid w:val="152119E5"/>
    <w:rsid w:val="15B7D871"/>
    <w:rsid w:val="16B0DCB5"/>
    <w:rsid w:val="16C3ACE1"/>
    <w:rsid w:val="173013A2"/>
    <w:rsid w:val="173CF260"/>
    <w:rsid w:val="18C4ED9C"/>
    <w:rsid w:val="196CCBD9"/>
    <w:rsid w:val="19C00B61"/>
    <w:rsid w:val="1A2158B6"/>
    <w:rsid w:val="1AD51B0F"/>
    <w:rsid w:val="1CC31D11"/>
    <w:rsid w:val="1E033D87"/>
    <w:rsid w:val="1E81DCF7"/>
    <w:rsid w:val="21133B0A"/>
    <w:rsid w:val="211646A4"/>
    <w:rsid w:val="21A8C03D"/>
    <w:rsid w:val="223B0D30"/>
    <w:rsid w:val="2292ACCD"/>
    <w:rsid w:val="22CA841E"/>
    <w:rsid w:val="22F66E10"/>
    <w:rsid w:val="23315A6E"/>
    <w:rsid w:val="239C2496"/>
    <w:rsid w:val="24CF55B5"/>
    <w:rsid w:val="258A4847"/>
    <w:rsid w:val="2675B1D0"/>
    <w:rsid w:val="267F5889"/>
    <w:rsid w:val="2720AE52"/>
    <w:rsid w:val="274FB26F"/>
    <w:rsid w:val="27693B10"/>
    <w:rsid w:val="27864A1B"/>
    <w:rsid w:val="2940FD2B"/>
    <w:rsid w:val="2971E3FD"/>
    <w:rsid w:val="299DB491"/>
    <w:rsid w:val="29F7CF29"/>
    <w:rsid w:val="2A80D71F"/>
    <w:rsid w:val="2B5C6B35"/>
    <w:rsid w:val="2CED4CBE"/>
    <w:rsid w:val="2D9780A2"/>
    <w:rsid w:val="2F0F1B88"/>
    <w:rsid w:val="3070B601"/>
    <w:rsid w:val="314E6EC4"/>
    <w:rsid w:val="32558CA7"/>
    <w:rsid w:val="348F106D"/>
    <w:rsid w:val="34B528E4"/>
    <w:rsid w:val="3570129B"/>
    <w:rsid w:val="35E8D77C"/>
    <w:rsid w:val="3625888B"/>
    <w:rsid w:val="36632F65"/>
    <w:rsid w:val="36EE91AC"/>
    <w:rsid w:val="37E29C3E"/>
    <w:rsid w:val="3807B95D"/>
    <w:rsid w:val="3809763E"/>
    <w:rsid w:val="3857DFD9"/>
    <w:rsid w:val="3863BB7D"/>
    <w:rsid w:val="388DB2E0"/>
    <w:rsid w:val="38B7E972"/>
    <w:rsid w:val="395B4E80"/>
    <w:rsid w:val="398DD543"/>
    <w:rsid w:val="3AA4668B"/>
    <w:rsid w:val="3B222D6D"/>
    <w:rsid w:val="3B7DA358"/>
    <w:rsid w:val="3B9065AD"/>
    <w:rsid w:val="3BEFCB4D"/>
    <w:rsid w:val="3C9F8528"/>
    <w:rsid w:val="3D9A431F"/>
    <w:rsid w:val="3E46E616"/>
    <w:rsid w:val="3E824EB3"/>
    <w:rsid w:val="3EE2972A"/>
    <w:rsid w:val="42322A9A"/>
    <w:rsid w:val="434BC045"/>
    <w:rsid w:val="4396B438"/>
    <w:rsid w:val="442966B7"/>
    <w:rsid w:val="4451A0C0"/>
    <w:rsid w:val="44D48C0D"/>
    <w:rsid w:val="45033CB7"/>
    <w:rsid w:val="4517367C"/>
    <w:rsid w:val="451B8F86"/>
    <w:rsid w:val="45B12DCD"/>
    <w:rsid w:val="4627A157"/>
    <w:rsid w:val="463528A6"/>
    <w:rsid w:val="4659E284"/>
    <w:rsid w:val="4919BBA5"/>
    <w:rsid w:val="497DAE21"/>
    <w:rsid w:val="49B5C675"/>
    <w:rsid w:val="4A5C6C74"/>
    <w:rsid w:val="4C96CA42"/>
    <w:rsid w:val="4CC1D0F7"/>
    <w:rsid w:val="4E52F9AA"/>
    <w:rsid w:val="4EABB377"/>
    <w:rsid w:val="4F6839AF"/>
    <w:rsid w:val="50005AD4"/>
    <w:rsid w:val="50B566A8"/>
    <w:rsid w:val="510C832C"/>
    <w:rsid w:val="52B9AD2D"/>
    <w:rsid w:val="533C093A"/>
    <w:rsid w:val="548E17B9"/>
    <w:rsid w:val="567FD5C7"/>
    <w:rsid w:val="56E73C76"/>
    <w:rsid w:val="573725CE"/>
    <w:rsid w:val="59FADA37"/>
    <w:rsid w:val="5BAE52A5"/>
    <w:rsid w:val="5C9A6C90"/>
    <w:rsid w:val="5D7C0443"/>
    <w:rsid w:val="5D80FF49"/>
    <w:rsid w:val="5DBA6D4D"/>
    <w:rsid w:val="5DF6E44B"/>
    <w:rsid w:val="610C0F4A"/>
    <w:rsid w:val="6130BA9F"/>
    <w:rsid w:val="61F3F2F5"/>
    <w:rsid w:val="627061D0"/>
    <w:rsid w:val="627EAE2A"/>
    <w:rsid w:val="62B2EE20"/>
    <w:rsid w:val="62DF5F89"/>
    <w:rsid w:val="64116412"/>
    <w:rsid w:val="64A9E65C"/>
    <w:rsid w:val="6557880A"/>
    <w:rsid w:val="66740776"/>
    <w:rsid w:val="6789A55D"/>
    <w:rsid w:val="6803C78E"/>
    <w:rsid w:val="68583E26"/>
    <w:rsid w:val="68E7F89E"/>
    <w:rsid w:val="69C88DC1"/>
    <w:rsid w:val="69DF2923"/>
    <w:rsid w:val="6A7B1BE7"/>
    <w:rsid w:val="6B9060B2"/>
    <w:rsid w:val="6BF6A290"/>
    <w:rsid w:val="6C338EAE"/>
    <w:rsid w:val="6C5EAB7F"/>
    <w:rsid w:val="6C95497A"/>
    <w:rsid w:val="6CFE256D"/>
    <w:rsid w:val="6F1A471E"/>
    <w:rsid w:val="724F40CA"/>
    <w:rsid w:val="728BE06F"/>
    <w:rsid w:val="73367E85"/>
    <w:rsid w:val="7438E41E"/>
    <w:rsid w:val="744F812F"/>
    <w:rsid w:val="76EDB64D"/>
    <w:rsid w:val="78805E5C"/>
    <w:rsid w:val="78D46DD7"/>
    <w:rsid w:val="7B76EAE5"/>
    <w:rsid w:val="7BB08201"/>
    <w:rsid w:val="7D772AE3"/>
    <w:rsid w:val="7DC922E3"/>
    <w:rsid w:val="7DE570F5"/>
    <w:rsid w:val="7E0101B5"/>
    <w:rsid w:val="7E47F576"/>
    <w:rsid w:val="7E68324B"/>
    <w:rsid w:val="7E9CE588"/>
    <w:rsid w:val="7F54304E"/>
    <w:rsid w:val="7FC62A00"/>
    <w:rsid w:val="7FED84C1"/>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183394"/>
  <w15:chartTrackingRefBased/>
  <w15:docId w15:val="{2D2E5C9F-E918-4D5E-A1BB-ADFB2645C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C50C8A"/>
    <w:pPr>
      <w:spacing w:after="120" w:line="240" w:lineRule="auto"/>
    </w:pPr>
    <w:rPr>
      <w:rFonts w:ascii="Segoe UI" w:eastAsia="Times New Roman" w:hAnsi="Segoe UI" w:cs="Times New Roman"/>
      <w:sz w:val="21"/>
      <w:szCs w:val="20"/>
      <w:lang w:eastAsia="en-GB"/>
    </w:rPr>
  </w:style>
  <w:style w:type="paragraph" w:styleId="Heading1">
    <w:name w:val="heading 1"/>
    <w:basedOn w:val="Normal"/>
    <w:next w:val="Normal"/>
    <w:link w:val="Heading1Char"/>
    <w:uiPriority w:val="1"/>
    <w:qFormat/>
    <w:rsid w:val="00A627CB"/>
    <w:pPr>
      <w:keepNext/>
      <w:spacing w:before="480" w:after="180"/>
      <w:outlineLvl w:val="0"/>
    </w:pPr>
    <w:rPr>
      <w:b/>
      <w:color w:val="404040" w:themeColor="text1" w:themeTint="BF"/>
      <w:spacing w:val="-5"/>
      <w:sz w:val="56"/>
    </w:rPr>
  </w:style>
  <w:style w:type="paragraph" w:styleId="Heading2">
    <w:name w:val="heading 2"/>
    <w:basedOn w:val="Normal"/>
    <w:next w:val="Normal"/>
    <w:link w:val="Heading2Char"/>
    <w:uiPriority w:val="1"/>
    <w:qFormat/>
    <w:rsid w:val="00A627CB"/>
    <w:pPr>
      <w:spacing w:before="360" w:after="180"/>
      <w:outlineLvl w:val="1"/>
    </w:pPr>
    <w:rPr>
      <w:color w:val="404040" w:themeColor="text1" w:themeTint="BF"/>
      <w:spacing w:val="-5"/>
      <w:sz w:val="40"/>
    </w:rPr>
  </w:style>
  <w:style w:type="paragraph" w:styleId="Heading3">
    <w:name w:val="heading 3"/>
    <w:basedOn w:val="Normal"/>
    <w:next w:val="Normal"/>
    <w:link w:val="Heading3Char"/>
    <w:uiPriority w:val="1"/>
    <w:qFormat/>
    <w:rsid w:val="00940531"/>
    <w:pPr>
      <w:keepNext/>
      <w:spacing w:before="240"/>
      <w:outlineLvl w:val="2"/>
    </w:pPr>
    <w:rPr>
      <w:b/>
      <w:sz w:val="28"/>
    </w:rPr>
  </w:style>
  <w:style w:type="paragraph" w:styleId="Heading4">
    <w:name w:val="heading 4"/>
    <w:basedOn w:val="Normal"/>
    <w:next w:val="Normal"/>
    <w:link w:val="Heading4Char"/>
    <w:uiPriority w:val="9"/>
    <w:unhideWhenUsed/>
    <w:qFormat/>
    <w:rsid w:val="002B1F87"/>
    <w:pPr>
      <w:keepNext/>
      <w:keepLines/>
      <w:spacing w:before="40"/>
      <w:outlineLvl w:val="3"/>
    </w:pPr>
    <w:rPr>
      <w:rFonts w:asciiTheme="majorHAnsi" w:eastAsiaTheme="majorEastAsia" w:hAnsiTheme="majorHAnsi" w:cstheme="majorBidi"/>
      <w:i/>
      <w:iCs/>
      <w:color w:val="2F5496" w:themeColor="accent1" w:themeShade="BF"/>
      <w:sz w:val="24"/>
    </w:rPr>
  </w:style>
  <w:style w:type="paragraph" w:styleId="Heading5">
    <w:name w:val="heading 5"/>
    <w:basedOn w:val="Normal"/>
    <w:next w:val="Normal"/>
    <w:link w:val="Heading5Char"/>
    <w:uiPriority w:val="9"/>
    <w:unhideWhenUsed/>
    <w:qFormat/>
    <w:rsid w:val="002A1DA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627CB"/>
    <w:rPr>
      <w:rFonts w:ascii="Segoe UI" w:eastAsia="Times New Roman" w:hAnsi="Segoe UI" w:cs="Times New Roman"/>
      <w:b/>
      <w:color w:val="404040" w:themeColor="text1" w:themeTint="BF"/>
      <w:spacing w:val="-5"/>
      <w:sz w:val="56"/>
      <w:szCs w:val="20"/>
      <w:lang w:eastAsia="en-GB"/>
    </w:rPr>
  </w:style>
  <w:style w:type="character" w:customStyle="1" w:styleId="Heading2Char">
    <w:name w:val="Heading 2 Char"/>
    <w:basedOn w:val="DefaultParagraphFont"/>
    <w:link w:val="Heading2"/>
    <w:uiPriority w:val="1"/>
    <w:rsid w:val="00A627CB"/>
    <w:rPr>
      <w:rFonts w:ascii="Segoe UI" w:eastAsia="Times New Roman" w:hAnsi="Segoe UI" w:cs="Times New Roman"/>
      <w:color w:val="404040" w:themeColor="text1" w:themeTint="BF"/>
      <w:spacing w:val="-5"/>
      <w:sz w:val="40"/>
      <w:szCs w:val="20"/>
      <w:lang w:eastAsia="en-GB"/>
    </w:rPr>
  </w:style>
  <w:style w:type="character" w:customStyle="1" w:styleId="Heading3Char">
    <w:name w:val="Heading 3 Char"/>
    <w:basedOn w:val="DefaultParagraphFont"/>
    <w:link w:val="Heading3"/>
    <w:uiPriority w:val="1"/>
    <w:rsid w:val="00940531"/>
    <w:rPr>
      <w:rFonts w:ascii="Segoe UI" w:eastAsia="Times New Roman" w:hAnsi="Segoe UI" w:cs="Times New Roman"/>
      <w:b/>
      <w:sz w:val="28"/>
      <w:szCs w:val="20"/>
      <w:lang w:eastAsia="en-GB"/>
    </w:rPr>
  </w:style>
  <w:style w:type="paragraph" w:styleId="Footer">
    <w:name w:val="footer"/>
    <w:basedOn w:val="Normal"/>
    <w:link w:val="FooterChar"/>
    <w:uiPriority w:val="99"/>
    <w:qFormat/>
    <w:rsid w:val="00A627CB"/>
  </w:style>
  <w:style w:type="character" w:customStyle="1" w:styleId="FooterChar">
    <w:name w:val="Footer Char"/>
    <w:basedOn w:val="DefaultParagraphFont"/>
    <w:link w:val="Footer"/>
    <w:uiPriority w:val="99"/>
    <w:rsid w:val="00A627CB"/>
    <w:rPr>
      <w:rFonts w:ascii="Segoe UI" w:eastAsia="Times New Roman" w:hAnsi="Segoe UI" w:cs="Times New Roman"/>
      <w:sz w:val="21"/>
      <w:szCs w:val="20"/>
      <w:lang w:eastAsia="en-GB"/>
    </w:rPr>
  </w:style>
  <w:style w:type="character" w:styleId="PageNumber">
    <w:name w:val="page number"/>
    <w:rsid w:val="00A627CB"/>
    <w:rPr>
      <w:rFonts w:ascii="Segoe UI" w:hAnsi="Segoe UI"/>
      <w:b/>
      <w:sz w:val="22"/>
    </w:rPr>
  </w:style>
  <w:style w:type="paragraph" w:customStyle="1" w:styleId="VersoFooter">
    <w:name w:val="Verso Footer"/>
    <w:basedOn w:val="Footer"/>
    <w:rsid w:val="00A627CB"/>
    <w:rPr>
      <w:sz w:val="15"/>
    </w:rPr>
  </w:style>
  <w:style w:type="paragraph" w:customStyle="1" w:styleId="RectoFooter">
    <w:name w:val="Recto Footer"/>
    <w:basedOn w:val="Footer"/>
    <w:rsid w:val="00A627CB"/>
    <w:pPr>
      <w:jc w:val="right"/>
    </w:pPr>
    <w:rPr>
      <w:caps/>
      <w:sz w:val="15"/>
    </w:rPr>
  </w:style>
  <w:style w:type="table" w:styleId="TableGrid">
    <w:name w:val="Table Grid"/>
    <w:basedOn w:val="TableNormal"/>
    <w:uiPriority w:val="39"/>
    <w:rsid w:val="00A627CB"/>
    <w:pPr>
      <w:spacing w:after="0" w:line="264"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ed Para,Bulletr List Paragraph,CV t,CV text,Dot pt,F5 List Paragraph,FooterText,L,List Paragraph1,List Paragraph11,List Paragraph2,List Paragraph21,NFP GP Bulleted List,Paragraphe de liste1,Recommendation,numbered,リスト段落1,列出段落,列出段落1"/>
    <w:basedOn w:val="Normal"/>
    <w:link w:val="ListParagraphChar"/>
    <w:uiPriority w:val="34"/>
    <w:qFormat/>
    <w:rsid w:val="00856385"/>
    <w:pPr>
      <w:numPr>
        <w:numId w:val="2"/>
      </w:numPr>
      <w:ind w:left="284" w:hanging="284"/>
      <w:contextualSpacing/>
    </w:pPr>
  </w:style>
  <w:style w:type="paragraph" w:styleId="BalloonText">
    <w:name w:val="Balloon Text"/>
    <w:basedOn w:val="Normal"/>
    <w:link w:val="BalloonTextChar"/>
    <w:uiPriority w:val="99"/>
    <w:semiHidden/>
    <w:unhideWhenUsed/>
    <w:rsid w:val="006E30FC"/>
    <w:rPr>
      <w:rFonts w:cs="Segoe UI"/>
      <w:sz w:val="18"/>
      <w:szCs w:val="18"/>
    </w:rPr>
  </w:style>
  <w:style w:type="character" w:customStyle="1" w:styleId="BalloonTextChar">
    <w:name w:val="Balloon Text Char"/>
    <w:basedOn w:val="DefaultParagraphFont"/>
    <w:link w:val="BalloonText"/>
    <w:uiPriority w:val="99"/>
    <w:semiHidden/>
    <w:rsid w:val="006E30FC"/>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630870"/>
    <w:rPr>
      <w:sz w:val="16"/>
      <w:szCs w:val="16"/>
    </w:rPr>
  </w:style>
  <w:style w:type="paragraph" w:styleId="CommentText">
    <w:name w:val="annotation text"/>
    <w:basedOn w:val="Normal"/>
    <w:link w:val="CommentTextChar"/>
    <w:uiPriority w:val="99"/>
    <w:unhideWhenUsed/>
    <w:rsid w:val="00630870"/>
    <w:rPr>
      <w:sz w:val="20"/>
    </w:rPr>
  </w:style>
  <w:style w:type="character" w:customStyle="1" w:styleId="CommentTextChar">
    <w:name w:val="Comment Text Char"/>
    <w:basedOn w:val="DefaultParagraphFont"/>
    <w:link w:val="CommentText"/>
    <w:uiPriority w:val="99"/>
    <w:rsid w:val="00630870"/>
    <w:rPr>
      <w:rFonts w:ascii="Segoe UI" w:eastAsia="Times New Roman" w:hAnsi="Segoe U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30870"/>
    <w:rPr>
      <w:b/>
      <w:bCs/>
    </w:rPr>
  </w:style>
  <w:style w:type="character" w:customStyle="1" w:styleId="CommentSubjectChar">
    <w:name w:val="Comment Subject Char"/>
    <w:basedOn w:val="CommentTextChar"/>
    <w:link w:val="CommentSubject"/>
    <w:uiPriority w:val="99"/>
    <w:semiHidden/>
    <w:rsid w:val="00630870"/>
    <w:rPr>
      <w:rFonts w:ascii="Segoe UI" w:eastAsia="Times New Roman" w:hAnsi="Segoe UI" w:cs="Times New Roman"/>
      <w:b/>
      <w:bCs/>
      <w:sz w:val="20"/>
      <w:szCs w:val="20"/>
      <w:lang w:eastAsia="en-GB"/>
    </w:rPr>
  </w:style>
  <w:style w:type="paragraph" w:styleId="TOCHeading">
    <w:name w:val="TOC Heading"/>
    <w:basedOn w:val="Heading1"/>
    <w:next w:val="Normal"/>
    <w:uiPriority w:val="39"/>
    <w:unhideWhenUsed/>
    <w:qFormat/>
    <w:rsid w:val="00395BFE"/>
    <w:pPr>
      <w:keepLines/>
      <w:spacing w:before="240" w:after="0" w:line="259" w:lineRule="auto"/>
      <w:outlineLvl w:val="9"/>
    </w:pPr>
    <w:rPr>
      <w:rFonts w:asciiTheme="majorHAnsi" w:eastAsiaTheme="majorEastAsia" w:hAnsiTheme="majorHAnsi" w:cstheme="majorBidi"/>
      <w:b w:val="0"/>
      <w:color w:val="2F5496" w:themeColor="accent1" w:themeShade="BF"/>
      <w:spacing w:val="0"/>
      <w:sz w:val="32"/>
      <w:szCs w:val="32"/>
      <w:lang w:val="en-US" w:eastAsia="en-US"/>
    </w:rPr>
  </w:style>
  <w:style w:type="paragraph" w:styleId="TOC1">
    <w:name w:val="toc 1"/>
    <w:basedOn w:val="Normal"/>
    <w:next w:val="Normal"/>
    <w:autoRedefine/>
    <w:uiPriority w:val="39"/>
    <w:unhideWhenUsed/>
    <w:rsid w:val="00AA6748"/>
    <w:pPr>
      <w:tabs>
        <w:tab w:val="right" w:leader="dot" w:pos="9781"/>
      </w:tabs>
      <w:spacing w:after="100"/>
      <w:ind w:right="402"/>
    </w:pPr>
  </w:style>
  <w:style w:type="paragraph" w:styleId="TOC2">
    <w:name w:val="toc 2"/>
    <w:basedOn w:val="Normal"/>
    <w:next w:val="Normal"/>
    <w:autoRedefine/>
    <w:uiPriority w:val="39"/>
    <w:unhideWhenUsed/>
    <w:rsid w:val="007A0DB5"/>
    <w:pPr>
      <w:tabs>
        <w:tab w:val="right" w:leader="dot" w:pos="9781"/>
      </w:tabs>
      <w:spacing w:before="60" w:after="0"/>
      <w:ind w:left="567" w:right="403" w:hanging="425"/>
    </w:pPr>
  </w:style>
  <w:style w:type="paragraph" w:styleId="TOC3">
    <w:name w:val="toc 3"/>
    <w:basedOn w:val="Normal"/>
    <w:next w:val="Normal"/>
    <w:autoRedefine/>
    <w:uiPriority w:val="39"/>
    <w:unhideWhenUsed/>
    <w:rsid w:val="007A0DB5"/>
    <w:pPr>
      <w:tabs>
        <w:tab w:val="left" w:pos="1320"/>
        <w:tab w:val="right" w:leader="dot" w:pos="9356"/>
      </w:tabs>
      <w:spacing w:after="20"/>
      <w:ind w:left="420" w:right="403"/>
    </w:pPr>
  </w:style>
  <w:style w:type="character" w:styleId="Hyperlink">
    <w:name w:val="Hyperlink"/>
    <w:basedOn w:val="DefaultParagraphFont"/>
    <w:uiPriority w:val="99"/>
    <w:unhideWhenUsed/>
    <w:rsid w:val="00395BFE"/>
    <w:rPr>
      <w:color w:val="0563C1" w:themeColor="hyperlink"/>
      <w:u w:val="single"/>
    </w:rPr>
  </w:style>
  <w:style w:type="paragraph" w:styleId="Revision">
    <w:name w:val="Revision"/>
    <w:hidden/>
    <w:uiPriority w:val="99"/>
    <w:semiHidden/>
    <w:rsid w:val="00100F72"/>
    <w:pPr>
      <w:spacing w:after="0" w:line="240" w:lineRule="auto"/>
    </w:pPr>
    <w:rPr>
      <w:rFonts w:ascii="Segoe UI" w:eastAsia="Times New Roman" w:hAnsi="Segoe UI" w:cs="Times New Roman"/>
      <w:sz w:val="21"/>
      <w:szCs w:val="20"/>
      <w:lang w:eastAsia="en-GB"/>
    </w:rPr>
  </w:style>
  <w:style w:type="paragraph" w:customStyle="1" w:styleId="Table">
    <w:name w:val="Table"/>
    <w:basedOn w:val="Normal"/>
    <w:qFormat/>
    <w:rsid w:val="005760A0"/>
    <w:pPr>
      <w:keepNext/>
      <w:keepLines/>
      <w:spacing w:after="60"/>
    </w:pPr>
  </w:style>
  <w:style w:type="character" w:customStyle="1" w:styleId="Heading4Char">
    <w:name w:val="Heading 4 Char"/>
    <w:basedOn w:val="DefaultParagraphFont"/>
    <w:link w:val="Heading4"/>
    <w:uiPriority w:val="9"/>
    <w:rsid w:val="002B1F87"/>
    <w:rPr>
      <w:rFonts w:asciiTheme="majorHAnsi" w:eastAsiaTheme="majorEastAsia" w:hAnsiTheme="majorHAnsi" w:cstheme="majorBidi"/>
      <w:i/>
      <w:iCs/>
      <w:color w:val="2F5496" w:themeColor="accent1" w:themeShade="BF"/>
      <w:sz w:val="24"/>
      <w:szCs w:val="20"/>
      <w:lang w:eastAsia="en-GB"/>
    </w:rPr>
  </w:style>
  <w:style w:type="character" w:customStyle="1" w:styleId="Heading5Char">
    <w:name w:val="Heading 5 Char"/>
    <w:basedOn w:val="DefaultParagraphFont"/>
    <w:link w:val="Heading5"/>
    <w:uiPriority w:val="9"/>
    <w:rsid w:val="002A1DAA"/>
    <w:rPr>
      <w:rFonts w:asciiTheme="majorHAnsi" w:eastAsiaTheme="majorEastAsia" w:hAnsiTheme="majorHAnsi" w:cstheme="majorBidi"/>
      <w:color w:val="2F5496" w:themeColor="accent1" w:themeShade="BF"/>
      <w:sz w:val="21"/>
      <w:szCs w:val="20"/>
      <w:lang w:eastAsia="en-GB"/>
    </w:rPr>
  </w:style>
  <w:style w:type="paragraph" w:styleId="Subtitle">
    <w:name w:val="Subtitle"/>
    <w:basedOn w:val="Normal"/>
    <w:next w:val="Normal"/>
    <w:link w:val="SubtitleChar"/>
    <w:uiPriority w:val="11"/>
    <w:qFormat/>
    <w:rsid w:val="00DF7EB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F7EB9"/>
    <w:rPr>
      <w:rFonts w:eastAsiaTheme="minorEastAsia"/>
      <w:color w:val="5A5A5A" w:themeColor="text1" w:themeTint="A5"/>
      <w:spacing w:val="15"/>
      <w:lang w:eastAsia="en-GB"/>
    </w:rPr>
  </w:style>
  <w:style w:type="paragraph" w:styleId="FootnoteText">
    <w:name w:val="footnote text"/>
    <w:basedOn w:val="Normal"/>
    <w:link w:val="FootnoteTextChar"/>
    <w:uiPriority w:val="99"/>
    <w:unhideWhenUsed/>
    <w:rsid w:val="008214C7"/>
    <w:rPr>
      <w:sz w:val="20"/>
    </w:rPr>
  </w:style>
  <w:style w:type="character" w:customStyle="1" w:styleId="FootnoteTextChar">
    <w:name w:val="Footnote Text Char"/>
    <w:basedOn w:val="DefaultParagraphFont"/>
    <w:link w:val="FootnoteText"/>
    <w:uiPriority w:val="99"/>
    <w:rsid w:val="008214C7"/>
    <w:rPr>
      <w:rFonts w:ascii="Segoe UI" w:eastAsia="Times New Roman" w:hAnsi="Segoe UI" w:cs="Times New Roman"/>
      <w:sz w:val="20"/>
      <w:szCs w:val="20"/>
      <w:lang w:eastAsia="en-GB"/>
    </w:rPr>
  </w:style>
  <w:style w:type="character" w:styleId="FootnoteReference">
    <w:name w:val="footnote reference"/>
    <w:basedOn w:val="DefaultParagraphFont"/>
    <w:uiPriority w:val="99"/>
    <w:unhideWhenUsed/>
    <w:rsid w:val="008214C7"/>
    <w:rPr>
      <w:vertAlign w:val="superscript"/>
    </w:rPr>
  </w:style>
  <w:style w:type="paragraph" w:customStyle="1" w:styleId="Default">
    <w:name w:val="Default"/>
    <w:rsid w:val="00023552"/>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CB6997"/>
    <w:pPr>
      <w:spacing w:after="0" w:line="240" w:lineRule="auto"/>
    </w:pPr>
    <w:rPr>
      <w:rFonts w:ascii="Segoe UI" w:eastAsia="Times New Roman" w:hAnsi="Segoe UI" w:cs="Times New Roman"/>
      <w:sz w:val="21"/>
      <w:szCs w:val="20"/>
      <w:lang w:eastAsia="en-GB"/>
    </w:rPr>
  </w:style>
  <w:style w:type="paragraph" w:styleId="Header">
    <w:name w:val="header"/>
    <w:basedOn w:val="Normal"/>
    <w:link w:val="HeaderChar"/>
    <w:uiPriority w:val="99"/>
    <w:unhideWhenUsed/>
    <w:rsid w:val="00DF1AB8"/>
    <w:pPr>
      <w:tabs>
        <w:tab w:val="center" w:pos="4513"/>
        <w:tab w:val="right" w:pos="9026"/>
      </w:tabs>
      <w:spacing w:after="0"/>
    </w:pPr>
  </w:style>
  <w:style w:type="character" w:customStyle="1" w:styleId="HeaderChar">
    <w:name w:val="Header Char"/>
    <w:basedOn w:val="DefaultParagraphFont"/>
    <w:link w:val="Header"/>
    <w:uiPriority w:val="99"/>
    <w:rsid w:val="00DF1AB8"/>
    <w:rPr>
      <w:rFonts w:ascii="Segoe UI" w:eastAsia="Times New Roman" w:hAnsi="Segoe UI" w:cs="Times New Roman"/>
      <w:sz w:val="21"/>
      <w:szCs w:val="20"/>
      <w:lang w:eastAsia="en-GB"/>
    </w:rPr>
  </w:style>
  <w:style w:type="paragraph" w:styleId="Quote">
    <w:name w:val="Quote"/>
    <w:basedOn w:val="Normal"/>
    <w:next w:val="Normal"/>
    <w:link w:val="QuoteChar"/>
    <w:uiPriority w:val="29"/>
    <w:qFormat/>
    <w:rsid w:val="00C97BB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97BBA"/>
    <w:rPr>
      <w:rFonts w:ascii="Segoe UI" w:eastAsia="Times New Roman" w:hAnsi="Segoe UI" w:cs="Times New Roman"/>
      <w:i/>
      <w:iCs/>
      <w:color w:val="404040" w:themeColor="text1" w:themeTint="BF"/>
      <w:sz w:val="21"/>
      <w:szCs w:val="20"/>
      <w:lang w:eastAsia="en-GB"/>
    </w:rPr>
  </w:style>
  <w:style w:type="paragraph" w:styleId="Caption">
    <w:name w:val="caption"/>
    <w:basedOn w:val="Normal"/>
    <w:next w:val="Normal"/>
    <w:uiPriority w:val="35"/>
    <w:unhideWhenUsed/>
    <w:qFormat/>
    <w:rsid w:val="00BF70E3"/>
    <w:pPr>
      <w:spacing w:after="200"/>
    </w:pPr>
    <w:rPr>
      <w:i/>
      <w:iCs/>
      <w:color w:val="44546A" w:themeColor="text2"/>
      <w:sz w:val="18"/>
      <w:szCs w:val="18"/>
    </w:rPr>
  </w:style>
  <w:style w:type="table" w:styleId="GridTable5Dark-Accent2">
    <w:name w:val="Grid Table 5 Dark Accent 2"/>
    <w:basedOn w:val="TableNormal"/>
    <w:uiPriority w:val="50"/>
    <w:rsid w:val="005B36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UnresolvedMention">
    <w:name w:val="Unresolved Mention"/>
    <w:basedOn w:val="DefaultParagraphFont"/>
    <w:uiPriority w:val="99"/>
    <w:rsid w:val="00E45887"/>
    <w:rPr>
      <w:color w:val="605E5C"/>
      <w:shd w:val="clear" w:color="auto" w:fill="E1DFDD"/>
    </w:rPr>
  </w:style>
  <w:style w:type="paragraph" w:styleId="Title">
    <w:name w:val="Title"/>
    <w:basedOn w:val="Heading1"/>
    <w:next w:val="Normal"/>
    <w:link w:val="TitleChar"/>
    <w:uiPriority w:val="10"/>
    <w:qFormat/>
    <w:rsid w:val="00496803"/>
    <w:pPr>
      <w:ind w:right="402"/>
    </w:pPr>
  </w:style>
  <w:style w:type="character" w:customStyle="1" w:styleId="TitleChar">
    <w:name w:val="Title Char"/>
    <w:basedOn w:val="DefaultParagraphFont"/>
    <w:link w:val="Title"/>
    <w:uiPriority w:val="10"/>
    <w:rsid w:val="00496803"/>
    <w:rPr>
      <w:rFonts w:ascii="Segoe UI" w:eastAsia="Times New Roman" w:hAnsi="Segoe UI" w:cs="Times New Roman"/>
      <w:b/>
      <w:color w:val="404040" w:themeColor="text1" w:themeTint="BF"/>
      <w:spacing w:val="-5"/>
      <w:sz w:val="56"/>
      <w:szCs w:val="20"/>
      <w:lang w:eastAsia="en-GB"/>
    </w:rPr>
  </w:style>
  <w:style w:type="character" w:styleId="FollowedHyperlink">
    <w:name w:val="FollowedHyperlink"/>
    <w:basedOn w:val="DefaultParagraphFont"/>
    <w:uiPriority w:val="99"/>
    <w:semiHidden/>
    <w:unhideWhenUsed/>
    <w:rsid w:val="00AC3679"/>
    <w:rPr>
      <w:color w:val="954F72" w:themeColor="followedHyperlink"/>
      <w:u w:val="single"/>
    </w:rPr>
  </w:style>
  <w:style w:type="table" w:styleId="GridTable4-Accent2">
    <w:name w:val="Grid Table 4 Accent 2"/>
    <w:basedOn w:val="TableNormal"/>
    <w:uiPriority w:val="49"/>
    <w:rsid w:val="0055187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NormalWeb">
    <w:name w:val="Normal (Web)"/>
    <w:basedOn w:val="Normal"/>
    <w:uiPriority w:val="99"/>
    <w:unhideWhenUsed/>
    <w:rsid w:val="003D7FB4"/>
    <w:pPr>
      <w:spacing w:before="100" w:beforeAutospacing="1" w:after="100" w:afterAutospacing="1"/>
    </w:pPr>
    <w:rPr>
      <w:rFonts w:ascii="Times New Roman" w:hAnsi="Times New Roman"/>
      <w:sz w:val="24"/>
      <w:szCs w:val="24"/>
      <w:lang w:eastAsia="en-NZ"/>
    </w:rPr>
  </w:style>
  <w:style w:type="character" w:styleId="Emphasis">
    <w:name w:val="Emphasis"/>
    <w:basedOn w:val="DefaultParagraphFont"/>
    <w:uiPriority w:val="20"/>
    <w:qFormat/>
    <w:rsid w:val="00114D08"/>
    <w:rPr>
      <w:i/>
      <w:iCs/>
    </w:rPr>
  </w:style>
  <w:style w:type="character" w:styleId="Strong">
    <w:name w:val="Strong"/>
    <w:basedOn w:val="DefaultParagraphFont"/>
    <w:uiPriority w:val="22"/>
    <w:qFormat/>
    <w:rsid w:val="00114D08"/>
    <w:rPr>
      <w:b/>
      <w:bCs/>
    </w:rPr>
  </w:style>
  <w:style w:type="paragraph" w:customStyle="1" w:styleId="Pa1">
    <w:name w:val="Pa1"/>
    <w:basedOn w:val="Normal"/>
    <w:next w:val="Normal"/>
    <w:uiPriority w:val="99"/>
    <w:rsid w:val="00114D08"/>
    <w:pPr>
      <w:autoSpaceDE w:val="0"/>
      <w:autoSpaceDN w:val="0"/>
      <w:adjustRightInd w:val="0"/>
      <w:spacing w:after="0" w:line="241" w:lineRule="atLeast"/>
    </w:pPr>
    <w:rPr>
      <w:rFonts w:ascii="Univers LT Pro 45 Light" w:eastAsiaTheme="minorHAnsi" w:hAnsi="Univers LT Pro 45 Light" w:cstheme="minorBidi"/>
      <w:sz w:val="24"/>
      <w:szCs w:val="24"/>
      <w:lang w:eastAsia="en-US"/>
    </w:rPr>
  </w:style>
  <w:style w:type="character" w:customStyle="1" w:styleId="A3">
    <w:name w:val="A3"/>
    <w:uiPriority w:val="99"/>
    <w:rsid w:val="00114D08"/>
    <w:rPr>
      <w:rFonts w:cs="Univers LT Pro 45 Light"/>
      <w:color w:val="000000"/>
      <w:sz w:val="20"/>
      <w:szCs w:val="20"/>
    </w:rPr>
  </w:style>
  <w:style w:type="character" w:styleId="Mention">
    <w:name w:val="Mention"/>
    <w:basedOn w:val="DefaultParagraphFont"/>
    <w:uiPriority w:val="99"/>
    <w:rsid w:val="00CB2325"/>
    <w:rPr>
      <w:color w:val="2B579A"/>
      <w:shd w:val="clear" w:color="auto" w:fill="E1DFDD"/>
    </w:rPr>
  </w:style>
  <w:style w:type="paragraph" w:customStyle="1" w:styleId="paragraph">
    <w:name w:val="paragraph"/>
    <w:basedOn w:val="Normal"/>
    <w:rsid w:val="005A32A9"/>
    <w:pPr>
      <w:spacing w:before="100" w:beforeAutospacing="1" w:after="100" w:afterAutospacing="1"/>
    </w:pPr>
    <w:rPr>
      <w:rFonts w:ascii="Times New Roman" w:hAnsi="Times New Roman"/>
      <w:sz w:val="24"/>
      <w:szCs w:val="24"/>
      <w:lang w:eastAsia="en-NZ"/>
    </w:rPr>
  </w:style>
  <w:style w:type="character" w:customStyle="1" w:styleId="normaltextrun">
    <w:name w:val="normaltextrun"/>
    <w:basedOn w:val="DefaultParagraphFont"/>
    <w:rsid w:val="005A32A9"/>
  </w:style>
  <w:style w:type="character" w:customStyle="1" w:styleId="eop">
    <w:name w:val="eop"/>
    <w:basedOn w:val="DefaultParagraphFont"/>
    <w:rsid w:val="005A32A9"/>
  </w:style>
  <w:style w:type="character" w:customStyle="1" w:styleId="scxw124601909">
    <w:name w:val="scxw124601909"/>
    <w:basedOn w:val="DefaultParagraphFont"/>
    <w:rsid w:val="005A32A9"/>
  </w:style>
  <w:style w:type="character" w:customStyle="1" w:styleId="ListParagraphChar">
    <w:name w:val="List Paragraph Char"/>
    <w:aliases w:val="Bulleted Para Char,Bulletr List Paragraph Char,CV t Char,CV text Char,Dot pt Char,F5 List Paragraph Char,FooterText Char,L Char,List Paragraph1 Char,List Paragraph11 Char,List Paragraph2 Char,List Paragraph21 Char,Recommendation Char"/>
    <w:link w:val="ListParagraph"/>
    <w:uiPriority w:val="34"/>
    <w:locked/>
    <w:rsid w:val="00D40F75"/>
    <w:rPr>
      <w:rFonts w:ascii="Segoe UI" w:eastAsia="Times New Roman" w:hAnsi="Segoe UI" w:cs="Times New Roman"/>
      <w:sz w:val="21"/>
      <w:szCs w:val="20"/>
      <w:lang w:eastAsia="en-GB"/>
    </w:rPr>
  </w:style>
  <w:style w:type="character" w:customStyle="1" w:styleId="bkciteavail">
    <w:name w:val="bk_cite_avail"/>
    <w:basedOn w:val="DefaultParagraphFont"/>
    <w:rsid w:val="00D40F75"/>
  </w:style>
  <w:style w:type="paragraph" w:customStyle="1" w:styleId="NumberedParagraphs-MOH">
    <w:name w:val="Numbered Paragraphs - MOH"/>
    <w:basedOn w:val="Normal"/>
    <w:qFormat/>
    <w:rsid w:val="004A5071"/>
    <w:pPr>
      <w:numPr>
        <w:numId w:val="7"/>
      </w:numPr>
      <w:spacing w:before="120" w:after="0"/>
      <w:ind w:right="284"/>
    </w:pPr>
    <w:rPr>
      <w:rFonts w:cs="Segoe UI"/>
      <w:kern w:val="22"/>
      <w:sz w:val="22"/>
      <w:szCs w:val="22"/>
      <w:lang w:eastAsia="en-NZ"/>
    </w:rPr>
  </w:style>
  <w:style w:type="paragraph" w:customStyle="1" w:styleId="ReportBody2-MOH">
    <w:name w:val="Report Body 2 - MOH"/>
    <w:basedOn w:val="NumberedParagraphs-MOH"/>
    <w:qFormat/>
    <w:rsid w:val="004A5071"/>
    <w:pPr>
      <w:numPr>
        <w:ilvl w:val="1"/>
      </w:numPr>
      <w:tabs>
        <w:tab w:val="num" w:pos="284"/>
        <w:tab w:val="num" w:pos="360"/>
      </w:tabs>
    </w:pPr>
  </w:style>
  <w:style w:type="paragraph" w:customStyle="1" w:styleId="SecondLevelBullets-MOH">
    <w:name w:val="Second Level Bullets - MOH"/>
    <w:basedOn w:val="Normal"/>
    <w:qFormat/>
    <w:rsid w:val="004A5071"/>
    <w:pPr>
      <w:numPr>
        <w:ilvl w:val="2"/>
        <w:numId w:val="7"/>
      </w:numPr>
      <w:spacing w:before="120" w:after="0"/>
      <w:ind w:right="284"/>
    </w:pPr>
    <w:rPr>
      <w:rFonts w:cs="Segoe UI"/>
      <w:kern w:val="22"/>
      <w:sz w:val="22"/>
      <w:szCs w:val="22"/>
      <w:lang w:eastAsia="en-NZ"/>
    </w:rPr>
  </w:style>
  <w:style w:type="table" w:styleId="GridTable1Light">
    <w:name w:val="Grid Table 1 Light"/>
    <w:basedOn w:val="TableNormal"/>
    <w:uiPriority w:val="46"/>
    <w:rsid w:val="00085F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refauthorsname">
    <w:name w:val="ref__authors__name"/>
    <w:basedOn w:val="Normal"/>
    <w:rsid w:val="002B4F2D"/>
    <w:pPr>
      <w:spacing w:before="100" w:beforeAutospacing="1" w:after="100" w:afterAutospacing="1"/>
    </w:pPr>
    <w:rPr>
      <w:rFonts w:ascii="Times New Roman" w:hAnsi="Times New Roman"/>
      <w:sz w:val="24"/>
      <w:szCs w:val="24"/>
      <w:lang w:eastAsia="en-NZ"/>
    </w:rPr>
  </w:style>
  <w:style w:type="character" w:customStyle="1" w:styleId="refseries">
    <w:name w:val="ref__series"/>
    <w:basedOn w:val="DefaultParagraphFont"/>
    <w:rsid w:val="002B4F2D"/>
  </w:style>
  <w:style w:type="character" w:customStyle="1" w:styleId="refseriesdate">
    <w:name w:val="ref__seriesdate"/>
    <w:basedOn w:val="DefaultParagraphFont"/>
    <w:rsid w:val="002B4F2D"/>
  </w:style>
  <w:style w:type="character" w:customStyle="1" w:styleId="refseriesvolume">
    <w:name w:val="ref__seriesvolume"/>
    <w:basedOn w:val="DefaultParagraphFont"/>
    <w:rsid w:val="002B4F2D"/>
  </w:style>
  <w:style w:type="character" w:customStyle="1" w:styleId="refseriespages">
    <w:name w:val="ref__seriespages"/>
    <w:basedOn w:val="DefaultParagraphFont"/>
    <w:rsid w:val="002B4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28267">
      <w:bodyDiv w:val="1"/>
      <w:marLeft w:val="0"/>
      <w:marRight w:val="0"/>
      <w:marTop w:val="0"/>
      <w:marBottom w:val="0"/>
      <w:divBdr>
        <w:top w:val="none" w:sz="0" w:space="0" w:color="auto"/>
        <w:left w:val="none" w:sz="0" w:space="0" w:color="auto"/>
        <w:bottom w:val="none" w:sz="0" w:space="0" w:color="auto"/>
        <w:right w:val="none" w:sz="0" w:space="0" w:color="auto"/>
      </w:divBdr>
    </w:div>
    <w:div w:id="49350409">
      <w:bodyDiv w:val="1"/>
      <w:marLeft w:val="0"/>
      <w:marRight w:val="0"/>
      <w:marTop w:val="0"/>
      <w:marBottom w:val="0"/>
      <w:divBdr>
        <w:top w:val="none" w:sz="0" w:space="0" w:color="auto"/>
        <w:left w:val="none" w:sz="0" w:space="0" w:color="auto"/>
        <w:bottom w:val="none" w:sz="0" w:space="0" w:color="auto"/>
        <w:right w:val="none" w:sz="0" w:space="0" w:color="auto"/>
      </w:divBdr>
    </w:div>
    <w:div w:id="54398894">
      <w:bodyDiv w:val="1"/>
      <w:marLeft w:val="0"/>
      <w:marRight w:val="0"/>
      <w:marTop w:val="0"/>
      <w:marBottom w:val="0"/>
      <w:divBdr>
        <w:top w:val="none" w:sz="0" w:space="0" w:color="auto"/>
        <w:left w:val="none" w:sz="0" w:space="0" w:color="auto"/>
        <w:bottom w:val="none" w:sz="0" w:space="0" w:color="auto"/>
        <w:right w:val="none" w:sz="0" w:space="0" w:color="auto"/>
      </w:divBdr>
      <w:divsChild>
        <w:div w:id="983973705">
          <w:marLeft w:val="0"/>
          <w:marRight w:val="0"/>
          <w:marTop w:val="0"/>
          <w:marBottom w:val="0"/>
          <w:divBdr>
            <w:top w:val="none" w:sz="0" w:space="0" w:color="auto"/>
            <w:left w:val="none" w:sz="0" w:space="0" w:color="auto"/>
            <w:bottom w:val="none" w:sz="0" w:space="0" w:color="auto"/>
            <w:right w:val="none" w:sz="0" w:space="0" w:color="auto"/>
          </w:divBdr>
        </w:div>
        <w:div w:id="1694649473">
          <w:marLeft w:val="0"/>
          <w:marRight w:val="0"/>
          <w:marTop w:val="0"/>
          <w:marBottom w:val="0"/>
          <w:divBdr>
            <w:top w:val="none" w:sz="0" w:space="0" w:color="auto"/>
            <w:left w:val="none" w:sz="0" w:space="0" w:color="auto"/>
            <w:bottom w:val="none" w:sz="0" w:space="0" w:color="auto"/>
            <w:right w:val="none" w:sz="0" w:space="0" w:color="auto"/>
          </w:divBdr>
        </w:div>
        <w:div w:id="1791511019">
          <w:marLeft w:val="0"/>
          <w:marRight w:val="0"/>
          <w:marTop w:val="0"/>
          <w:marBottom w:val="0"/>
          <w:divBdr>
            <w:top w:val="none" w:sz="0" w:space="0" w:color="auto"/>
            <w:left w:val="none" w:sz="0" w:space="0" w:color="auto"/>
            <w:bottom w:val="none" w:sz="0" w:space="0" w:color="auto"/>
            <w:right w:val="none" w:sz="0" w:space="0" w:color="auto"/>
          </w:divBdr>
        </w:div>
      </w:divsChild>
    </w:div>
    <w:div w:id="62341907">
      <w:bodyDiv w:val="1"/>
      <w:marLeft w:val="0"/>
      <w:marRight w:val="0"/>
      <w:marTop w:val="0"/>
      <w:marBottom w:val="0"/>
      <w:divBdr>
        <w:top w:val="none" w:sz="0" w:space="0" w:color="auto"/>
        <w:left w:val="none" w:sz="0" w:space="0" w:color="auto"/>
        <w:bottom w:val="none" w:sz="0" w:space="0" w:color="auto"/>
        <w:right w:val="none" w:sz="0" w:space="0" w:color="auto"/>
      </w:divBdr>
    </w:div>
    <w:div w:id="146553603">
      <w:bodyDiv w:val="1"/>
      <w:marLeft w:val="0"/>
      <w:marRight w:val="0"/>
      <w:marTop w:val="0"/>
      <w:marBottom w:val="0"/>
      <w:divBdr>
        <w:top w:val="none" w:sz="0" w:space="0" w:color="auto"/>
        <w:left w:val="none" w:sz="0" w:space="0" w:color="auto"/>
        <w:bottom w:val="none" w:sz="0" w:space="0" w:color="auto"/>
        <w:right w:val="none" w:sz="0" w:space="0" w:color="auto"/>
      </w:divBdr>
    </w:div>
    <w:div w:id="160392251">
      <w:bodyDiv w:val="1"/>
      <w:marLeft w:val="0"/>
      <w:marRight w:val="0"/>
      <w:marTop w:val="0"/>
      <w:marBottom w:val="0"/>
      <w:divBdr>
        <w:top w:val="none" w:sz="0" w:space="0" w:color="auto"/>
        <w:left w:val="none" w:sz="0" w:space="0" w:color="auto"/>
        <w:bottom w:val="none" w:sz="0" w:space="0" w:color="auto"/>
        <w:right w:val="none" w:sz="0" w:space="0" w:color="auto"/>
      </w:divBdr>
    </w:div>
    <w:div w:id="176307378">
      <w:bodyDiv w:val="1"/>
      <w:marLeft w:val="0"/>
      <w:marRight w:val="0"/>
      <w:marTop w:val="0"/>
      <w:marBottom w:val="0"/>
      <w:divBdr>
        <w:top w:val="none" w:sz="0" w:space="0" w:color="auto"/>
        <w:left w:val="none" w:sz="0" w:space="0" w:color="auto"/>
        <w:bottom w:val="none" w:sz="0" w:space="0" w:color="auto"/>
        <w:right w:val="none" w:sz="0" w:space="0" w:color="auto"/>
      </w:divBdr>
    </w:div>
    <w:div w:id="210192436">
      <w:bodyDiv w:val="1"/>
      <w:marLeft w:val="0"/>
      <w:marRight w:val="0"/>
      <w:marTop w:val="0"/>
      <w:marBottom w:val="0"/>
      <w:divBdr>
        <w:top w:val="none" w:sz="0" w:space="0" w:color="auto"/>
        <w:left w:val="none" w:sz="0" w:space="0" w:color="auto"/>
        <w:bottom w:val="none" w:sz="0" w:space="0" w:color="auto"/>
        <w:right w:val="none" w:sz="0" w:space="0" w:color="auto"/>
      </w:divBdr>
    </w:div>
    <w:div w:id="286737539">
      <w:bodyDiv w:val="1"/>
      <w:marLeft w:val="0"/>
      <w:marRight w:val="0"/>
      <w:marTop w:val="0"/>
      <w:marBottom w:val="0"/>
      <w:divBdr>
        <w:top w:val="none" w:sz="0" w:space="0" w:color="auto"/>
        <w:left w:val="none" w:sz="0" w:space="0" w:color="auto"/>
        <w:bottom w:val="none" w:sz="0" w:space="0" w:color="auto"/>
        <w:right w:val="none" w:sz="0" w:space="0" w:color="auto"/>
      </w:divBdr>
    </w:div>
    <w:div w:id="302467166">
      <w:bodyDiv w:val="1"/>
      <w:marLeft w:val="0"/>
      <w:marRight w:val="0"/>
      <w:marTop w:val="0"/>
      <w:marBottom w:val="0"/>
      <w:divBdr>
        <w:top w:val="none" w:sz="0" w:space="0" w:color="auto"/>
        <w:left w:val="none" w:sz="0" w:space="0" w:color="auto"/>
        <w:bottom w:val="none" w:sz="0" w:space="0" w:color="auto"/>
        <w:right w:val="none" w:sz="0" w:space="0" w:color="auto"/>
      </w:divBdr>
    </w:div>
    <w:div w:id="382100932">
      <w:bodyDiv w:val="1"/>
      <w:marLeft w:val="0"/>
      <w:marRight w:val="0"/>
      <w:marTop w:val="0"/>
      <w:marBottom w:val="0"/>
      <w:divBdr>
        <w:top w:val="none" w:sz="0" w:space="0" w:color="auto"/>
        <w:left w:val="none" w:sz="0" w:space="0" w:color="auto"/>
        <w:bottom w:val="none" w:sz="0" w:space="0" w:color="auto"/>
        <w:right w:val="none" w:sz="0" w:space="0" w:color="auto"/>
      </w:divBdr>
    </w:div>
    <w:div w:id="404109196">
      <w:bodyDiv w:val="1"/>
      <w:marLeft w:val="0"/>
      <w:marRight w:val="0"/>
      <w:marTop w:val="0"/>
      <w:marBottom w:val="0"/>
      <w:divBdr>
        <w:top w:val="none" w:sz="0" w:space="0" w:color="auto"/>
        <w:left w:val="none" w:sz="0" w:space="0" w:color="auto"/>
        <w:bottom w:val="none" w:sz="0" w:space="0" w:color="auto"/>
        <w:right w:val="none" w:sz="0" w:space="0" w:color="auto"/>
      </w:divBdr>
    </w:div>
    <w:div w:id="495266066">
      <w:bodyDiv w:val="1"/>
      <w:marLeft w:val="0"/>
      <w:marRight w:val="0"/>
      <w:marTop w:val="0"/>
      <w:marBottom w:val="0"/>
      <w:divBdr>
        <w:top w:val="none" w:sz="0" w:space="0" w:color="auto"/>
        <w:left w:val="none" w:sz="0" w:space="0" w:color="auto"/>
        <w:bottom w:val="none" w:sz="0" w:space="0" w:color="auto"/>
        <w:right w:val="none" w:sz="0" w:space="0" w:color="auto"/>
      </w:divBdr>
    </w:div>
    <w:div w:id="516584249">
      <w:bodyDiv w:val="1"/>
      <w:marLeft w:val="0"/>
      <w:marRight w:val="0"/>
      <w:marTop w:val="0"/>
      <w:marBottom w:val="0"/>
      <w:divBdr>
        <w:top w:val="none" w:sz="0" w:space="0" w:color="auto"/>
        <w:left w:val="none" w:sz="0" w:space="0" w:color="auto"/>
        <w:bottom w:val="none" w:sz="0" w:space="0" w:color="auto"/>
        <w:right w:val="none" w:sz="0" w:space="0" w:color="auto"/>
      </w:divBdr>
    </w:div>
    <w:div w:id="559484181">
      <w:bodyDiv w:val="1"/>
      <w:marLeft w:val="0"/>
      <w:marRight w:val="0"/>
      <w:marTop w:val="0"/>
      <w:marBottom w:val="0"/>
      <w:divBdr>
        <w:top w:val="none" w:sz="0" w:space="0" w:color="auto"/>
        <w:left w:val="none" w:sz="0" w:space="0" w:color="auto"/>
        <w:bottom w:val="none" w:sz="0" w:space="0" w:color="auto"/>
        <w:right w:val="none" w:sz="0" w:space="0" w:color="auto"/>
      </w:divBdr>
    </w:div>
    <w:div w:id="569312425">
      <w:bodyDiv w:val="1"/>
      <w:marLeft w:val="0"/>
      <w:marRight w:val="0"/>
      <w:marTop w:val="0"/>
      <w:marBottom w:val="0"/>
      <w:divBdr>
        <w:top w:val="none" w:sz="0" w:space="0" w:color="auto"/>
        <w:left w:val="none" w:sz="0" w:space="0" w:color="auto"/>
        <w:bottom w:val="none" w:sz="0" w:space="0" w:color="auto"/>
        <w:right w:val="none" w:sz="0" w:space="0" w:color="auto"/>
      </w:divBdr>
    </w:div>
    <w:div w:id="616645873">
      <w:bodyDiv w:val="1"/>
      <w:marLeft w:val="0"/>
      <w:marRight w:val="0"/>
      <w:marTop w:val="0"/>
      <w:marBottom w:val="0"/>
      <w:divBdr>
        <w:top w:val="none" w:sz="0" w:space="0" w:color="auto"/>
        <w:left w:val="none" w:sz="0" w:space="0" w:color="auto"/>
        <w:bottom w:val="none" w:sz="0" w:space="0" w:color="auto"/>
        <w:right w:val="none" w:sz="0" w:space="0" w:color="auto"/>
      </w:divBdr>
    </w:div>
    <w:div w:id="661472394">
      <w:bodyDiv w:val="1"/>
      <w:marLeft w:val="0"/>
      <w:marRight w:val="0"/>
      <w:marTop w:val="0"/>
      <w:marBottom w:val="0"/>
      <w:divBdr>
        <w:top w:val="none" w:sz="0" w:space="0" w:color="auto"/>
        <w:left w:val="none" w:sz="0" w:space="0" w:color="auto"/>
        <w:bottom w:val="none" w:sz="0" w:space="0" w:color="auto"/>
        <w:right w:val="none" w:sz="0" w:space="0" w:color="auto"/>
      </w:divBdr>
      <w:divsChild>
        <w:div w:id="887685266">
          <w:marLeft w:val="0"/>
          <w:marRight w:val="0"/>
          <w:marTop w:val="0"/>
          <w:marBottom w:val="0"/>
          <w:divBdr>
            <w:top w:val="none" w:sz="0" w:space="0" w:color="auto"/>
            <w:left w:val="none" w:sz="0" w:space="0" w:color="auto"/>
            <w:bottom w:val="none" w:sz="0" w:space="0" w:color="auto"/>
            <w:right w:val="none" w:sz="0" w:space="0" w:color="auto"/>
          </w:divBdr>
          <w:divsChild>
            <w:div w:id="939872264">
              <w:marLeft w:val="0"/>
              <w:marRight w:val="0"/>
              <w:marTop w:val="0"/>
              <w:marBottom w:val="0"/>
              <w:divBdr>
                <w:top w:val="none" w:sz="0" w:space="0" w:color="auto"/>
                <w:left w:val="none" w:sz="0" w:space="0" w:color="auto"/>
                <w:bottom w:val="none" w:sz="0" w:space="0" w:color="auto"/>
                <w:right w:val="none" w:sz="0" w:space="0" w:color="auto"/>
              </w:divBdr>
            </w:div>
            <w:div w:id="1231697151">
              <w:marLeft w:val="0"/>
              <w:marRight w:val="0"/>
              <w:marTop w:val="0"/>
              <w:marBottom w:val="0"/>
              <w:divBdr>
                <w:top w:val="none" w:sz="0" w:space="0" w:color="auto"/>
                <w:left w:val="none" w:sz="0" w:space="0" w:color="auto"/>
                <w:bottom w:val="none" w:sz="0" w:space="0" w:color="auto"/>
                <w:right w:val="none" w:sz="0" w:space="0" w:color="auto"/>
              </w:divBdr>
            </w:div>
            <w:div w:id="1662270353">
              <w:marLeft w:val="0"/>
              <w:marRight w:val="0"/>
              <w:marTop w:val="0"/>
              <w:marBottom w:val="0"/>
              <w:divBdr>
                <w:top w:val="none" w:sz="0" w:space="0" w:color="auto"/>
                <w:left w:val="none" w:sz="0" w:space="0" w:color="auto"/>
                <w:bottom w:val="none" w:sz="0" w:space="0" w:color="auto"/>
                <w:right w:val="none" w:sz="0" w:space="0" w:color="auto"/>
              </w:divBdr>
            </w:div>
          </w:divsChild>
        </w:div>
        <w:div w:id="1222868539">
          <w:marLeft w:val="0"/>
          <w:marRight w:val="0"/>
          <w:marTop w:val="0"/>
          <w:marBottom w:val="0"/>
          <w:divBdr>
            <w:top w:val="none" w:sz="0" w:space="0" w:color="auto"/>
            <w:left w:val="none" w:sz="0" w:space="0" w:color="auto"/>
            <w:bottom w:val="none" w:sz="0" w:space="0" w:color="auto"/>
            <w:right w:val="none" w:sz="0" w:space="0" w:color="auto"/>
          </w:divBdr>
          <w:divsChild>
            <w:div w:id="178199596">
              <w:marLeft w:val="0"/>
              <w:marRight w:val="0"/>
              <w:marTop w:val="0"/>
              <w:marBottom w:val="0"/>
              <w:divBdr>
                <w:top w:val="none" w:sz="0" w:space="0" w:color="auto"/>
                <w:left w:val="none" w:sz="0" w:space="0" w:color="auto"/>
                <w:bottom w:val="none" w:sz="0" w:space="0" w:color="auto"/>
                <w:right w:val="none" w:sz="0" w:space="0" w:color="auto"/>
              </w:divBdr>
            </w:div>
            <w:div w:id="952396834">
              <w:marLeft w:val="0"/>
              <w:marRight w:val="0"/>
              <w:marTop w:val="0"/>
              <w:marBottom w:val="0"/>
              <w:divBdr>
                <w:top w:val="none" w:sz="0" w:space="0" w:color="auto"/>
                <w:left w:val="none" w:sz="0" w:space="0" w:color="auto"/>
                <w:bottom w:val="none" w:sz="0" w:space="0" w:color="auto"/>
                <w:right w:val="none" w:sz="0" w:space="0" w:color="auto"/>
              </w:divBdr>
            </w:div>
            <w:div w:id="1665546696">
              <w:marLeft w:val="0"/>
              <w:marRight w:val="0"/>
              <w:marTop w:val="0"/>
              <w:marBottom w:val="0"/>
              <w:divBdr>
                <w:top w:val="none" w:sz="0" w:space="0" w:color="auto"/>
                <w:left w:val="none" w:sz="0" w:space="0" w:color="auto"/>
                <w:bottom w:val="none" w:sz="0" w:space="0" w:color="auto"/>
                <w:right w:val="none" w:sz="0" w:space="0" w:color="auto"/>
              </w:divBdr>
            </w:div>
            <w:div w:id="2034767513">
              <w:marLeft w:val="0"/>
              <w:marRight w:val="0"/>
              <w:marTop w:val="0"/>
              <w:marBottom w:val="0"/>
              <w:divBdr>
                <w:top w:val="none" w:sz="0" w:space="0" w:color="auto"/>
                <w:left w:val="none" w:sz="0" w:space="0" w:color="auto"/>
                <w:bottom w:val="none" w:sz="0" w:space="0" w:color="auto"/>
                <w:right w:val="none" w:sz="0" w:space="0" w:color="auto"/>
              </w:divBdr>
            </w:div>
          </w:divsChild>
        </w:div>
        <w:div w:id="1272858847">
          <w:marLeft w:val="0"/>
          <w:marRight w:val="0"/>
          <w:marTop w:val="0"/>
          <w:marBottom w:val="0"/>
          <w:divBdr>
            <w:top w:val="none" w:sz="0" w:space="0" w:color="auto"/>
            <w:left w:val="none" w:sz="0" w:space="0" w:color="auto"/>
            <w:bottom w:val="none" w:sz="0" w:space="0" w:color="auto"/>
            <w:right w:val="none" w:sz="0" w:space="0" w:color="auto"/>
          </w:divBdr>
        </w:div>
      </w:divsChild>
    </w:div>
    <w:div w:id="716246080">
      <w:bodyDiv w:val="1"/>
      <w:marLeft w:val="0"/>
      <w:marRight w:val="0"/>
      <w:marTop w:val="0"/>
      <w:marBottom w:val="0"/>
      <w:divBdr>
        <w:top w:val="none" w:sz="0" w:space="0" w:color="auto"/>
        <w:left w:val="none" w:sz="0" w:space="0" w:color="auto"/>
        <w:bottom w:val="none" w:sz="0" w:space="0" w:color="auto"/>
        <w:right w:val="none" w:sz="0" w:space="0" w:color="auto"/>
      </w:divBdr>
    </w:div>
    <w:div w:id="735860254">
      <w:bodyDiv w:val="1"/>
      <w:marLeft w:val="0"/>
      <w:marRight w:val="0"/>
      <w:marTop w:val="0"/>
      <w:marBottom w:val="0"/>
      <w:divBdr>
        <w:top w:val="none" w:sz="0" w:space="0" w:color="auto"/>
        <w:left w:val="none" w:sz="0" w:space="0" w:color="auto"/>
        <w:bottom w:val="none" w:sz="0" w:space="0" w:color="auto"/>
        <w:right w:val="none" w:sz="0" w:space="0" w:color="auto"/>
      </w:divBdr>
    </w:div>
    <w:div w:id="745155651">
      <w:bodyDiv w:val="1"/>
      <w:marLeft w:val="0"/>
      <w:marRight w:val="0"/>
      <w:marTop w:val="0"/>
      <w:marBottom w:val="0"/>
      <w:divBdr>
        <w:top w:val="none" w:sz="0" w:space="0" w:color="auto"/>
        <w:left w:val="none" w:sz="0" w:space="0" w:color="auto"/>
        <w:bottom w:val="none" w:sz="0" w:space="0" w:color="auto"/>
        <w:right w:val="none" w:sz="0" w:space="0" w:color="auto"/>
      </w:divBdr>
    </w:div>
    <w:div w:id="791559365">
      <w:bodyDiv w:val="1"/>
      <w:marLeft w:val="0"/>
      <w:marRight w:val="0"/>
      <w:marTop w:val="0"/>
      <w:marBottom w:val="0"/>
      <w:divBdr>
        <w:top w:val="none" w:sz="0" w:space="0" w:color="auto"/>
        <w:left w:val="none" w:sz="0" w:space="0" w:color="auto"/>
        <w:bottom w:val="none" w:sz="0" w:space="0" w:color="auto"/>
        <w:right w:val="none" w:sz="0" w:space="0" w:color="auto"/>
      </w:divBdr>
    </w:div>
    <w:div w:id="816144826">
      <w:bodyDiv w:val="1"/>
      <w:marLeft w:val="0"/>
      <w:marRight w:val="0"/>
      <w:marTop w:val="0"/>
      <w:marBottom w:val="0"/>
      <w:divBdr>
        <w:top w:val="none" w:sz="0" w:space="0" w:color="auto"/>
        <w:left w:val="none" w:sz="0" w:space="0" w:color="auto"/>
        <w:bottom w:val="none" w:sz="0" w:space="0" w:color="auto"/>
        <w:right w:val="none" w:sz="0" w:space="0" w:color="auto"/>
      </w:divBdr>
    </w:div>
    <w:div w:id="822966257">
      <w:bodyDiv w:val="1"/>
      <w:marLeft w:val="0"/>
      <w:marRight w:val="0"/>
      <w:marTop w:val="0"/>
      <w:marBottom w:val="0"/>
      <w:divBdr>
        <w:top w:val="none" w:sz="0" w:space="0" w:color="auto"/>
        <w:left w:val="none" w:sz="0" w:space="0" w:color="auto"/>
        <w:bottom w:val="none" w:sz="0" w:space="0" w:color="auto"/>
        <w:right w:val="none" w:sz="0" w:space="0" w:color="auto"/>
      </w:divBdr>
    </w:div>
    <w:div w:id="846560208">
      <w:bodyDiv w:val="1"/>
      <w:marLeft w:val="0"/>
      <w:marRight w:val="0"/>
      <w:marTop w:val="0"/>
      <w:marBottom w:val="0"/>
      <w:divBdr>
        <w:top w:val="none" w:sz="0" w:space="0" w:color="auto"/>
        <w:left w:val="none" w:sz="0" w:space="0" w:color="auto"/>
        <w:bottom w:val="none" w:sz="0" w:space="0" w:color="auto"/>
        <w:right w:val="none" w:sz="0" w:space="0" w:color="auto"/>
      </w:divBdr>
    </w:div>
    <w:div w:id="998383495">
      <w:bodyDiv w:val="1"/>
      <w:marLeft w:val="0"/>
      <w:marRight w:val="0"/>
      <w:marTop w:val="0"/>
      <w:marBottom w:val="0"/>
      <w:divBdr>
        <w:top w:val="none" w:sz="0" w:space="0" w:color="auto"/>
        <w:left w:val="none" w:sz="0" w:space="0" w:color="auto"/>
        <w:bottom w:val="none" w:sz="0" w:space="0" w:color="auto"/>
        <w:right w:val="none" w:sz="0" w:space="0" w:color="auto"/>
      </w:divBdr>
      <w:divsChild>
        <w:div w:id="6449768">
          <w:marLeft w:val="0"/>
          <w:marRight w:val="0"/>
          <w:marTop w:val="0"/>
          <w:marBottom w:val="0"/>
          <w:divBdr>
            <w:top w:val="none" w:sz="0" w:space="0" w:color="auto"/>
            <w:left w:val="none" w:sz="0" w:space="0" w:color="auto"/>
            <w:bottom w:val="none" w:sz="0" w:space="0" w:color="auto"/>
            <w:right w:val="none" w:sz="0" w:space="0" w:color="auto"/>
          </w:divBdr>
          <w:divsChild>
            <w:div w:id="746418804">
              <w:marLeft w:val="0"/>
              <w:marRight w:val="0"/>
              <w:marTop w:val="0"/>
              <w:marBottom w:val="0"/>
              <w:divBdr>
                <w:top w:val="none" w:sz="0" w:space="0" w:color="auto"/>
                <w:left w:val="none" w:sz="0" w:space="0" w:color="auto"/>
                <w:bottom w:val="none" w:sz="0" w:space="0" w:color="auto"/>
                <w:right w:val="none" w:sz="0" w:space="0" w:color="auto"/>
              </w:divBdr>
            </w:div>
          </w:divsChild>
        </w:div>
        <w:div w:id="25565112">
          <w:marLeft w:val="0"/>
          <w:marRight w:val="0"/>
          <w:marTop w:val="0"/>
          <w:marBottom w:val="0"/>
          <w:divBdr>
            <w:top w:val="none" w:sz="0" w:space="0" w:color="auto"/>
            <w:left w:val="none" w:sz="0" w:space="0" w:color="auto"/>
            <w:bottom w:val="none" w:sz="0" w:space="0" w:color="auto"/>
            <w:right w:val="none" w:sz="0" w:space="0" w:color="auto"/>
          </w:divBdr>
          <w:divsChild>
            <w:div w:id="927078562">
              <w:marLeft w:val="0"/>
              <w:marRight w:val="0"/>
              <w:marTop w:val="0"/>
              <w:marBottom w:val="0"/>
              <w:divBdr>
                <w:top w:val="none" w:sz="0" w:space="0" w:color="auto"/>
                <w:left w:val="none" w:sz="0" w:space="0" w:color="auto"/>
                <w:bottom w:val="none" w:sz="0" w:space="0" w:color="auto"/>
                <w:right w:val="none" w:sz="0" w:space="0" w:color="auto"/>
              </w:divBdr>
            </w:div>
          </w:divsChild>
        </w:div>
        <w:div w:id="1219122924">
          <w:marLeft w:val="0"/>
          <w:marRight w:val="0"/>
          <w:marTop w:val="0"/>
          <w:marBottom w:val="0"/>
          <w:divBdr>
            <w:top w:val="none" w:sz="0" w:space="0" w:color="auto"/>
            <w:left w:val="none" w:sz="0" w:space="0" w:color="auto"/>
            <w:bottom w:val="none" w:sz="0" w:space="0" w:color="auto"/>
            <w:right w:val="none" w:sz="0" w:space="0" w:color="auto"/>
          </w:divBdr>
          <w:divsChild>
            <w:div w:id="492723038">
              <w:marLeft w:val="0"/>
              <w:marRight w:val="0"/>
              <w:marTop w:val="0"/>
              <w:marBottom w:val="0"/>
              <w:divBdr>
                <w:top w:val="none" w:sz="0" w:space="0" w:color="auto"/>
                <w:left w:val="none" w:sz="0" w:space="0" w:color="auto"/>
                <w:bottom w:val="none" w:sz="0" w:space="0" w:color="auto"/>
                <w:right w:val="none" w:sz="0" w:space="0" w:color="auto"/>
              </w:divBdr>
            </w:div>
          </w:divsChild>
        </w:div>
        <w:div w:id="1274704744">
          <w:marLeft w:val="0"/>
          <w:marRight w:val="0"/>
          <w:marTop w:val="0"/>
          <w:marBottom w:val="0"/>
          <w:divBdr>
            <w:top w:val="none" w:sz="0" w:space="0" w:color="auto"/>
            <w:left w:val="none" w:sz="0" w:space="0" w:color="auto"/>
            <w:bottom w:val="none" w:sz="0" w:space="0" w:color="auto"/>
            <w:right w:val="none" w:sz="0" w:space="0" w:color="auto"/>
          </w:divBdr>
          <w:divsChild>
            <w:div w:id="1051803264">
              <w:marLeft w:val="0"/>
              <w:marRight w:val="0"/>
              <w:marTop w:val="0"/>
              <w:marBottom w:val="0"/>
              <w:divBdr>
                <w:top w:val="none" w:sz="0" w:space="0" w:color="auto"/>
                <w:left w:val="none" w:sz="0" w:space="0" w:color="auto"/>
                <w:bottom w:val="none" w:sz="0" w:space="0" w:color="auto"/>
                <w:right w:val="none" w:sz="0" w:space="0" w:color="auto"/>
              </w:divBdr>
            </w:div>
          </w:divsChild>
        </w:div>
        <w:div w:id="1599949073">
          <w:marLeft w:val="0"/>
          <w:marRight w:val="0"/>
          <w:marTop w:val="0"/>
          <w:marBottom w:val="0"/>
          <w:divBdr>
            <w:top w:val="none" w:sz="0" w:space="0" w:color="auto"/>
            <w:left w:val="none" w:sz="0" w:space="0" w:color="auto"/>
            <w:bottom w:val="none" w:sz="0" w:space="0" w:color="auto"/>
            <w:right w:val="none" w:sz="0" w:space="0" w:color="auto"/>
          </w:divBdr>
          <w:divsChild>
            <w:div w:id="1035959761">
              <w:marLeft w:val="0"/>
              <w:marRight w:val="0"/>
              <w:marTop w:val="0"/>
              <w:marBottom w:val="0"/>
              <w:divBdr>
                <w:top w:val="none" w:sz="0" w:space="0" w:color="auto"/>
                <w:left w:val="none" w:sz="0" w:space="0" w:color="auto"/>
                <w:bottom w:val="none" w:sz="0" w:space="0" w:color="auto"/>
                <w:right w:val="none" w:sz="0" w:space="0" w:color="auto"/>
              </w:divBdr>
            </w:div>
          </w:divsChild>
        </w:div>
        <w:div w:id="1663119797">
          <w:marLeft w:val="0"/>
          <w:marRight w:val="0"/>
          <w:marTop w:val="0"/>
          <w:marBottom w:val="0"/>
          <w:divBdr>
            <w:top w:val="none" w:sz="0" w:space="0" w:color="auto"/>
            <w:left w:val="none" w:sz="0" w:space="0" w:color="auto"/>
            <w:bottom w:val="none" w:sz="0" w:space="0" w:color="auto"/>
            <w:right w:val="none" w:sz="0" w:space="0" w:color="auto"/>
          </w:divBdr>
          <w:divsChild>
            <w:div w:id="406613459">
              <w:marLeft w:val="0"/>
              <w:marRight w:val="0"/>
              <w:marTop w:val="0"/>
              <w:marBottom w:val="0"/>
              <w:divBdr>
                <w:top w:val="none" w:sz="0" w:space="0" w:color="auto"/>
                <w:left w:val="none" w:sz="0" w:space="0" w:color="auto"/>
                <w:bottom w:val="none" w:sz="0" w:space="0" w:color="auto"/>
                <w:right w:val="none" w:sz="0" w:space="0" w:color="auto"/>
              </w:divBdr>
            </w:div>
          </w:divsChild>
        </w:div>
        <w:div w:id="1770615040">
          <w:marLeft w:val="0"/>
          <w:marRight w:val="0"/>
          <w:marTop w:val="0"/>
          <w:marBottom w:val="0"/>
          <w:divBdr>
            <w:top w:val="none" w:sz="0" w:space="0" w:color="auto"/>
            <w:left w:val="none" w:sz="0" w:space="0" w:color="auto"/>
            <w:bottom w:val="none" w:sz="0" w:space="0" w:color="auto"/>
            <w:right w:val="none" w:sz="0" w:space="0" w:color="auto"/>
          </w:divBdr>
          <w:divsChild>
            <w:div w:id="204761655">
              <w:marLeft w:val="0"/>
              <w:marRight w:val="0"/>
              <w:marTop w:val="0"/>
              <w:marBottom w:val="0"/>
              <w:divBdr>
                <w:top w:val="none" w:sz="0" w:space="0" w:color="auto"/>
                <w:left w:val="none" w:sz="0" w:space="0" w:color="auto"/>
                <w:bottom w:val="none" w:sz="0" w:space="0" w:color="auto"/>
                <w:right w:val="none" w:sz="0" w:space="0" w:color="auto"/>
              </w:divBdr>
            </w:div>
          </w:divsChild>
        </w:div>
        <w:div w:id="1804300798">
          <w:marLeft w:val="0"/>
          <w:marRight w:val="0"/>
          <w:marTop w:val="0"/>
          <w:marBottom w:val="0"/>
          <w:divBdr>
            <w:top w:val="none" w:sz="0" w:space="0" w:color="auto"/>
            <w:left w:val="none" w:sz="0" w:space="0" w:color="auto"/>
            <w:bottom w:val="none" w:sz="0" w:space="0" w:color="auto"/>
            <w:right w:val="none" w:sz="0" w:space="0" w:color="auto"/>
          </w:divBdr>
          <w:divsChild>
            <w:div w:id="210071673">
              <w:marLeft w:val="0"/>
              <w:marRight w:val="0"/>
              <w:marTop w:val="0"/>
              <w:marBottom w:val="0"/>
              <w:divBdr>
                <w:top w:val="none" w:sz="0" w:space="0" w:color="auto"/>
                <w:left w:val="none" w:sz="0" w:space="0" w:color="auto"/>
                <w:bottom w:val="none" w:sz="0" w:space="0" w:color="auto"/>
                <w:right w:val="none" w:sz="0" w:space="0" w:color="auto"/>
              </w:divBdr>
            </w:div>
          </w:divsChild>
        </w:div>
        <w:div w:id="2002464575">
          <w:marLeft w:val="0"/>
          <w:marRight w:val="0"/>
          <w:marTop w:val="0"/>
          <w:marBottom w:val="0"/>
          <w:divBdr>
            <w:top w:val="none" w:sz="0" w:space="0" w:color="auto"/>
            <w:left w:val="none" w:sz="0" w:space="0" w:color="auto"/>
            <w:bottom w:val="none" w:sz="0" w:space="0" w:color="auto"/>
            <w:right w:val="none" w:sz="0" w:space="0" w:color="auto"/>
          </w:divBdr>
          <w:divsChild>
            <w:div w:id="628126117">
              <w:marLeft w:val="0"/>
              <w:marRight w:val="0"/>
              <w:marTop w:val="0"/>
              <w:marBottom w:val="0"/>
              <w:divBdr>
                <w:top w:val="none" w:sz="0" w:space="0" w:color="auto"/>
                <w:left w:val="none" w:sz="0" w:space="0" w:color="auto"/>
                <w:bottom w:val="none" w:sz="0" w:space="0" w:color="auto"/>
                <w:right w:val="none" w:sz="0" w:space="0" w:color="auto"/>
              </w:divBdr>
            </w:div>
          </w:divsChild>
        </w:div>
        <w:div w:id="2025741319">
          <w:marLeft w:val="0"/>
          <w:marRight w:val="0"/>
          <w:marTop w:val="0"/>
          <w:marBottom w:val="0"/>
          <w:divBdr>
            <w:top w:val="none" w:sz="0" w:space="0" w:color="auto"/>
            <w:left w:val="none" w:sz="0" w:space="0" w:color="auto"/>
            <w:bottom w:val="none" w:sz="0" w:space="0" w:color="auto"/>
            <w:right w:val="none" w:sz="0" w:space="0" w:color="auto"/>
          </w:divBdr>
          <w:divsChild>
            <w:div w:id="1181240298">
              <w:marLeft w:val="0"/>
              <w:marRight w:val="0"/>
              <w:marTop w:val="0"/>
              <w:marBottom w:val="0"/>
              <w:divBdr>
                <w:top w:val="none" w:sz="0" w:space="0" w:color="auto"/>
                <w:left w:val="none" w:sz="0" w:space="0" w:color="auto"/>
                <w:bottom w:val="none" w:sz="0" w:space="0" w:color="auto"/>
                <w:right w:val="none" w:sz="0" w:space="0" w:color="auto"/>
              </w:divBdr>
            </w:div>
            <w:div w:id="1929970460">
              <w:marLeft w:val="0"/>
              <w:marRight w:val="0"/>
              <w:marTop w:val="0"/>
              <w:marBottom w:val="0"/>
              <w:divBdr>
                <w:top w:val="none" w:sz="0" w:space="0" w:color="auto"/>
                <w:left w:val="none" w:sz="0" w:space="0" w:color="auto"/>
                <w:bottom w:val="none" w:sz="0" w:space="0" w:color="auto"/>
                <w:right w:val="none" w:sz="0" w:space="0" w:color="auto"/>
              </w:divBdr>
            </w:div>
          </w:divsChild>
        </w:div>
        <w:div w:id="2039501927">
          <w:marLeft w:val="0"/>
          <w:marRight w:val="0"/>
          <w:marTop w:val="0"/>
          <w:marBottom w:val="0"/>
          <w:divBdr>
            <w:top w:val="none" w:sz="0" w:space="0" w:color="auto"/>
            <w:left w:val="none" w:sz="0" w:space="0" w:color="auto"/>
            <w:bottom w:val="none" w:sz="0" w:space="0" w:color="auto"/>
            <w:right w:val="none" w:sz="0" w:space="0" w:color="auto"/>
          </w:divBdr>
          <w:divsChild>
            <w:div w:id="276521170">
              <w:marLeft w:val="0"/>
              <w:marRight w:val="0"/>
              <w:marTop w:val="0"/>
              <w:marBottom w:val="0"/>
              <w:divBdr>
                <w:top w:val="none" w:sz="0" w:space="0" w:color="auto"/>
                <w:left w:val="none" w:sz="0" w:space="0" w:color="auto"/>
                <w:bottom w:val="none" w:sz="0" w:space="0" w:color="auto"/>
                <w:right w:val="none" w:sz="0" w:space="0" w:color="auto"/>
              </w:divBdr>
            </w:div>
          </w:divsChild>
        </w:div>
        <w:div w:id="2119449048">
          <w:marLeft w:val="0"/>
          <w:marRight w:val="0"/>
          <w:marTop w:val="0"/>
          <w:marBottom w:val="0"/>
          <w:divBdr>
            <w:top w:val="none" w:sz="0" w:space="0" w:color="auto"/>
            <w:left w:val="none" w:sz="0" w:space="0" w:color="auto"/>
            <w:bottom w:val="none" w:sz="0" w:space="0" w:color="auto"/>
            <w:right w:val="none" w:sz="0" w:space="0" w:color="auto"/>
          </w:divBdr>
          <w:divsChild>
            <w:div w:id="9225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22307">
      <w:bodyDiv w:val="1"/>
      <w:marLeft w:val="0"/>
      <w:marRight w:val="0"/>
      <w:marTop w:val="0"/>
      <w:marBottom w:val="0"/>
      <w:divBdr>
        <w:top w:val="none" w:sz="0" w:space="0" w:color="auto"/>
        <w:left w:val="none" w:sz="0" w:space="0" w:color="auto"/>
        <w:bottom w:val="none" w:sz="0" w:space="0" w:color="auto"/>
        <w:right w:val="none" w:sz="0" w:space="0" w:color="auto"/>
      </w:divBdr>
    </w:div>
    <w:div w:id="1125082323">
      <w:bodyDiv w:val="1"/>
      <w:marLeft w:val="0"/>
      <w:marRight w:val="0"/>
      <w:marTop w:val="0"/>
      <w:marBottom w:val="0"/>
      <w:divBdr>
        <w:top w:val="none" w:sz="0" w:space="0" w:color="auto"/>
        <w:left w:val="none" w:sz="0" w:space="0" w:color="auto"/>
        <w:bottom w:val="none" w:sz="0" w:space="0" w:color="auto"/>
        <w:right w:val="none" w:sz="0" w:space="0" w:color="auto"/>
      </w:divBdr>
    </w:div>
    <w:div w:id="1133475388">
      <w:bodyDiv w:val="1"/>
      <w:marLeft w:val="0"/>
      <w:marRight w:val="0"/>
      <w:marTop w:val="0"/>
      <w:marBottom w:val="0"/>
      <w:divBdr>
        <w:top w:val="none" w:sz="0" w:space="0" w:color="auto"/>
        <w:left w:val="none" w:sz="0" w:space="0" w:color="auto"/>
        <w:bottom w:val="none" w:sz="0" w:space="0" w:color="auto"/>
        <w:right w:val="none" w:sz="0" w:space="0" w:color="auto"/>
      </w:divBdr>
    </w:div>
    <w:div w:id="1204633629">
      <w:bodyDiv w:val="1"/>
      <w:marLeft w:val="0"/>
      <w:marRight w:val="0"/>
      <w:marTop w:val="0"/>
      <w:marBottom w:val="0"/>
      <w:divBdr>
        <w:top w:val="none" w:sz="0" w:space="0" w:color="auto"/>
        <w:left w:val="none" w:sz="0" w:space="0" w:color="auto"/>
        <w:bottom w:val="none" w:sz="0" w:space="0" w:color="auto"/>
        <w:right w:val="none" w:sz="0" w:space="0" w:color="auto"/>
      </w:divBdr>
    </w:div>
    <w:div w:id="1240210601">
      <w:bodyDiv w:val="1"/>
      <w:marLeft w:val="0"/>
      <w:marRight w:val="0"/>
      <w:marTop w:val="0"/>
      <w:marBottom w:val="0"/>
      <w:divBdr>
        <w:top w:val="none" w:sz="0" w:space="0" w:color="auto"/>
        <w:left w:val="none" w:sz="0" w:space="0" w:color="auto"/>
        <w:bottom w:val="none" w:sz="0" w:space="0" w:color="auto"/>
        <w:right w:val="none" w:sz="0" w:space="0" w:color="auto"/>
      </w:divBdr>
    </w:div>
    <w:div w:id="1283994387">
      <w:bodyDiv w:val="1"/>
      <w:marLeft w:val="0"/>
      <w:marRight w:val="0"/>
      <w:marTop w:val="0"/>
      <w:marBottom w:val="0"/>
      <w:divBdr>
        <w:top w:val="none" w:sz="0" w:space="0" w:color="auto"/>
        <w:left w:val="none" w:sz="0" w:space="0" w:color="auto"/>
        <w:bottom w:val="none" w:sz="0" w:space="0" w:color="auto"/>
        <w:right w:val="none" w:sz="0" w:space="0" w:color="auto"/>
      </w:divBdr>
    </w:div>
    <w:div w:id="1337733595">
      <w:bodyDiv w:val="1"/>
      <w:marLeft w:val="0"/>
      <w:marRight w:val="0"/>
      <w:marTop w:val="0"/>
      <w:marBottom w:val="0"/>
      <w:divBdr>
        <w:top w:val="none" w:sz="0" w:space="0" w:color="auto"/>
        <w:left w:val="none" w:sz="0" w:space="0" w:color="auto"/>
        <w:bottom w:val="none" w:sz="0" w:space="0" w:color="auto"/>
        <w:right w:val="none" w:sz="0" w:space="0" w:color="auto"/>
      </w:divBdr>
    </w:div>
    <w:div w:id="1667393795">
      <w:bodyDiv w:val="1"/>
      <w:marLeft w:val="0"/>
      <w:marRight w:val="0"/>
      <w:marTop w:val="0"/>
      <w:marBottom w:val="0"/>
      <w:divBdr>
        <w:top w:val="none" w:sz="0" w:space="0" w:color="auto"/>
        <w:left w:val="none" w:sz="0" w:space="0" w:color="auto"/>
        <w:bottom w:val="none" w:sz="0" w:space="0" w:color="auto"/>
        <w:right w:val="none" w:sz="0" w:space="0" w:color="auto"/>
      </w:divBdr>
    </w:div>
    <w:div w:id="1787193713">
      <w:bodyDiv w:val="1"/>
      <w:marLeft w:val="0"/>
      <w:marRight w:val="0"/>
      <w:marTop w:val="0"/>
      <w:marBottom w:val="0"/>
      <w:divBdr>
        <w:top w:val="none" w:sz="0" w:space="0" w:color="auto"/>
        <w:left w:val="none" w:sz="0" w:space="0" w:color="auto"/>
        <w:bottom w:val="none" w:sz="0" w:space="0" w:color="auto"/>
        <w:right w:val="none" w:sz="0" w:space="0" w:color="auto"/>
      </w:divBdr>
    </w:div>
    <w:div w:id="1810588984">
      <w:bodyDiv w:val="1"/>
      <w:marLeft w:val="0"/>
      <w:marRight w:val="0"/>
      <w:marTop w:val="0"/>
      <w:marBottom w:val="0"/>
      <w:divBdr>
        <w:top w:val="none" w:sz="0" w:space="0" w:color="auto"/>
        <w:left w:val="none" w:sz="0" w:space="0" w:color="auto"/>
        <w:bottom w:val="none" w:sz="0" w:space="0" w:color="auto"/>
        <w:right w:val="none" w:sz="0" w:space="0" w:color="auto"/>
      </w:divBdr>
    </w:div>
    <w:div w:id="1990473442">
      <w:bodyDiv w:val="1"/>
      <w:marLeft w:val="0"/>
      <w:marRight w:val="0"/>
      <w:marTop w:val="0"/>
      <w:marBottom w:val="0"/>
      <w:divBdr>
        <w:top w:val="none" w:sz="0" w:space="0" w:color="auto"/>
        <w:left w:val="none" w:sz="0" w:space="0" w:color="auto"/>
        <w:bottom w:val="none" w:sz="0" w:space="0" w:color="auto"/>
        <w:right w:val="none" w:sz="0" w:space="0" w:color="auto"/>
      </w:divBdr>
    </w:div>
    <w:div w:id="209204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ovid19.govt.nz/alert-levels-and-updates/covid-19-protection/" TargetMode="External"/><Relationship Id="rId2" Type="http://schemas.openxmlformats.org/officeDocument/2006/relationships/customXml" Target="../customXml/item2.xml"/><Relationship Id="rId16" Type="http://schemas.openxmlformats.org/officeDocument/2006/relationships/hyperlink" Target="https://covid19.govt.nz/alert-levels-and-updates/covid-19-protection/" TargetMode="External"/><Relationship Id="rId20" Type="http://schemas.openxmlformats.org/officeDocument/2006/relationships/hyperlink" Target="https://pubmed.ncbi.nlm.nih.gov/3449469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hgd.auckland.ac.nz/imd1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dx.doi.org/10.15585/mmwr.mm7047e2" TargetMode="External"/><Relationship Id="rId1" Type="http://schemas.openxmlformats.org/officeDocument/2006/relationships/hyperlink" Target="https://doi.org/10.3389/fpubh.2017.0034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3724EE7A21C40B77B674613522A34" ma:contentTypeVersion="12" ma:contentTypeDescription="Create a new document." ma:contentTypeScope="" ma:versionID="f1f1afea5b1234b070b50f033646bd0c">
  <xsd:schema xmlns:xsd="http://www.w3.org/2001/XMLSchema" xmlns:xs="http://www.w3.org/2001/XMLSchema" xmlns:p="http://schemas.microsoft.com/office/2006/metadata/properties" xmlns:ns2="4b88bcc7-0ad5-44d8-9874-ced89f706a7c" xmlns:ns3="e0731c95-5453-4cc4-b91b-72230631047b" targetNamespace="http://schemas.microsoft.com/office/2006/metadata/properties" ma:root="true" ma:fieldsID="0662804fc56e1dad1de46376c1d87b08" ns2:_="" ns3:_="">
    <xsd:import namespace="4b88bcc7-0ad5-44d8-9874-ced89f706a7c"/>
    <xsd:import namespace="e0731c95-5453-4cc4-b91b-7223063104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8bcc7-0ad5-44d8-9874-ced89f706a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31c95-5453-4cc4-b91b-7223063104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0731c95-5453-4cc4-b91b-72230631047b">
      <UserInfo>
        <DisplayName>Anna Mooney</DisplayName>
        <AccountId>373</AccountId>
        <AccountType/>
      </UserInfo>
      <UserInfo>
        <DisplayName>Kristin Kalla</DisplayName>
        <AccountId>530</AccountId>
        <AccountType/>
      </UserInfo>
      <UserInfo>
        <DisplayName>Mary Silcock</DisplayName>
        <AccountId>370</AccountId>
        <AccountType/>
      </UserInfo>
      <UserInfo>
        <DisplayName>Kate Rose</DisplayName>
        <AccountId>586</AccountId>
        <AccountType/>
      </UserInfo>
      <UserInfo>
        <DisplayName>Ruurd De Schipper</DisplayName>
        <AccountId>440</AccountId>
        <AccountType/>
      </UserInfo>
      <UserInfo>
        <DisplayName>James Greenwell</DisplayName>
        <AccountId>75</AccountId>
        <AccountType/>
      </UserInfo>
      <UserInfo>
        <DisplayName>Lucy Cassels</DisplayName>
        <AccountId>808</AccountId>
        <AccountType/>
      </UserInfo>
      <UserInfo>
        <DisplayName>Nora Maarleveld</DisplayName>
        <AccountId>479</AccountId>
        <AccountType/>
      </UserInfo>
      <UserInfo>
        <DisplayName>Mikey Smyth</DisplayName>
        <AccountId>140</AccountId>
        <AccountType/>
      </UserInfo>
      <UserInfo>
        <DisplayName>Emma Fisher</DisplayName>
        <AccountId>809</AccountId>
        <AccountType/>
      </UserInfo>
      <UserInfo>
        <DisplayName>Aoife Kenny</DisplayName>
        <AccountId>305</AccountId>
        <AccountType/>
      </UserInfo>
      <UserInfo>
        <DisplayName>Esther Lim</DisplayName>
        <AccountId>562</AccountId>
        <AccountType/>
      </UserInfo>
      <UserInfo>
        <DisplayName>Deb Dewhurst</DisplayName>
        <AccountId>382</AccountId>
        <AccountType/>
      </UserInfo>
      <UserInfo>
        <DisplayName>David Monnelly</DisplayName>
        <AccountId>413</AccountId>
        <AccountType/>
      </UserInfo>
      <UserInfo>
        <DisplayName>John McCarthy</DisplayName>
        <AccountId>331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ISO690Nmerical.XSL" StyleName="ISO 690 - Numerical Reference" Version="1987">
  <b:Source>
    <b:Tag>Cen18</b:Tag>
    <b:SourceType>InternetSite</b:SourceType>
    <b:Guid>{CAAD686C-B275-4F3E-AEAD-8015DE707613}</b:Guid>
    <b:Title>Introduction to Public Health Surveillance</b:Title>
    <b:Year>2018</b:Year>
    <b:Author>
      <b:Author>
        <b:Corporate>Centres for Disease Control and Prevention</b:Corporate>
      </b:Author>
    </b:Author>
    <b:InternetSiteTitle>Centres for Disease Control and Prevention</b:InternetSiteTitle>
    <b:Month>11</b:Month>
    <b:Day>15</b:Day>
    <b:URL>https://www.cdc.gov/publichealth101/surveillance.html</b:URL>
    <b:RefOrder>2</b:RefOrder>
  </b:Source>
  <b:Source>
    <b:Tag>Nsu06</b:Tag>
    <b:SourceType>BookSection</b:SourceType>
    <b:Guid>{F409C939-E69F-4146-A675-EDC5DDC69C96}</b:Guid>
    <b:LCID>en-US</b:LCID>
    <b:Author>
      <b:Author>
        <b:Corporate>The International Bank for Reconstruction and Development / The World Bank</b:Corporate>
        <b:NameList>
          <b:Person>
            <b:Last>Nsubaga et al</b:Last>
          </b:Person>
        </b:NameList>
      </b:Author>
      <b:Editor>
        <b:NameList>
          <b:Person>
            <b:Last>Nusubaga et al</b:Last>
          </b:Person>
        </b:NameList>
      </b:Editor>
      <b:BookAuthor>
        <b:NameList>
          <b:Person>
            <b:Last>Bank</b:Last>
            <b:First>The</b:First>
            <b:Middle>International Bank for Reconstruction and Development / The World</b:Middle>
          </b:Person>
        </b:NameList>
      </b:BookAuthor>
    </b:Author>
    <b:Title>Public Health Surveillance: A Tool for Targeting and Monitoring Interventions</b:Title>
    <b:Year>2006</b:Year>
    <b:City>New York</b:City>
    <b:Publisher>Oxford University Press</b:Publisher>
    <b:Edition>2nd</b:Edition>
    <b:URL>https://www.ncbi.nlm.nih.gov/books/NBK11770/</b:URL>
    <b:BookTitle>Disease Control Priorities in Developing Countries</b:BookTitle>
    <b:ChapterNumber>53</b:ChapterNumber>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5B386D-10E6-486A-A604-3FB74EEE3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88bcc7-0ad5-44d8-9874-ced89f706a7c"/>
    <ds:schemaRef ds:uri="e0731c95-5453-4cc4-b91b-7223063104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CE22C8-BE18-4B72-A5AC-BEEFC17570B7}">
  <ds:schemaRefs>
    <ds:schemaRef ds:uri="http://purl.org/dc/dcmitype/"/>
    <ds:schemaRef ds:uri="4b88bcc7-0ad5-44d8-9874-ced89f706a7c"/>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e0731c95-5453-4cc4-b91b-72230631047b"/>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ACDB304-512E-4893-9686-B6EBB54E9D90}">
  <ds:schemaRefs>
    <ds:schemaRef ds:uri="http://schemas.openxmlformats.org/officeDocument/2006/bibliography"/>
  </ds:schemaRefs>
</ds:datastoreItem>
</file>

<file path=customXml/itemProps4.xml><?xml version="1.0" encoding="utf-8"?>
<ds:datastoreItem xmlns:ds="http://schemas.openxmlformats.org/officeDocument/2006/customXml" ds:itemID="{05195D91-409B-47A4-82BE-841FDCFD8A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10160</Words>
  <Characters>57914</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New Zealand’s COVID-19 Surveillance Plan</vt:lpstr>
    </vt:vector>
  </TitlesOfParts>
  <Company>Ministry of Health</Company>
  <LinksUpToDate>false</LinksUpToDate>
  <CharactersWithSpaces>67939</CharactersWithSpaces>
  <SharedDoc>false</SharedDoc>
  <HLinks>
    <vt:vector size="276" baseType="variant">
      <vt:variant>
        <vt:i4>65549</vt:i4>
      </vt:variant>
      <vt:variant>
        <vt:i4>252</vt:i4>
      </vt:variant>
      <vt:variant>
        <vt:i4>0</vt:i4>
      </vt:variant>
      <vt:variant>
        <vt:i4>5</vt:i4>
      </vt:variant>
      <vt:variant>
        <vt:lpwstr>https://pubmed.ncbi.nlm.nih.gov/34494690/</vt:lpwstr>
      </vt:variant>
      <vt:variant>
        <vt:lpwstr/>
      </vt:variant>
      <vt:variant>
        <vt:i4>4390940</vt:i4>
      </vt:variant>
      <vt:variant>
        <vt:i4>249</vt:i4>
      </vt:variant>
      <vt:variant>
        <vt:i4>0</vt:i4>
      </vt:variant>
      <vt:variant>
        <vt:i4>5</vt:i4>
      </vt:variant>
      <vt:variant>
        <vt:lpwstr>https://hgd.auckland.ac.nz/imd18/</vt:lpwstr>
      </vt:variant>
      <vt:variant>
        <vt:lpwstr/>
      </vt:variant>
      <vt:variant>
        <vt:i4>917517</vt:i4>
      </vt:variant>
      <vt:variant>
        <vt:i4>246</vt:i4>
      </vt:variant>
      <vt:variant>
        <vt:i4>0</vt:i4>
      </vt:variant>
      <vt:variant>
        <vt:i4>5</vt:i4>
      </vt:variant>
      <vt:variant>
        <vt:lpwstr>https://covid19.govt.nz/alert-levels-and-updates/covid-19-protection/</vt:lpwstr>
      </vt:variant>
      <vt:variant>
        <vt:lpwstr/>
      </vt:variant>
      <vt:variant>
        <vt:i4>917517</vt:i4>
      </vt:variant>
      <vt:variant>
        <vt:i4>243</vt:i4>
      </vt:variant>
      <vt:variant>
        <vt:i4>0</vt:i4>
      </vt:variant>
      <vt:variant>
        <vt:i4>5</vt:i4>
      </vt:variant>
      <vt:variant>
        <vt:lpwstr>https://covid19.govt.nz/alert-levels-and-updates/covid-19-protection/</vt:lpwstr>
      </vt:variant>
      <vt:variant>
        <vt:lpwstr/>
      </vt:variant>
      <vt:variant>
        <vt:i4>1441852</vt:i4>
      </vt:variant>
      <vt:variant>
        <vt:i4>236</vt:i4>
      </vt:variant>
      <vt:variant>
        <vt:i4>0</vt:i4>
      </vt:variant>
      <vt:variant>
        <vt:i4>5</vt:i4>
      </vt:variant>
      <vt:variant>
        <vt:lpwstr/>
      </vt:variant>
      <vt:variant>
        <vt:lpwstr>_Toc79143498</vt:lpwstr>
      </vt:variant>
      <vt:variant>
        <vt:i4>1638460</vt:i4>
      </vt:variant>
      <vt:variant>
        <vt:i4>230</vt:i4>
      </vt:variant>
      <vt:variant>
        <vt:i4>0</vt:i4>
      </vt:variant>
      <vt:variant>
        <vt:i4>5</vt:i4>
      </vt:variant>
      <vt:variant>
        <vt:lpwstr/>
      </vt:variant>
      <vt:variant>
        <vt:lpwstr>_Toc79143497</vt:lpwstr>
      </vt:variant>
      <vt:variant>
        <vt:i4>1572924</vt:i4>
      </vt:variant>
      <vt:variant>
        <vt:i4>224</vt:i4>
      </vt:variant>
      <vt:variant>
        <vt:i4>0</vt:i4>
      </vt:variant>
      <vt:variant>
        <vt:i4>5</vt:i4>
      </vt:variant>
      <vt:variant>
        <vt:lpwstr/>
      </vt:variant>
      <vt:variant>
        <vt:lpwstr>_Toc79143496</vt:lpwstr>
      </vt:variant>
      <vt:variant>
        <vt:i4>1900604</vt:i4>
      </vt:variant>
      <vt:variant>
        <vt:i4>218</vt:i4>
      </vt:variant>
      <vt:variant>
        <vt:i4>0</vt:i4>
      </vt:variant>
      <vt:variant>
        <vt:i4>5</vt:i4>
      </vt:variant>
      <vt:variant>
        <vt:lpwstr/>
      </vt:variant>
      <vt:variant>
        <vt:lpwstr>_Toc79143493</vt:lpwstr>
      </vt:variant>
      <vt:variant>
        <vt:i4>2031676</vt:i4>
      </vt:variant>
      <vt:variant>
        <vt:i4>212</vt:i4>
      </vt:variant>
      <vt:variant>
        <vt:i4>0</vt:i4>
      </vt:variant>
      <vt:variant>
        <vt:i4>5</vt:i4>
      </vt:variant>
      <vt:variant>
        <vt:lpwstr/>
      </vt:variant>
      <vt:variant>
        <vt:lpwstr>_Toc79143491</vt:lpwstr>
      </vt:variant>
      <vt:variant>
        <vt:i4>1900604</vt:i4>
      </vt:variant>
      <vt:variant>
        <vt:i4>206</vt:i4>
      </vt:variant>
      <vt:variant>
        <vt:i4>0</vt:i4>
      </vt:variant>
      <vt:variant>
        <vt:i4>5</vt:i4>
      </vt:variant>
      <vt:variant>
        <vt:lpwstr/>
      </vt:variant>
      <vt:variant>
        <vt:lpwstr>_Toc79143493</vt:lpwstr>
      </vt:variant>
      <vt:variant>
        <vt:i4>2031676</vt:i4>
      </vt:variant>
      <vt:variant>
        <vt:i4>200</vt:i4>
      </vt:variant>
      <vt:variant>
        <vt:i4>0</vt:i4>
      </vt:variant>
      <vt:variant>
        <vt:i4>5</vt:i4>
      </vt:variant>
      <vt:variant>
        <vt:lpwstr/>
      </vt:variant>
      <vt:variant>
        <vt:lpwstr>_Toc79143491</vt:lpwstr>
      </vt:variant>
      <vt:variant>
        <vt:i4>1703996</vt:i4>
      </vt:variant>
      <vt:variant>
        <vt:i4>194</vt:i4>
      </vt:variant>
      <vt:variant>
        <vt:i4>0</vt:i4>
      </vt:variant>
      <vt:variant>
        <vt:i4>5</vt:i4>
      </vt:variant>
      <vt:variant>
        <vt:lpwstr/>
      </vt:variant>
      <vt:variant>
        <vt:lpwstr>_Toc79143494</vt:lpwstr>
      </vt:variant>
      <vt:variant>
        <vt:i4>1835068</vt:i4>
      </vt:variant>
      <vt:variant>
        <vt:i4>188</vt:i4>
      </vt:variant>
      <vt:variant>
        <vt:i4>0</vt:i4>
      </vt:variant>
      <vt:variant>
        <vt:i4>5</vt:i4>
      </vt:variant>
      <vt:variant>
        <vt:lpwstr/>
      </vt:variant>
      <vt:variant>
        <vt:lpwstr>_Toc79143492</vt:lpwstr>
      </vt:variant>
      <vt:variant>
        <vt:i4>1966140</vt:i4>
      </vt:variant>
      <vt:variant>
        <vt:i4>182</vt:i4>
      </vt:variant>
      <vt:variant>
        <vt:i4>0</vt:i4>
      </vt:variant>
      <vt:variant>
        <vt:i4>5</vt:i4>
      </vt:variant>
      <vt:variant>
        <vt:lpwstr/>
      </vt:variant>
      <vt:variant>
        <vt:lpwstr>_Toc79143490</vt:lpwstr>
      </vt:variant>
      <vt:variant>
        <vt:i4>1507389</vt:i4>
      </vt:variant>
      <vt:variant>
        <vt:i4>176</vt:i4>
      </vt:variant>
      <vt:variant>
        <vt:i4>0</vt:i4>
      </vt:variant>
      <vt:variant>
        <vt:i4>5</vt:i4>
      </vt:variant>
      <vt:variant>
        <vt:lpwstr/>
      </vt:variant>
      <vt:variant>
        <vt:lpwstr>_Toc79143489</vt:lpwstr>
      </vt:variant>
      <vt:variant>
        <vt:i4>1769522</vt:i4>
      </vt:variant>
      <vt:variant>
        <vt:i4>170</vt:i4>
      </vt:variant>
      <vt:variant>
        <vt:i4>0</vt:i4>
      </vt:variant>
      <vt:variant>
        <vt:i4>5</vt:i4>
      </vt:variant>
      <vt:variant>
        <vt:lpwstr/>
      </vt:variant>
      <vt:variant>
        <vt:lpwstr>_Toc79143475</vt:lpwstr>
      </vt:variant>
      <vt:variant>
        <vt:i4>1572914</vt:i4>
      </vt:variant>
      <vt:variant>
        <vt:i4>164</vt:i4>
      </vt:variant>
      <vt:variant>
        <vt:i4>0</vt:i4>
      </vt:variant>
      <vt:variant>
        <vt:i4>5</vt:i4>
      </vt:variant>
      <vt:variant>
        <vt:lpwstr/>
      </vt:variant>
      <vt:variant>
        <vt:lpwstr>_Toc79143476</vt:lpwstr>
      </vt:variant>
      <vt:variant>
        <vt:i4>1769522</vt:i4>
      </vt:variant>
      <vt:variant>
        <vt:i4>158</vt:i4>
      </vt:variant>
      <vt:variant>
        <vt:i4>0</vt:i4>
      </vt:variant>
      <vt:variant>
        <vt:i4>5</vt:i4>
      </vt:variant>
      <vt:variant>
        <vt:lpwstr/>
      </vt:variant>
      <vt:variant>
        <vt:lpwstr>_Toc79143475</vt:lpwstr>
      </vt:variant>
      <vt:variant>
        <vt:i4>1441853</vt:i4>
      </vt:variant>
      <vt:variant>
        <vt:i4>152</vt:i4>
      </vt:variant>
      <vt:variant>
        <vt:i4>0</vt:i4>
      </vt:variant>
      <vt:variant>
        <vt:i4>5</vt:i4>
      </vt:variant>
      <vt:variant>
        <vt:lpwstr/>
      </vt:variant>
      <vt:variant>
        <vt:lpwstr>_Toc79143488</vt:lpwstr>
      </vt:variant>
      <vt:variant>
        <vt:i4>1703997</vt:i4>
      </vt:variant>
      <vt:variant>
        <vt:i4>146</vt:i4>
      </vt:variant>
      <vt:variant>
        <vt:i4>0</vt:i4>
      </vt:variant>
      <vt:variant>
        <vt:i4>5</vt:i4>
      </vt:variant>
      <vt:variant>
        <vt:lpwstr/>
      </vt:variant>
      <vt:variant>
        <vt:lpwstr>_Toc79143484</vt:lpwstr>
      </vt:variant>
      <vt:variant>
        <vt:i4>2031677</vt:i4>
      </vt:variant>
      <vt:variant>
        <vt:i4>140</vt:i4>
      </vt:variant>
      <vt:variant>
        <vt:i4>0</vt:i4>
      </vt:variant>
      <vt:variant>
        <vt:i4>5</vt:i4>
      </vt:variant>
      <vt:variant>
        <vt:lpwstr/>
      </vt:variant>
      <vt:variant>
        <vt:lpwstr>_Toc79143481</vt:lpwstr>
      </vt:variant>
      <vt:variant>
        <vt:i4>1638450</vt:i4>
      </vt:variant>
      <vt:variant>
        <vt:i4>134</vt:i4>
      </vt:variant>
      <vt:variant>
        <vt:i4>0</vt:i4>
      </vt:variant>
      <vt:variant>
        <vt:i4>5</vt:i4>
      </vt:variant>
      <vt:variant>
        <vt:lpwstr/>
      </vt:variant>
      <vt:variant>
        <vt:lpwstr>_Toc79143477</vt:lpwstr>
      </vt:variant>
      <vt:variant>
        <vt:i4>1572914</vt:i4>
      </vt:variant>
      <vt:variant>
        <vt:i4>128</vt:i4>
      </vt:variant>
      <vt:variant>
        <vt:i4>0</vt:i4>
      </vt:variant>
      <vt:variant>
        <vt:i4>5</vt:i4>
      </vt:variant>
      <vt:variant>
        <vt:lpwstr/>
      </vt:variant>
      <vt:variant>
        <vt:lpwstr>_Toc79143476</vt:lpwstr>
      </vt:variant>
      <vt:variant>
        <vt:i4>1572914</vt:i4>
      </vt:variant>
      <vt:variant>
        <vt:i4>122</vt:i4>
      </vt:variant>
      <vt:variant>
        <vt:i4>0</vt:i4>
      </vt:variant>
      <vt:variant>
        <vt:i4>5</vt:i4>
      </vt:variant>
      <vt:variant>
        <vt:lpwstr/>
      </vt:variant>
      <vt:variant>
        <vt:lpwstr>_Toc79143476</vt:lpwstr>
      </vt:variant>
      <vt:variant>
        <vt:i4>1769522</vt:i4>
      </vt:variant>
      <vt:variant>
        <vt:i4>116</vt:i4>
      </vt:variant>
      <vt:variant>
        <vt:i4>0</vt:i4>
      </vt:variant>
      <vt:variant>
        <vt:i4>5</vt:i4>
      </vt:variant>
      <vt:variant>
        <vt:lpwstr/>
      </vt:variant>
      <vt:variant>
        <vt:lpwstr>_Toc79143475</vt:lpwstr>
      </vt:variant>
      <vt:variant>
        <vt:i4>1572914</vt:i4>
      </vt:variant>
      <vt:variant>
        <vt:i4>110</vt:i4>
      </vt:variant>
      <vt:variant>
        <vt:i4>0</vt:i4>
      </vt:variant>
      <vt:variant>
        <vt:i4>5</vt:i4>
      </vt:variant>
      <vt:variant>
        <vt:lpwstr/>
      </vt:variant>
      <vt:variant>
        <vt:lpwstr>_Toc79143476</vt:lpwstr>
      </vt:variant>
      <vt:variant>
        <vt:i4>1572914</vt:i4>
      </vt:variant>
      <vt:variant>
        <vt:i4>104</vt:i4>
      </vt:variant>
      <vt:variant>
        <vt:i4>0</vt:i4>
      </vt:variant>
      <vt:variant>
        <vt:i4>5</vt:i4>
      </vt:variant>
      <vt:variant>
        <vt:lpwstr/>
      </vt:variant>
      <vt:variant>
        <vt:lpwstr>_Toc79143476</vt:lpwstr>
      </vt:variant>
      <vt:variant>
        <vt:i4>1769522</vt:i4>
      </vt:variant>
      <vt:variant>
        <vt:i4>98</vt:i4>
      </vt:variant>
      <vt:variant>
        <vt:i4>0</vt:i4>
      </vt:variant>
      <vt:variant>
        <vt:i4>5</vt:i4>
      </vt:variant>
      <vt:variant>
        <vt:lpwstr/>
      </vt:variant>
      <vt:variant>
        <vt:lpwstr>_Toc79143475</vt:lpwstr>
      </vt:variant>
      <vt:variant>
        <vt:i4>1572914</vt:i4>
      </vt:variant>
      <vt:variant>
        <vt:i4>92</vt:i4>
      </vt:variant>
      <vt:variant>
        <vt:i4>0</vt:i4>
      </vt:variant>
      <vt:variant>
        <vt:i4>5</vt:i4>
      </vt:variant>
      <vt:variant>
        <vt:lpwstr/>
      </vt:variant>
      <vt:variant>
        <vt:lpwstr>_Toc79143476</vt:lpwstr>
      </vt:variant>
      <vt:variant>
        <vt:i4>1769522</vt:i4>
      </vt:variant>
      <vt:variant>
        <vt:i4>86</vt:i4>
      </vt:variant>
      <vt:variant>
        <vt:i4>0</vt:i4>
      </vt:variant>
      <vt:variant>
        <vt:i4>5</vt:i4>
      </vt:variant>
      <vt:variant>
        <vt:lpwstr/>
      </vt:variant>
      <vt:variant>
        <vt:lpwstr>_Toc79143475</vt:lpwstr>
      </vt:variant>
      <vt:variant>
        <vt:i4>1572914</vt:i4>
      </vt:variant>
      <vt:variant>
        <vt:i4>80</vt:i4>
      </vt:variant>
      <vt:variant>
        <vt:i4>0</vt:i4>
      </vt:variant>
      <vt:variant>
        <vt:i4>5</vt:i4>
      </vt:variant>
      <vt:variant>
        <vt:lpwstr/>
      </vt:variant>
      <vt:variant>
        <vt:lpwstr>_Toc79143476</vt:lpwstr>
      </vt:variant>
      <vt:variant>
        <vt:i4>1769522</vt:i4>
      </vt:variant>
      <vt:variant>
        <vt:i4>74</vt:i4>
      </vt:variant>
      <vt:variant>
        <vt:i4>0</vt:i4>
      </vt:variant>
      <vt:variant>
        <vt:i4>5</vt:i4>
      </vt:variant>
      <vt:variant>
        <vt:lpwstr/>
      </vt:variant>
      <vt:variant>
        <vt:lpwstr>_Toc79143475</vt:lpwstr>
      </vt:variant>
      <vt:variant>
        <vt:i4>1703986</vt:i4>
      </vt:variant>
      <vt:variant>
        <vt:i4>68</vt:i4>
      </vt:variant>
      <vt:variant>
        <vt:i4>0</vt:i4>
      </vt:variant>
      <vt:variant>
        <vt:i4>5</vt:i4>
      </vt:variant>
      <vt:variant>
        <vt:lpwstr/>
      </vt:variant>
      <vt:variant>
        <vt:lpwstr>_Toc79143474</vt:lpwstr>
      </vt:variant>
      <vt:variant>
        <vt:i4>1703986</vt:i4>
      </vt:variant>
      <vt:variant>
        <vt:i4>62</vt:i4>
      </vt:variant>
      <vt:variant>
        <vt:i4>0</vt:i4>
      </vt:variant>
      <vt:variant>
        <vt:i4>5</vt:i4>
      </vt:variant>
      <vt:variant>
        <vt:lpwstr/>
      </vt:variant>
      <vt:variant>
        <vt:lpwstr>_Toc79143474</vt:lpwstr>
      </vt:variant>
      <vt:variant>
        <vt:i4>1769522</vt:i4>
      </vt:variant>
      <vt:variant>
        <vt:i4>56</vt:i4>
      </vt:variant>
      <vt:variant>
        <vt:i4>0</vt:i4>
      </vt:variant>
      <vt:variant>
        <vt:i4>5</vt:i4>
      </vt:variant>
      <vt:variant>
        <vt:lpwstr/>
      </vt:variant>
      <vt:variant>
        <vt:lpwstr>_Toc79143475</vt:lpwstr>
      </vt:variant>
      <vt:variant>
        <vt:i4>1572914</vt:i4>
      </vt:variant>
      <vt:variant>
        <vt:i4>50</vt:i4>
      </vt:variant>
      <vt:variant>
        <vt:i4>0</vt:i4>
      </vt:variant>
      <vt:variant>
        <vt:i4>5</vt:i4>
      </vt:variant>
      <vt:variant>
        <vt:lpwstr/>
      </vt:variant>
      <vt:variant>
        <vt:lpwstr>_Toc79143476</vt:lpwstr>
      </vt:variant>
      <vt:variant>
        <vt:i4>1769522</vt:i4>
      </vt:variant>
      <vt:variant>
        <vt:i4>44</vt:i4>
      </vt:variant>
      <vt:variant>
        <vt:i4>0</vt:i4>
      </vt:variant>
      <vt:variant>
        <vt:i4>5</vt:i4>
      </vt:variant>
      <vt:variant>
        <vt:lpwstr/>
      </vt:variant>
      <vt:variant>
        <vt:lpwstr>_Toc79143475</vt:lpwstr>
      </vt:variant>
      <vt:variant>
        <vt:i4>1900594</vt:i4>
      </vt:variant>
      <vt:variant>
        <vt:i4>38</vt:i4>
      </vt:variant>
      <vt:variant>
        <vt:i4>0</vt:i4>
      </vt:variant>
      <vt:variant>
        <vt:i4>5</vt:i4>
      </vt:variant>
      <vt:variant>
        <vt:lpwstr/>
      </vt:variant>
      <vt:variant>
        <vt:lpwstr>_Toc79143473</vt:lpwstr>
      </vt:variant>
      <vt:variant>
        <vt:i4>1835058</vt:i4>
      </vt:variant>
      <vt:variant>
        <vt:i4>32</vt:i4>
      </vt:variant>
      <vt:variant>
        <vt:i4>0</vt:i4>
      </vt:variant>
      <vt:variant>
        <vt:i4>5</vt:i4>
      </vt:variant>
      <vt:variant>
        <vt:lpwstr/>
      </vt:variant>
      <vt:variant>
        <vt:lpwstr>_Toc79143472</vt:lpwstr>
      </vt:variant>
      <vt:variant>
        <vt:i4>2031666</vt:i4>
      </vt:variant>
      <vt:variant>
        <vt:i4>26</vt:i4>
      </vt:variant>
      <vt:variant>
        <vt:i4>0</vt:i4>
      </vt:variant>
      <vt:variant>
        <vt:i4>5</vt:i4>
      </vt:variant>
      <vt:variant>
        <vt:lpwstr/>
      </vt:variant>
      <vt:variant>
        <vt:lpwstr>_Toc79143471</vt:lpwstr>
      </vt:variant>
      <vt:variant>
        <vt:i4>1441843</vt:i4>
      </vt:variant>
      <vt:variant>
        <vt:i4>20</vt:i4>
      </vt:variant>
      <vt:variant>
        <vt:i4>0</vt:i4>
      </vt:variant>
      <vt:variant>
        <vt:i4>5</vt:i4>
      </vt:variant>
      <vt:variant>
        <vt:lpwstr/>
      </vt:variant>
      <vt:variant>
        <vt:lpwstr>_Toc79143468</vt:lpwstr>
      </vt:variant>
      <vt:variant>
        <vt:i4>1835059</vt:i4>
      </vt:variant>
      <vt:variant>
        <vt:i4>14</vt:i4>
      </vt:variant>
      <vt:variant>
        <vt:i4>0</vt:i4>
      </vt:variant>
      <vt:variant>
        <vt:i4>5</vt:i4>
      </vt:variant>
      <vt:variant>
        <vt:lpwstr/>
      </vt:variant>
      <vt:variant>
        <vt:lpwstr>_Toc79143462</vt:lpwstr>
      </vt:variant>
      <vt:variant>
        <vt:i4>2031667</vt:i4>
      </vt:variant>
      <vt:variant>
        <vt:i4>8</vt:i4>
      </vt:variant>
      <vt:variant>
        <vt:i4>0</vt:i4>
      </vt:variant>
      <vt:variant>
        <vt:i4>5</vt:i4>
      </vt:variant>
      <vt:variant>
        <vt:lpwstr/>
      </vt:variant>
      <vt:variant>
        <vt:lpwstr>_Toc79143461</vt:lpwstr>
      </vt:variant>
      <vt:variant>
        <vt:i4>1966131</vt:i4>
      </vt:variant>
      <vt:variant>
        <vt:i4>2</vt:i4>
      </vt:variant>
      <vt:variant>
        <vt:i4>0</vt:i4>
      </vt:variant>
      <vt:variant>
        <vt:i4>5</vt:i4>
      </vt:variant>
      <vt:variant>
        <vt:lpwstr/>
      </vt:variant>
      <vt:variant>
        <vt:lpwstr>_Toc79143460</vt:lpwstr>
      </vt:variant>
      <vt:variant>
        <vt:i4>1048669</vt:i4>
      </vt:variant>
      <vt:variant>
        <vt:i4>3</vt:i4>
      </vt:variant>
      <vt:variant>
        <vt:i4>0</vt:i4>
      </vt:variant>
      <vt:variant>
        <vt:i4>5</vt:i4>
      </vt:variant>
      <vt:variant>
        <vt:lpwstr>http://dx.doi.org/10.15585/mmwr.mm7047e2</vt:lpwstr>
      </vt:variant>
      <vt:variant>
        <vt:lpwstr/>
      </vt:variant>
      <vt:variant>
        <vt:i4>1441794</vt:i4>
      </vt:variant>
      <vt:variant>
        <vt:i4>0</vt:i4>
      </vt:variant>
      <vt:variant>
        <vt:i4>0</vt:i4>
      </vt:variant>
      <vt:variant>
        <vt:i4>5</vt:i4>
      </vt:variant>
      <vt:variant>
        <vt:lpwstr>https://doi.org/10.3389/fpubh.2017.00347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Zealand’s COVID-19 Surveillance Plan</dc:title>
  <dc:subject/>
  <dc:creator>Ministry of Health</dc:creator>
  <cp:keywords/>
  <dc:description/>
  <cp:lastModifiedBy>Kristin Kalla</cp:lastModifiedBy>
  <cp:revision>2</cp:revision>
  <cp:lastPrinted>2021-12-15T21:42:00Z</cp:lastPrinted>
  <dcterms:created xsi:type="dcterms:W3CDTF">2021-12-21T20:42:00Z</dcterms:created>
  <dcterms:modified xsi:type="dcterms:W3CDTF">2021-12-21T20:42:00Z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0x0101001603724EE7A21C40B77B674613522A34</vt:lpwstr>
  </property>
  <property fmtid="{D5CDD505-2E9C-101B-9397-08002B2CF9AE}" pid="3" name="LINKTEK-FILE-ID">
    <vt:lpwstr>0139-168B-6775-9FB6</vt:lpwstr>
  </property>
</Properties>
</file>