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18748" w14:textId="77777777" w:rsidR="00C86248" w:rsidRDefault="00CE5809" w:rsidP="00926083">
      <w:pPr>
        <w:pStyle w:val="Title"/>
      </w:pPr>
      <w:r>
        <w:t xml:space="preserve">Addendum to the </w:t>
      </w:r>
      <w:r w:rsidRPr="00CE5809">
        <w:rPr>
          <w:i/>
        </w:rPr>
        <w:t>New</w:t>
      </w:r>
      <w:r>
        <w:rPr>
          <w:i/>
        </w:rPr>
        <w:t> </w:t>
      </w:r>
      <w:r w:rsidRPr="00CE5809">
        <w:rPr>
          <w:i/>
        </w:rPr>
        <w:t>Zealand Practice Guidelines for Opioid Substitution Treatment 2014</w:t>
      </w:r>
    </w:p>
    <w:p w14:paraId="0EBFD3DD" w14:textId="77777777" w:rsidR="00D27922" w:rsidRDefault="00CE5809" w:rsidP="00D27922">
      <w:pPr>
        <w:pStyle w:val="Subhead"/>
      </w:pPr>
      <w:r>
        <w:t>2022</w:t>
      </w:r>
    </w:p>
    <w:p w14:paraId="702F7EC1" w14:textId="77777777" w:rsidR="00C05132" w:rsidRDefault="00C05132" w:rsidP="00A06BE4"/>
    <w:p w14:paraId="691E982A"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55C06C62" w14:textId="3F27E15B" w:rsidR="00A80363" w:rsidRPr="00C05132" w:rsidRDefault="00A80363" w:rsidP="00A63DFF">
      <w:pPr>
        <w:pStyle w:val="Imprint"/>
        <w:spacing w:before="1200"/>
        <w:rPr>
          <w:rFonts w:cs="Segoe UI"/>
        </w:rPr>
      </w:pPr>
      <w:r w:rsidRPr="00C05132">
        <w:rPr>
          <w:rFonts w:cs="Segoe UI"/>
        </w:rPr>
        <w:lastRenderedPageBreak/>
        <w:t xml:space="preserve">Citation: </w:t>
      </w:r>
      <w:r w:rsidR="0098135D">
        <w:rPr>
          <w:rFonts w:cs="Segoe UI"/>
        </w:rPr>
        <w:t>Crawshaw J</w:t>
      </w:r>
      <w:r w:rsidR="00442C1C" w:rsidRPr="00C05132">
        <w:rPr>
          <w:rFonts w:cs="Segoe UI"/>
        </w:rPr>
        <w:t xml:space="preserve">. </w:t>
      </w:r>
      <w:r w:rsidR="00CE5809">
        <w:rPr>
          <w:rFonts w:cs="Segoe UI"/>
        </w:rPr>
        <w:t>2022</w:t>
      </w:r>
      <w:r w:rsidR="00442C1C" w:rsidRPr="00C05132">
        <w:rPr>
          <w:rFonts w:cs="Segoe UI"/>
        </w:rPr>
        <w:t xml:space="preserve">. </w:t>
      </w:r>
      <w:r w:rsidR="00CE5809">
        <w:rPr>
          <w:rFonts w:cs="Segoe UI"/>
          <w:i/>
        </w:rPr>
        <w:t>Addendum to the New Zealand Practice Guidelines for Opioid Substitution Treatment 2014</w:t>
      </w:r>
      <w:r w:rsidR="00442C1C" w:rsidRPr="00C05132">
        <w:rPr>
          <w:rFonts w:cs="Segoe UI"/>
        </w:rPr>
        <w:t>. Wellington: Ministry of Health.</w:t>
      </w:r>
    </w:p>
    <w:p w14:paraId="520ABF5F" w14:textId="6CD777E0" w:rsidR="00C86248" w:rsidRDefault="00C86248">
      <w:pPr>
        <w:pStyle w:val="Imprint"/>
      </w:pPr>
      <w:r>
        <w:t xml:space="preserve">Published in </w:t>
      </w:r>
      <w:r w:rsidR="00CE5809">
        <w:t>January 2022</w:t>
      </w:r>
      <w:r w:rsidR="009F4111">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015C7C34" w14:textId="25A36EBE" w:rsidR="00082CD6" w:rsidRPr="009C0F2D" w:rsidRDefault="00082CD6" w:rsidP="00082CD6">
      <w:pPr>
        <w:pStyle w:val="Imprint"/>
      </w:pPr>
      <w:r w:rsidRPr="009C0F2D">
        <w:t xml:space="preserve">HP </w:t>
      </w:r>
      <w:r w:rsidR="00647720">
        <w:t>8032</w:t>
      </w:r>
    </w:p>
    <w:p w14:paraId="54157E74" w14:textId="77777777" w:rsidR="00C86248" w:rsidRDefault="008C64C4" w:rsidP="00D27922">
      <w:pPr>
        <w:spacing w:before="360"/>
      </w:pPr>
      <w:r>
        <w:rPr>
          <w:noProof/>
          <w:lang w:eastAsia="en-NZ"/>
        </w:rPr>
        <w:drawing>
          <wp:inline distT="0" distB="0" distL="0" distR="0" wp14:anchorId="4B64769C" wp14:editId="34EEA9B0">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7A0FE62"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05859D0C" w14:textId="77777777" w:rsidTr="00A63DFF">
        <w:trPr>
          <w:cantSplit/>
        </w:trPr>
        <w:tc>
          <w:tcPr>
            <w:tcW w:w="1526" w:type="dxa"/>
          </w:tcPr>
          <w:p w14:paraId="564BDD87"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3FB601D2" wp14:editId="4470B4B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77E5B69"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1E676ED" w14:textId="77777777" w:rsidR="007E74F1" w:rsidRPr="001F45A7" w:rsidRDefault="007E74F1" w:rsidP="006E2886">
      <w:pPr>
        <w:pStyle w:val="Imprint"/>
      </w:pPr>
    </w:p>
    <w:p w14:paraId="316D4A53"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48C91F1A" w14:textId="77777777" w:rsidR="00C86248" w:rsidRDefault="00C86248" w:rsidP="00025A6F">
      <w:pPr>
        <w:pStyle w:val="IntroHead"/>
      </w:pPr>
      <w:bookmarkStart w:id="0" w:name="_Toc405792991"/>
      <w:bookmarkStart w:id="1" w:name="_Toc405793224"/>
      <w:r>
        <w:lastRenderedPageBreak/>
        <w:t>Contents</w:t>
      </w:r>
      <w:bookmarkEnd w:id="0"/>
      <w:bookmarkEnd w:id="1"/>
    </w:p>
    <w:p w14:paraId="13E3F764" w14:textId="0AD8F70D" w:rsidR="005E0AC4" w:rsidRDefault="005E0AC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94188439" w:history="1">
        <w:r w:rsidRPr="00A43252">
          <w:rPr>
            <w:rStyle w:val="Hyperlink"/>
            <w:noProof/>
          </w:rPr>
          <w:t>Introduction</w:t>
        </w:r>
        <w:r>
          <w:rPr>
            <w:noProof/>
            <w:webHidden/>
          </w:rPr>
          <w:tab/>
        </w:r>
        <w:r>
          <w:rPr>
            <w:noProof/>
            <w:webHidden/>
          </w:rPr>
          <w:fldChar w:fldCharType="begin"/>
        </w:r>
        <w:r>
          <w:rPr>
            <w:noProof/>
            <w:webHidden/>
          </w:rPr>
          <w:instrText xml:space="preserve"> PAGEREF _Toc94188439 \h </w:instrText>
        </w:r>
        <w:r>
          <w:rPr>
            <w:noProof/>
            <w:webHidden/>
          </w:rPr>
        </w:r>
        <w:r>
          <w:rPr>
            <w:noProof/>
            <w:webHidden/>
          </w:rPr>
          <w:fldChar w:fldCharType="separate"/>
        </w:r>
        <w:r w:rsidR="00DD3EB4">
          <w:rPr>
            <w:noProof/>
            <w:webHidden/>
          </w:rPr>
          <w:t>1</w:t>
        </w:r>
        <w:r>
          <w:rPr>
            <w:noProof/>
            <w:webHidden/>
          </w:rPr>
          <w:fldChar w:fldCharType="end"/>
        </w:r>
      </w:hyperlink>
    </w:p>
    <w:p w14:paraId="2B96682F" w14:textId="3FA0E470" w:rsidR="005E0AC4" w:rsidRDefault="005E0AC4">
      <w:pPr>
        <w:pStyle w:val="TOC1"/>
        <w:rPr>
          <w:rFonts w:asciiTheme="minorHAnsi" w:eastAsiaTheme="minorEastAsia" w:hAnsiTheme="minorHAnsi" w:cstheme="minorBidi"/>
          <w:noProof/>
          <w:sz w:val="22"/>
          <w:szCs w:val="22"/>
          <w:lang w:eastAsia="en-NZ"/>
        </w:rPr>
      </w:pPr>
      <w:hyperlink w:anchor="_Toc94188440" w:history="1">
        <w:r w:rsidRPr="00A43252">
          <w:rPr>
            <w:rStyle w:val="Hyperlink"/>
            <w:noProof/>
          </w:rPr>
          <w:t>Observed consumption of OST or other controlled drugs offsite by MHAD staff/registered health practitioner</w:t>
        </w:r>
        <w:r>
          <w:rPr>
            <w:noProof/>
            <w:webHidden/>
          </w:rPr>
          <w:tab/>
        </w:r>
        <w:r>
          <w:rPr>
            <w:noProof/>
            <w:webHidden/>
          </w:rPr>
          <w:fldChar w:fldCharType="begin"/>
        </w:r>
        <w:r>
          <w:rPr>
            <w:noProof/>
            <w:webHidden/>
          </w:rPr>
          <w:instrText xml:space="preserve"> PAGEREF _Toc94188440 \h </w:instrText>
        </w:r>
        <w:r>
          <w:rPr>
            <w:noProof/>
            <w:webHidden/>
          </w:rPr>
        </w:r>
        <w:r>
          <w:rPr>
            <w:noProof/>
            <w:webHidden/>
          </w:rPr>
          <w:fldChar w:fldCharType="separate"/>
        </w:r>
        <w:r w:rsidR="00DD3EB4">
          <w:rPr>
            <w:noProof/>
            <w:webHidden/>
          </w:rPr>
          <w:t>2</w:t>
        </w:r>
        <w:r>
          <w:rPr>
            <w:noProof/>
            <w:webHidden/>
          </w:rPr>
          <w:fldChar w:fldCharType="end"/>
        </w:r>
      </w:hyperlink>
    </w:p>
    <w:p w14:paraId="44279709" w14:textId="328142C5" w:rsidR="005E0AC4" w:rsidRDefault="005E0AC4">
      <w:pPr>
        <w:pStyle w:val="TOC1"/>
        <w:rPr>
          <w:rFonts w:asciiTheme="minorHAnsi" w:eastAsiaTheme="minorEastAsia" w:hAnsiTheme="minorHAnsi" w:cstheme="minorBidi"/>
          <w:noProof/>
          <w:sz w:val="22"/>
          <w:szCs w:val="22"/>
          <w:lang w:eastAsia="en-NZ"/>
        </w:rPr>
      </w:pPr>
      <w:hyperlink w:anchor="_Toc94188441" w:history="1">
        <w:r w:rsidRPr="00A43252">
          <w:rPr>
            <w:rStyle w:val="Hyperlink"/>
            <w:noProof/>
          </w:rPr>
          <w:t>Other resources</w:t>
        </w:r>
        <w:r>
          <w:rPr>
            <w:noProof/>
            <w:webHidden/>
          </w:rPr>
          <w:tab/>
        </w:r>
        <w:r>
          <w:rPr>
            <w:noProof/>
            <w:webHidden/>
          </w:rPr>
          <w:fldChar w:fldCharType="begin"/>
        </w:r>
        <w:r>
          <w:rPr>
            <w:noProof/>
            <w:webHidden/>
          </w:rPr>
          <w:instrText xml:space="preserve"> PAGEREF _Toc94188441 \h </w:instrText>
        </w:r>
        <w:r>
          <w:rPr>
            <w:noProof/>
            <w:webHidden/>
          </w:rPr>
        </w:r>
        <w:r>
          <w:rPr>
            <w:noProof/>
            <w:webHidden/>
          </w:rPr>
          <w:fldChar w:fldCharType="separate"/>
        </w:r>
        <w:r w:rsidR="00DD3EB4">
          <w:rPr>
            <w:noProof/>
            <w:webHidden/>
          </w:rPr>
          <w:t>4</w:t>
        </w:r>
        <w:r>
          <w:rPr>
            <w:noProof/>
            <w:webHidden/>
          </w:rPr>
          <w:fldChar w:fldCharType="end"/>
        </w:r>
      </w:hyperlink>
    </w:p>
    <w:p w14:paraId="57F3B799" w14:textId="3DDA0471" w:rsidR="00C86248" w:rsidRDefault="005E0AC4">
      <w:r>
        <w:rPr>
          <w:rFonts w:ascii="Segoe UI Semibold" w:hAnsi="Segoe UI Semibold"/>
          <w:b/>
          <w:sz w:val="24"/>
        </w:rPr>
        <w:fldChar w:fldCharType="end"/>
      </w:r>
    </w:p>
    <w:p w14:paraId="3BD7433F" w14:textId="77777777" w:rsidR="00FB0A5B" w:rsidRDefault="00FB0A5B" w:rsidP="003A5FEA"/>
    <w:p w14:paraId="4C3B997C"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257BFC78" w14:textId="77777777" w:rsidR="008C2973" w:rsidRDefault="002B7BEC" w:rsidP="00A05704">
      <w:pPr>
        <w:pStyle w:val="Heading1"/>
      </w:pPr>
      <w:bookmarkStart w:id="2" w:name="_Toc94188439"/>
      <w:r>
        <w:lastRenderedPageBreak/>
        <w:t>Introduction</w:t>
      </w:r>
      <w:bookmarkEnd w:id="2"/>
    </w:p>
    <w:p w14:paraId="209159F1" w14:textId="77777777" w:rsidR="00CE5809" w:rsidRPr="0079182C" w:rsidRDefault="00CE5809" w:rsidP="00CE5809">
      <w:bookmarkStart w:id="3" w:name="_Hlk88218842"/>
      <w:r w:rsidRPr="0079182C">
        <w:rPr>
          <w:bCs/>
        </w:rPr>
        <w:t>This interim guidance is issued to support the provision of care for</w:t>
      </w:r>
      <w:r w:rsidRPr="0079182C">
        <w:t xml:space="preserve"> </w:t>
      </w:r>
      <w:r>
        <w:t>opioid substitution treatment (</w:t>
      </w:r>
      <w:r w:rsidRPr="0079182C">
        <w:t>OST</w:t>
      </w:r>
      <w:r>
        <w:t>)</w:t>
      </w:r>
      <w:r w:rsidRPr="0079182C">
        <w:t xml:space="preserve"> clients in self-isolation</w:t>
      </w:r>
      <w:r>
        <w:t>.</w:t>
      </w:r>
      <w:r w:rsidRPr="00042858">
        <w:rPr>
          <w:rStyle w:val="FootnoteReference"/>
        </w:rPr>
        <w:footnoteReference w:id="1"/>
      </w:r>
      <w:r w:rsidRPr="0079182C">
        <w:t xml:space="preserve"> When a client is unable to collect their OST or other controlled drug medication in</w:t>
      </w:r>
      <w:r>
        <w:t xml:space="preserve"> </w:t>
      </w:r>
      <w:r w:rsidRPr="0079182C">
        <w:t>person from their pharmacy, options include:</w:t>
      </w:r>
    </w:p>
    <w:p w14:paraId="03343DEF" w14:textId="77777777" w:rsidR="00CE5809" w:rsidRPr="0079182C" w:rsidRDefault="00CE5809" w:rsidP="00CE5809">
      <w:pPr>
        <w:pStyle w:val="Number"/>
        <w:numPr>
          <w:ilvl w:val="0"/>
          <w:numId w:val="50"/>
        </w:numPr>
        <w:spacing w:before="120" w:line="264" w:lineRule="auto"/>
        <w:ind w:left="425" w:hanging="425"/>
      </w:pPr>
      <w:r>
        <w:t>i</w:t>
      </w:r>
      <w:r w:rsidRPr="0079182C">
        <w:t>ncreasing the number of takeaways</w:t>
      </w:r>
    </w:p>
    <w:p w14:paraId="0638A2F7" w14:textId="77777777" w:rsidR="00CE5809" w:rsidRPr="0079182C" w:rsidRDefault="00CE5809" w:rsidP="00CE5809">
      <w:pPr>
        <w:pStyle w:val="Number"/>
        <w:numPr>
          <w:ilvl w:val="0"/>
          <w:numId w:val="50"/>
        </w:numPr>
        <w:spacing w:before="120" w:line="264" w:lineRule="auto"/>
        <w:ind w:left="425" w:hanging="425"/>
      </w:pPr>
      <w:r>
        <w:t>h</w:t>
      </w:r>
      <w:r w:rsidRPr="0079182C">
        <w:t>aving an agent</w:t>
      </w:r>
      <w:r w:rsidRPr="0079182C">
        <w:rPr>
          <w:rStyle w:val="FootnoteReference"/>
          <w:rFonts w:cs="Segoe UI"/>
          <w:szCs w:val="22"/>
        </w:rPr>
        <w:footnoteReference w:id="2"/>
      </w:r>
      <w:r w:rsidRPr="0079182C">
        <w:t xml:space="preserve"> collect the OST medication on the client’s behalf</w:t>
      </w:r>
    </w:p>
    <w:p w14:paraId="45D0867E" w14:textId="77777777" w:rsidR="00CE5809" w:rsidRPr="0079182C" w:rsidRDefault="00CE5809" w:rsidP="00CE5809">
      <w:pPr>
        <w:pStyle w:val="Number"/>
        <w:numPr>
          <w:ilvl w:val="0"/>
          <w:numId w:val="50"/>
        </w:numPr>
        <w:spacing w:before="120" w:line="264" w:lineRule="auto"/>
        <w:ind w:left="425" w:hanging="425"/>
      </w:pPr>
      <w:r>
        <w:t>t</w:t>
      </w:r>
      <w:r w:rsidRPr="0079182C">
        <w:t>he pharmacy delivers the OST medication to the client</w:t>
      </w:r>
    </w:p>
    <w:p w14:paraId="6BC47969" w14:textId="77777777" w:rsidR="00CE5809" w:rsidRPr="0079182C" w:rsidRDefault="00CE5809" w:rsidP="00CE5809">
      <w:pPr>
        <w:pStyle w:val="Number"/>
        <w:numPr>
          <w:ilvl w:val="0"/>
          <w:numId w:val="50"/>
        </w:numPr>
        <w:spacing w:before="120" w:line="264" w:lineRule="auto"/>
        <w:ind w:left="425" w:hanging="425"/>
      </w:pPr>
      <w:r>
        <w:t>l</w:t>
      </w:r>
      <w:r w:rsidRPr="0079182C">
        <w:t>ocal Mental Health and Addiction Service (MHAS) staff deliver to the client.</w:t>
      </w:r>
    </w:p>
    <w:p w14:paraId="6B72A668" w14:textId="77777777" w:rsidR="00CE5809" w:rsidRDefault="00CE5809" w:rsidP="00CE5809"/>
    <w:p w14:paraId="2866C7F6" w14:textId="77777777" w:rsidR="00CE5809" w:rsidRPr="0079182C" w:rsidRDefault="00CE5809" w:rsidP="00CE5809">
      <w:r w:rsidRPr="0079182C">
        <w:t xml:space="preserve">OST </w:t>
      </w:r>
      <w:r>
        <w:t>s</w:t>
      </w:r>
      <w:r w:rsidRPr="0079182C">
        <w:t>ervices (including authorised medical practitioners working in primary care) are responsible for leading local arrangements to support clients. Some considerations for service providers are:</w:t>
      </w:r>
    </w:p>
    <w:p w14:paraId="0A11FCAA" w14:textId="77777777" w:rsidR="00CE5809" w:rsidRPr="0079182C" w:rsidRDefault="00CE5809" w:rsidP="00CE5809">
      <w:pPr>
        <w:pStyle w:val="Bullet"/>
        <w:spacing w:line="264" w:lineRule="auto"/>
      </w:pPr>
      <w:r w:rsidRPr="0079182C">
        <w:t>Availability of pharmacy staff to deliver of medication</w:t>
      </w:r>
      <w:r w:rsidRPr="0079182C" w:rsidDel="00EA16DC">
        <w:t xml:space="preserve"> </w:t>
      </w:r>
      <w:r w:rsidRPr="0079182C">
        <w:t>to the client (contactless delivery only)</w:t>
      </w:r>
      <w:r>
        <w:t>.</w:t>
      </w:r>
    </w:p>
    <w:p w14:paraId="6F16C67E" w14:textId="77777777" w:rsidR="00CE5809" w:rsidRPr="0079182C" w:rsidRDefault="00CE5809" w:rsidP="00CE5809">
      <w:pPr>
        <w:pStyle w:val="Bullet"/>
        <w:spacing w:line="264" w:lineRule="auto"/>
      </w:pPr>
      <w:r w:rsidRPr="0079182C">
        <w:t>Availability of agents/ OST staff for delivery of medication (contactless delivery only)</w:t>
      </w:r>
      <w:r>
        <w:t>.</w:t>
      </w:r>
    </w:p>
    <w:p w14:paraId="57C9CD94" w14:textId="77777777" w:rsidR="00CE5809" w:rsidRPr="0079182C" w:rsidRDefault="00CE5809" w:rsidP="00CE5809">
      <w:pPr>
        <w:pStyle w:val="Bullet"/>
        <w:spacing w:line="264" w:lineRule="auto"/>
      </w:pPr>
      <w:r w:rsidRPr="0079182C">
        <w:t>Check options for using an agent on the client’s behalf to collect OST doses from the pharmacy. If an agent is used, consider identification of the agent and their signing for the receipt of medication as per OST guidelines</w:t>
      </w:r>
      <w:r>
        <w:t>.</w:t>
      </w:r>
    </w:p>
    <w:p w14:paraId="73E07FB4" w14:textId="77777777" w:rsidR="00CE5809" w:rsidRPr="0079182C" w:rsidRDefault="00CE5809" w:rsidP="00CE5809">
      <w:pPr>
        <w:pStyle w:val="Bullet"/>
        <w:spacing w:line="264" w:lineRule="auto"/>
      </w:pPr>
      <w:r w:rsidRPr="0079182C">
        <w:t>Check options for takeaway doses or temporarily increased number of takeaway doses</w:t>
      </w:r>
      <w:r>
        <w:t>.</w:t>
      </w:r>
    </w:p>
    <w:p w14:paraId="06900D89" w14:textId="77777777" w:rsidR="00CE5809" w:rsidRPr="0079182C" w:rsidRDefault="00CE5809" w:rsidP="00CE5809">
      <w:pPr>
        <w:pStyle w:val="Bullet"/>
        <w:spacing w:line="264" w:lineRule="auto"/>
      </w:pPr>
      <w:r w:rsidRPr="0079182C">
        <w:t>Naloxone</w:t>
      </w:r>
      <w:r w:rsidRPr="00042858">
        <w:rPr>
          <w:rStyle w:val="FootnoteReference"/>
        </w:rPr>
        <w:footnoteReference w:id="3"/>
      </w:r>
      <w:r w:rsidRPr="0079182C">
        <w:t xml:space="preserve"> maybe requested to be dispensed alongside OST medication</w:t>
      </w:r>
      <w:r>
        <w:t>.</w:t>
      </w:r>
    </w:p>
    <w:p w14:paraId="5F63FF09" w14:textId="77777777" w:rsidR="00CE5809" w:rsidRPr="0079182C" w:rsidRDefault="00CE5809" w:rsidP="00CE5809">
      <w:pPr>
        <w:pStyle w:val="Bullet"/>
        <w:spacing w:line="264" w:lineRule="auto"/>
      </w:pPr>
      <w:r w:rsidRPr="0079182C">
        <w:t>Document changes in takeaway arrangements, additional takeaway doses, early pick-up, cancellation of dose(s), agent collection details (name, date, number of doses)</w:t>
      </w:r>
      <w:r>
        <w:t>.</w:t>
      </w:r>
    </w:p>
    <w:p w14:paraId="1A3BD3F0" w14:textId="77777777" w:rsidR="00CE5809" w:rsidRDefault="00CE5809" w:rsidP="00CE5809">
      <w:pPr>
        <w:pStyle w:val="Bullet"/>
        <w:spacing w:line="264" w:lineRule="auto"/>
      </w:pPr>
      <w:r w:rsidRPr="0079182C">
        <w:t>Service providers to keep a clear record of responsibilities of service provision (</w:t>
      </w:r>
      <w:r>
        <w:t>ie,</w:t>
      </w:r>
      <w:r w:rsidRPr="0079182C">
        <w:t xml:space="preserve"> who is doing the dispensing, who is doing the delivery and observed consumption).</w:t>
      </w:r>
    </w:p>
    <w:p w14:paraId="043E6599" w14:textId="77777777" w:rsidR="00CE5809" w:rsidRPr="0079182C" w:rsidRDefault="00CE5809" w:rsidP="00CE5809"/>
    <w:p w14:paraId="68CC5607" w14:textId="77777777" w:rsidR="00CE5809" w:rsidRPr="0079182C" w:rsidRDefault="00CE5809" w:rsidP="00CE5809">
      <w:pPr>
        <w:pStyle w:val="Heading1"/>
      </w:pPr>
      <w:bookmarkStart w:id="4" w:name="_Toc94164669"/>
      <w:bookmarkStart w:id="5" w:name="_Toc94188440"/>
      <w:r w:rsidRPr="0079182C">
        <w:lastRenderedPageBreak/>
        <w:t>Observed consumption of OST or other controll</w:t>
      </w:r>
      <w:r w:rsidR="00252AF4">
        <w:t>ed drugs offsite by MHAD staff/</w:t>
      </w:r>
      <w:r w:rsidRPr="009A4461">
        <w:t>registered</w:t>
      </w:r>
      <w:r w:rsidRPr="0079182C">
        <w:t xml:space="preserve"> health practitioner</w:t>
      </w:r>
      <w:bookmarkEnd w:id="4"/>
      <w:bookmarkEnd w:id="5"/>
    </w:p>
    <w:p w14:paraId="020D3445" w14:textId="77777777" w:rsidR="00CE5809" w:rsidRPr="0079182C" w:rsidRDefault="00CE5809" w:rsidP="00CE5809">
      <w:r w:rsidRPr="0079182C">
        <w:t>Under the current OST guidelines (section 9.2.3), the pharmacist is involved in administering observed consumed dose at the pharmacy. If the client is self-isolating, the pharmacist would dispense as per normal. It is the responsibility of MHA</w:t>
      </w:r>
      <w:r>
        <w:t>S</w:t>
      </w:r>
      <w:r w:rsidRPr="0079182C">
        <w:t xml:space="preserve"> staff</w:t>
      </w:r>
      <w:r>
        <w:t xml:space="preserve"> or a</w:t>
      </w:r>
      <w:r w:rsidRPr="0079182C">
        <w:t xml:space="preserve"> </w:t>
      </w:r>
      <w:r w:rsidRPr="00837884">
        <w:t>registered</w:t>
      </w:r>
      <w:r w:rsidRPr="0079182C">
        <w:t xml:space="preserve"> health practitioner to collect and undertake the observed consumption of OST as necessary. This should be conducted in accordance with </w:t>
      </w:r>
      <w:r>
        <w:t>local guidelines and protocols.</w:t>
      </w:r>
    </w:p>
    <w:p w14:paraId="4F9AF9DB" w14:textId="77777777" w:rsidR="00CE5809" w:rsidRDefault="00CE5809" w:rsidP="00CE5809"/>
    <w:p w14:paraId="077028A5" w14:textId="77777777" w:rsidR="00CE5809" w:rsidRPr="0079182C" w:rsidRDefault="00CE5809" w:rsidP="00CE5809">
      <w:r w:rsidRPr="0079182C">
        <w:t>Administration procedures offsite (eg</w:t>
      </w:r>
      <w:r>
        <w:t>,</w:t>
      </w:r>
      <w:r w:rsidRPr="0079182C">
        <w:t xml:space="preserve"> outside of the dispensing pharmacy/ facility) is a response to the need and is decided on a case-by-case basis. You will need to take into account:</w:t>
      </w:r>
    </w:p>
    <w:p w14:paraId="74D40380" w14:textId="77777777" w:rsidR="00CE5809" w:rsidRPr="0079182C" w:rsidRDefault="00CE5809" w:rsidP="00CE5809">
      <w:pPr>
        <w:pStyle w:val="Bullet"/>
        <w:spacing w:line="264" w:lineRule="auto"/>
      </w:pPr>
      <w:r w:rsidRPr="0079182C">
        <w:t>Staff and client safety (team of two</w:t>
      </w:r>
      <w:r>
        <w:t>:</w:t>
      </w:r>
      <w:r w:rsidRPr="0079182C">
        <w:t xml:space="preserve"> one to administer – </w:t>
      </w:r>
      <w:r w:rsidRPr="00E476C0">
        <w:t>registered</w:t>
      </w:r>
      <w:r w:rsidRPr="0079182C">
        <w:t xml:space="preserve"> health practitioner</w:t>
      </w:r>
      <w:r>
        <w:t>;</w:t>
      </w:r>
      <w:r w:rsidRPr="0079182C">
        <w:t xml:space="preserve"> one non-clinical/peer support staff acting as </w:t>
      </w:r>
      <w:r>
        <w:t xml:space="preserve">a </w:t>
      </w:r>
      <w:r w:rsidRPr="0079182C">
        <w:t>witness)</w:t>
      </w:r>
      <w:r>
        <w:t>.</w:t>
      </w:r>
    </w:p>
    <w:p w14:paraId="0497433C" w14:textId="77777777" w:rsidR="00CE5809" w:rsidRPr="0079182C" w:rsidRDefault="00CE5809" w:rsidP="00CE5809">
      <w:pPr>
        <w:pStyle w:val="Bullet"/>
        <w:spacing w:line="264" w:lineRule="auto"/>
      </w:pPr>
      <w:r w:rsidRPr="0079182C">
        <w:t>Safe transportation to and from the dispensing pharmacy/facility</w:t>
      </w:r>
      <w:r>
        <w:t>.</w:t>
      </w:r>
    </w:p>
    <w:p w14:paraId="39FB007B" w14:textId="77777777" w:rsidR="00CE5809" w:rsidRPr="0079182C" w:rsidRDefault="00CE5809" w:rsidP="00CE5809">
      <w:pPr>
        <w:pStyle w:val="Bullet"/>
        <w:spacing w:line="264" w:lineRule="auto"/>
      </w:pPr>
      <w:r w:rsidRPr="0079182C">
        <w:t xml:space="preserve">Availability of </w:t>
      </w:r>
      <w:r>
        <w:t>p</w:t>
      </w:r>
      <w:r w:rsidRPr="0079182C">
        <w:t xml:space="preserve">ersonal </w:t>
      </w:r>
      <w:r>
        <w:t>p</w:t>
      </w:r>
      <w:r w:rsidRPr="0079182C">
        <w:t xml:space="preserve">rotective </w:t>
      </w:r>
      <w:r>
        <w:t>e</w:t>
      </w:r>
      <w:r w:rsidRPr="0079182C">
        <w:t>quipment (PPE)</w:t>
      </w:r>
      <w:r>
        <w:t>,</w:t>
      </w:r>
      <w:r w:rsidRPr="0079182C">
        <w:t xml:space="preserve"> infection prevention and control measures as per organisation</w:t>
      </w:r>
      <w:r>
        <w:t xml:space="preserve">, </w:t>
      </w:r>
      <w:r w:rsidRPr="0079182C">
        <w:t xml:space="preserve">local </w:t>
      </w:r>
      <w:r>
        <w:t>alcohol and drug service or district health board</w:t>
      </w:r>
      <w:r w:rsidRPr="0079182C">
        <w:t xml:space="preserve"> protocols and safe disposal of PPE after dose delivery</w:t>
      </w:r>
      <w:r>
        <w:t>.</w:t>
      </w:r>
    </w:p>
    <w:p w14:paraId="6D4E448D" w14:textId="77777777" w:rsidR="00CE5809" w:rsidRPr="0079182C" w:rsidRDefault="00CE5809" w:rsidP="00CE5809">
      <w:pPr>
        <w:pStyle w:val="Bullet"/>
        <w:spacing w:line="264" w:lineRule="auto"/>
      </w:pPr>
      <w:r w:rsidRPr="0079182C">
        <w:t xml:space="preserve">Maintaining </w:t>
      </w:r>
      <w:r>
        <w:t>two-</w:t>
      </w:r>
      <w:r w:rsidRPr="0079182C">
        <w:t>metre distance</w:t>
      </w:r>
      <w:r>
        <w:t>.</w:t>
      </w:r>
    </w:p>
    <w:p w14:paraId="6EA8B534" w14:textId="77777777" w:rsidR="00CE5809" w:rsidRPr="0079182C" w:rsidRDefault="00CE5809" w:rsidP="00CE5809">
      <w:pPr>
        <w:pStyle w:val="Bullet"/>
        <w:spacing w:line="264" w:lineRule="auto"/>
      </w:pPr>
      <w:r w:rsidRPr="0079182C">
        <w:t>Check for hazards on entry to the property</w:t>
      </w:r>
      <w:r>
        <w:t>,</w:t>
      </w:r>
      <w:r w:rsidRPr="0079182C">
        <w:t xml:space="preserve"> eg</w:t>
      </w:r>
      <w:r>
        <w:t>,</w:t>
      </w:r>
      <w:r w:rsidRPr="0079182C">
        <w:t xml:space="preserve"> pets, or anything that is useful to know, eg</w:t>
      </w:r>
      <w:r>
        <w:t>,</w:t>
      </w:r>
      <w:r w:rsidRPr="0079182C">
        <w:t xml:space="preserve"> children or visitors present, ensuring privacy</w:t>
      </w:r>
      <w:r>
        <w:t>.</w:t>
      </w:r>
    </w:p>
    <w:p w14:paraId="593C7FF4" w14:textId="77777777" w:rsidR="00CE5809" w:rsidRPr="0079182C" w:rsidRDefault="00CE5809" w:rsidP="00CE5809">
      <w:pPr>
        <w:pStyle w:val="Bullet"/>
        <w:spacing w:line="264" w:lineRule="auto"/>
      </w:pPr>
      <w:r w:rsidRPr="0079182C">
        <w:t>Call the client to advise when you are at the property, explain and ensure the process for delivery and consumption under observation (if required) is understood as per below:</w:t>
      </w:r>
    </w:p>
    <w:p w14:paraId="01059B6C" w14:textId="77777777" w:rsidR="00CE5809" w:rsidRPr="003A289E" w:rsidRDefault="00CE5809" w:rsidP="00CE5809">
      <w:pPr>
        <w:pStyle w:val="Dash"/>
        <w:spacing w:line="264" w:lineRule="auto"/>
      </w:pPr>
      <w:r w:rsidRPr="0079182C">
        <w:t>Place medication at</w:t>
      </w:r>
      <w:r w:rsidRPr="003A289E">
        <w:t xml:space="preserve"> appropriate site (eg</w:t>
      </w:r>
      <w:r>
        <w:t>,</w:t>
      </w:r>
      <w:r w:rsidRPr="003A289E">
        <w:t xml:space="preserve"> doorstep, front porch)</w:t>
      </w:r>
      <w:r>
        <w:t>.</w:t>
      </w:r>
    </w:p>
    <w:p w14:paraId="4F28214D" w14:textId="77777777" w:rsidR="00CE5809" w:rsidRPr="003A289E" w:rsidRDefault="00CE5809" w:rsidP="00CE5809">
      <w:pPr>
        <w:pStyle w:val="Dash"/>
        <w:spacing w:line="264" w:lineRule="auto"/>
      </w:pPr>
      <w:r w:rsidRPr="003A289E">
        <w:t xml:space="preserve">Knock on the door and step back at a safe </w:t>
      </w:r>
      <w:r>
        <w:t>two-</w:t>
      </w:r>
      <w:r w:rsidRPr="003A289E">
        <w:t>metre social distance</w:t>
      </w:r>
      <w:r>
        <w:t>.</w:t>
      </w:r>
    </w:p>
    <w:p w14:paraId="5192611D" w14:textId="77777777" w:rsidR="00CE5809" w:rsidRPr="003A289E" w:rsidRDefault="00CE5809" w:rsidP="00CE5809">
      <w:pPr>
        <w:pStyle w:val="Dash"/>
        <w:spacing w:line="264" w:lineRule="auto"/>
      </w:pPr>
      <w:r w:rsidRPr="003A289E">
        <w:lastRenderedPageBreak/>
        <w:t>Confirm client’s identity and ensure that the client is safe to consume OST medications (eg</w:t>
      </w:r>
      <w:r>
        <w:t>,</w:t>
      </w:r>
      <w:r w:rsidRPr="003A289E">
        <w:t xml:space="preserve"> patient is well, no obvious signs of intoxication</w:t>
      </w:r>
      <w:r>
        <w:t>)</w:t>
      </w:r>
      <w:r w:rsidRPr="00042858">
        <w:rPr>
          <w:rStyle w:val="FootnoteReference"/>
        </w:rPr>
        <w:footnoteReference w:id="4"/>
      </w:r>
      <w:r w:rsidRPr="003A289E">
        <w:t xml:space="preserve"> from a safe distance</w:t>
      </w:r>
      <w:r>
        <w:t>.</w:t>
      </w:r>
    </w:p>
    <w:p w14:paraId="77A4682E" w14:textId="77777777" w:rsidR="00CE5809" w:rsidRPr="003A289E" w:rsidRDefault="00CE5809" w:rsidP="00CE5809">
      <w:pPr>
        <w:pStyle w:val="Dash"/>
        <w:spacing w:line="264" w:lineRule="auto"/>
      </w:pPr>
      <w:r w:rsidRPr="003A289E">
        <w:t>Ask client to verbally confirm name, date of birth and dose(s) is correct</w:t>
      </w:r>
      <w:r>
        <w:t>.</w:t>
      </w:r>
    </w:p>
    <w:p w14:paraId="793D93F5" w14:textId="77777777" w:rsidR="00CE5809" w:rsidRPr="003A289E" w:rsidRDefault="00CE5809" w:rsidP="00CE5809">
      <w:pPr>
        <w:pStyle w:val="Dash"/>
        <w:spacing w:line="264" w:lineRule="auto"/>
      </w:pPr>
      <w:r w:rsidRPr="003A289E">
        <w:t xml:space="preserve">Observe </w:t>
      </w:r>
      <w:r>
        <w:t xml:space="preserve">client’s </w:t>
      </w:r>
      <w:r w:rsidRPr="003A289E">
        <w:t xml:space="preserve">consumption of </w:t>
      </w:r>
      <w:r>
        <w:t xml:space="preserve">the </w:t>
      </w:r>
      <w:r w:rsidRPr="003A289E">
        <w:t>dose</w:t>
      </w:r>
      <w:r>
        <w:t>.</w:t>
      </w:r>
    </w:p>
    <w:p w14:paraId="4A6229E5" w14:textId="77777777" w:rsidR="00CE5809" w:rsidRPr="0079182C" w:rsidRDefault="00CE5809" w:rsidP="00CE5809">
      <w:pPr>
        <w:pStyle w:val="Dash"/>
        <w:spacing w:line="264" w:lineRule="auto"/>
      </w:pPr>
      <w:r w:rsidRPr="003A289E">
        <w:t>Sign medication</w:t>
      </w:r>
      <w:r w:rsidRPr="0079182C">
        <w:t xml:space="preserve"> chart/records (with </w:t>
      </w:r>
      <w:r>
        <w:t xml:space="preserve">a </w:t>
      </w:r>
      <w:r w:rsidRPr="0079182C">
        <w:t>witness).</w:t>
      </w:r>
    </w:p>
    <w:p w14:paraId="32EE14D4" w14:textId="77777777" w:rsidR="00CE5809" w:rsidRDefault="00CE5809" w:rsidP="00CE5809">
      <w:pPr>
        <w:pStyle w:val="Bullet"/>
        <w:spacing w:line="264" w:lineRule="auto"/>
      </w:pPr>
      <w:r w:rsidRPr="0079182C">
        <w:t>Systems in place to return unused OST medication to the dispensing pharmacy.</w:t>
      </w:r>
    </w:p>
    <w:p w14:paraId="72A1CC4C" w14:textId="77777777" w:rsidR="00CE5809" w:rsidRPr="0079182C" w:rsidRDefault="00CE5809" w:rsidP="00CE5809"/>
    <w:p w14:paraId="44278428" w14:textId="77777777" w:rsidR="00CE5809" w:rsidRPr="0079182C" w:rsidRDefault="00CE5809" w:rsidP="00CE5809">
      <w:pPr>
        <w:pStyle w:val="Heading1"/>
      </w:pPr>
      <w:bookmarkStart w:id="6" w:name="_Toc94164670"/>
      <w:bookmarkStart w:id="7" w:name="_Toc94188441"/>
      <w:bookmarkEnd w:id="3"/>
      <w:r w:rsidRPr="0079182C">
        <w:lastRenderedPageBreak/>
        <w:t>Other resources</w:t>
      </w:r>
      <w:bookmarkEnd w:id="6"/>
      <w:bookmarkEnd w:id="7"/>
    </w:p>
    <w:p w14:paraId="3B05D8CF" w14:textId="77777777" w:rsidR="00CE5809" w:rsidRPr="0079182C" w:rsidRDefault="00CE5809" w:rsidP="00CE5809">
      <w:r w:rsidRPr="0079182C">
        <w:t>Caring for people with COVID-19 in the community resources:</w:t>
      </w:r>
    </w:p>
    <w:p w14:paraId="6A5B54B7" w14:textId="77777777" w:rsidR="00CE5809" w:rsidRPr="0079182C" w:rsidRDefault="00621A31" w:rsidP="00CE5809">
      <w:pPr>
        <w:pStyle w:val="Bullet"/>
        <w:spacing w:line="264" w:lineRule="auto"/>
        <w:rPr>
          <w:rFonts w:cs="Segoe UI"/>
          <w:szCs w:val="22"/>
        </w:rPr>
      </w:pPr>
      <w:hyperlink r:id="rId19" w:history="1">
        <w:r w:rsidR="00CE5809" w:rsidRPr="0079182C">
          <w:rPr>
            <w:rStyle w:val="Hyperlink"/>
            <w:rFonts w:cs="Segoe UI"/>
            <w:szCs w:val="22"/>
          </w:rPr>
          <w:t>Caring for people with COVID-19 in the community | Ministry of Health</w:t>
        </w:r>
      </w:hyperlink>
    </w:p>
    <w:p w14:paraId="4CCDD050" w14:textId="77777777" w:rsidR="00CE5809" w:rsidRPr="0079182C" w:rsidRDefault="00621A31" w:rsidP="00CE5809">
      <w:pPr>
        <w:pStyle w:val="Bullet"/>
        <w:spacing w:line="264" w:lineRule="auto"/>
        <w:rPr>
          <w:rFonts w:cs="Segoe UI"/>
          <w:szCs w:val="22"/>
        </w:rPr>
      </w:pPr>
      <w:hyperlink r:id="rId20" w:history="1">
        <w:r w:rsidR="00CE5809" w:rsidRPr="0079182C">
          <w:rPr>
            <w:rStyle w:val="Hyperlink"/>
            <w:rFonts w:cs="Segoe UI"/>
            <w:szCs w:val="22"/>
          </w:rPr>
          <w:t>COVID-19: Infection prevention and control recommendations for health and disability care workers | Ministry of Health</w:t>
        </w:r>
      </w:hyperlink>
    </w:p>
    <w:p w14:paraId="0EBD731E" w14:textId="77777777" w:rsidR="00CE5809" w:rsidRPr="0079182C" w:rsidRDefault="00621A31" w:rsidP="00CE5809">
      <w:pPr>
        <w:pStyle w:val="Bullet"/>
        <w:spacing w:line="264" w:lineRule="auto"/>
        <w:rPr>
          <w:rFonts w:cs="Segoe UI"/>
          <w:szCs w:val="22"/>
        </w:rPr>
      </w:pPr>
      <w:hyperlink r:id="rId21" w:history="1">
        <w:r w:rsidR="00CE5809" w:rsidRPr="0079182C">
          <w:rPr>
            <w:rStyle w:val="Hyperlink"/>
            <w:rFonts w:cs="Segoe UI"/>
            <w:szCs w:val="22"/>
          </w:rPr>
          <w:t>Ministry of Health position statement on routine pre-consultation testing of unvaccinated individuals in healthcare settings</w:t>
        </w:r>
      </w:hyperlink>
    </w:p>
    <w:p w14:paraId="14F60883" w14:textId="77777777" w:rsidR="00CE5809" w:rsidRPr="0079182C" w:rsidRDefault="00621A31" w:rsidP="00CE5809">
      <w:pPr>
        <w:pStyle w:val="Bullet"/>
        <w:spacing w:line="264" w:lineRule="auto"/>
        <w:rPr>
          <w:rFonts w:cs="Segoe UI"/>
          <w:szCs w:val="22"/>
        </w:rPr>
      </w:pPr>
      <w:hyperlink r:id="rId22" w:history="1">
        <w:r w:rsidR="00CE5809" w:rsidRPr="00776327">
          <w:rPr>
            <w:rStyle w:val="Hyperlink"/>
            <w:rFonts w:cs="Segoe UI"/>
            <w:szCs w:val="22"/>
          </w:rPr>
          <w:t>COVID-19 Care in the Community: Framework for public health, DHBs, PHOs, providers, social and wellbeing organisations</w:t>
        </w:r>
      </w:hyperlink>
    </w:p>
    <w:p w14:paraId="3DB14F6C" w14:textId="77777777" w:rsidR="00CE5809" w:rsidRPr="00042858" w:rsidRDefault="00621A31" w:rsidP="00CE5809">
      <w:pPr>
        <w:pStyle w:val="Bullet"/>
        <w:spacing w:line="264" w:lineRule="auto"/>
      </w:pPr>
      <w:hyperlink r:id="rId23" w:history="1">
        <w:r w:rsidR="00CE5809" w:rsidRPr="0079182C">
          <w:rPr>
            <w:rStyle w:val="Hyperlink"/>
            <w:rFonts w:cs="Segoe UI"/>
            <w:szCs w:val="22"/>
          </w:rPr>
          <w:t>New Zealand Practice Guidelines for Opioid Substitution Treatment 2014</w:t>
        </w:r>
      </w:hyperlink>
    </w:p>
    <w:p w14:paraId="5640C729" w14:textId="77777777" w:rsidR="00CE5809" w:rsidRPr="002150E2" w:rsidRDefault="00621A31" w:rsidP="00CE5809">
      <w:pPr>
        <w:pStyle w:val="Bullet"/>
        <w:spacing w:line="264" w:lineRule="auto"/>
        <w:rPr>
          <w:rFonts w:cs="Segoe UI"/>
          <w:szCs w:val="22"/>
        </w:rPr>
      </w:pPr>
      <w:hyperlink r:id="rId24" w:history="1">
        <w:r w:rsidR="00CE5809" w:rsidRPr="002150E2">
          <w:rPr>
            <w:rStyle w:val="Hyperlink"/>
            <w:rFonts w:cs="Segoe UI"/>
            <w:szCs w:val="22"/>
          </w:rPr>
          <w:t>New Zealand Needle Exchange Programme</w:t>
        </w:r>
      </w:hyperlink>
      <w:r w:rsidR="00CE5809">
        <w:t>.</w:t>
      </w:r>
      <w:r w:rsidR="00CE5809" w:rsidRPr="00042858">
        <w:rPr>
          <w:rStyle w:val="FootnoteReference"/>
        </w:rPr>
        <w:footnoteReference w:id="5"/>
      </w:r>
    </w:p>
    <w:p w14:paraId="0E256370" w14:textId="77777777" w:rsidR="0021374C" w:rsidRPr="00466303" w:rsidRDefault="0021374C" w:rsidP="00466303"/>
    <w:sectPr w:rsidR="0021374C" w:rsidRPr="00466303" w:rsidSect="00466303">
      <w:footerReference w:type="even" r:id="rId25"/>
      <w:footerReference w:type="default" r:id="rId26"/>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1E24E" w14:textId="77777777" w:rsidR="00621A31" w:rsidRDefault="00621A31">
      <w:r>
        <w:separator/>
      </w:r>
    </w:p>
    <w:p w14:paraId="4653AD77" w14:textId="77777777" w:rsidR="00621A31" w:rsidRDefault="00621A31"/>
  </w:endnote>
  <w:endnote w:type="continuationSeparator" w:id="0">
    <w:p w14:paraId="1663F7A7" w14:textId="77777777" w:rsidR="00621A31" w:rsidRDefault="00621A31">
      <w:r>
        <w:continuationSeparator/>
      </w:r>
    </w:p>
    <w:p w14:paraId="142071A0" w14:textId="77777777" w:rsidR="00621A31" w:rsidRDefault="00621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9C95" w14:textId="77777777" w:rsidR="007C098E" w:rsidRPr="00581136" w:rsidRDefault="007C098E" w:rsidP="005A79E5">
    <w:pPr>
      <w:pStyle w:val="Footer"/>
      <w:pBdr>
        <w:bottom w:val="single" w:sz="4" w:space="1" w:color="auto"/>
      </w:pBdr>
      <w:tabs>
        <w:tab w:val="right" w:pos="9639"/>
      </w:tabs>
      <w:rPr>
        <w:b/>
      </w:rPr>
    </w:pPr>
    <w:r w:rsidRPr="00581136">
      <w:rPr>
        <w:b/>
      </w:rPr>
      <w:t>Released 20</w:t>
    </w:r>
    <w:r>
      <w:rPr>
        <w:b/>
      </w:rPr>
      <w:t>2</w:t>
    </w:r>
    <w:r w:rsidR="00F0746B">
      <w:rPr>
        <w:b/>
      </w:rPr>
      <w:t>2</w:t>
    </w:r>
    <w:r w:rsidRPr="00581136">
      <w:rPr>
        <w:b/>
      </w:rPr>
      <w:tab/>
      <w:t>health.govt.nz</w:t>
    </w:r>
  </w:p>
  <w:p w14:paraId="7589081F" w14:textId="77777777" w:rsidR="007C098E" w:rsidRPr="005A79E5" w:rsidRDefault="007C098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752F" w14:textId="77777777" w:rsidR="007C098E" w:rsidRDefault="007C098E"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FFB7" w14:textId="77777777" w:rsidR="007C098E" w:rsidRDefault="007C0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7C098E" w14:paraId="173EB71F" w14:textId="77777777" w:rsidTr="00D662F8">
      <w:trPr>
        <w:cantSplit/>
      </w:trPr>
      <w:tc>
        <w:tcPr>
          <w:tcW w:w="709" w:type="dxa"/>
          <w:vAlign w:val="center"/>
        </w:tcPr>
        <w:p w14:paraId="31DB77EC" w14:textId="77777777" w:rsidR="007C098E" w:rsidRPr="00931466" w:rsidRDefault="007C098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4B9466F6" w14:textId="77777777" w:rsidR="007C098E" w:rsidRDefault="007C098E" w:rsidP="00117F59">
          <w:pPr>
            <w:pStyle w:val="RectoFooter"/>
            <w:jc w:val="left"/>
          </w:pPr>
          <w:r>
            <w:t>[title]: [subhead]</w:t>
          </w:r>
        </w:p>
      </w:tc>
    </w:tr>
  </w:tbl>
  <w:p w14:paraId="5C03EC3D" w14:textId="77777777" w:rsidR="007C098E" w:rsidRPr="00571223" w:rsidRDefault="007C098E"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7C098E" w14:paraId="4F3850BC" w14:textId="77777777" w:rsidTr="006E2886">
      <w:trPr>
        <w:cantSplit/>
      </w:trPr>
      <w:tc>
        <w:tcPr>
          <w:tcW w:w="8080" w:type="dxa"/>
          <w:vAlign w:val="center"/>
        </w:tcPr>
        <w:p w14:paraId="6F1C9783" w14:textId="77777777" w:rsidR="007C098E" w:rsidRDefault="00CE5809" w:rsidP="00CE5809">
          <w:pPr>
            <w:pStyle w:val="RectoFooter"/>
          </w:pPr>
          <w:r>
            <w:t xml:space="preserve">addendum to the </w:t>
          </w:r>
          <w:r w:rsidRPr="00CE5809">
            <w:rPr>
              <w:i/>
            </w:rPr>
            <w:t>new zealand practice guidelines for opioid substitution treatment 2014</w:t>
          </w:r>
        </w:p>
      </w:tc>
      <w:tc>
        <w:tcPr>
          <w:tcW w:w="709" w:type="dxa"/>
          <w:vAlign w:val="center"/>
        </w:tcPr>
        <w:p w14:paraId="36ED7899" w14:textId="77777777" w:rsidR="007C098E" w:rsidRPr="00931466" w:rsidRDefault="007C098E"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1374C">
            <w:rPr>
              <w:rStyle w:val="PageNumber"/>
              <w:noProof/>
            </w:rPr>
            <w:t>iii</w:t>
          </w:r>
          <w:r w:rsidRPr="00931466">
            <w:rPr>
              <w:rStyle w:val="PageNumber"/>
            </w:rPr>
            <w:fldChar w:fldCharType="end"/>
          </w:r>
        </w:p>
      </w:tc>
    </w:tr>
  </w:tbl>
  <w:p w14:paraId="3E7E1D41" w14:textId="77777777" w:rsidR="007C098E" w:rsidRPr="00581EB8" w:rsidRDefault="007C098E"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466303" w14:paraId="73BC6253" w14:textId="77777777" w:rsidTr="003358BF">
      <w:trPr>
        <w:cantSplit/>
      </w:trPr>
      <w:tc>
        <w:tcPr>
          <w:tcW w:w="675" w:type="dxa"/>
          <w:vAlign w:val="center"/>
        </w:tcPr>
        <w:p w14:paraId="1C6A10F8" w14:textId="77777777" w:rsidR="00466303" w:rsidRPr="00931466" w:rsidRDefault="00466303" w:rsidP="003358B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1374C">
            <w:rPr>
              <w:rStyle w:val="PageNumber"/>
              <w:noProof/>
            </w:rPr>
            <w:t>4</w:t>
          </w:r>
          <w:r w:rsidRPr="00931466">
            <w:rPr>
              <w:rStyle w:val="PageNumber"/>
            </w:rPr>
            <w:fldChar w:fldCharType="end"/>
          </w:r>
        </w:p>
      </w:tc>
      <w:tc>
        <w:tcPr>
          <w:tcW w:w="9072" w:type="dxa"/>
          <w:vAlign w:val="center"/>
        </w:tcPr>
        <w:p w14:paraId="2C19C58C" w14:textId="77777777" w:rsidR="00466303" w:rsidRDefault="00CE5809" w:rsidP="00CE5809">
          <w:pPr>
            <w:pStyle w:val="RectoFooter"/>
            <w:ind w:left="-108"/>
            <w:jc w:val="left"/>
          </w:pPr>
          <w:r>
            <w:t xml:space="preserve">addendum to the </w:t>
          </w:r>
          <w:r w:rsidRPr="00CE5809">
            <w:rPr>
              <w:i/>
            </w:rPr>
            <w:t>new zealand practice guidelines for opioid substitution treatment 2014</w:t>
          </w:r>
        </w:p>
      </w:tc>
    </w:tr>
  </w:tbl>
  <w:p w14:paraId="1D14FB85" w14:textId="77777777" w:rsidR="00466303" w:rsidRPr="00466303" w:rsidRDefault="00466303" w:rsidP="00466303">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23BD3" w14:paraId="39721D22" w14:textId="77777777" w:rsidTr="006E2886">
      <w:trPr>
        <w:cantSplit/>
      </w:trPr>
      <w:tc>
        <w:tcPr>
          <w:tcW w:w="8080" w:type="dxa"/>
          <w:vAlign w:val="center"/>
        </w:tcPr>
        <w:p w14:paraId="6A70D6D7" w14:textId="77777777" w:rsidR="00823BD3" w:rsidRDefault="00CE5809" w:rsidP="00CE5809">
          <w:pPr>
            <w:pStyle w:val="RectoFooter"/>
          </w:pPr>
          <w:r>
            <w:t xml:space="preserve">addendum to the </w:t>
          </w:r>
          <w:r w:rsidRPr="00CE5809">
            <w:rPr>
              <w:i/>
            </w:rPr>
            <w:t>new zealand practice guidelines for opioid substitution treatment 2014</w:t>
          </w:r>
        </w:p>
      </w:tc>
      <w:tc>
        <w:tcPr>
          <w:tcW w:w="709" w:type="dxa"/>
          <w:vAlign w:val="center"/>
        </w:tcPr>
        <w:p w14:paraId="05EEE920" w14:textId="77777777" w:rsidR="00823BD3" w:rsidRPr="00931466" w:rsidRDefault="00823BD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1374C">
            <w:rPr>
              <w:rStyle w:val="PageNumber"/>
              <w:noProof/>
            </w:rPr>
            <w:t>3</w:t>
          </w:r>
          <w:r w:rsidRPr="00931466">
            <w:rPr>
              <w:rStyle w:val="PageNumber"/>
            </w:rPr>
            <w:fldChar w:fldCharType="end"/>
          </w:r>
        </w:p>
      </w:tc>
    </w:tr>
  </w:tbl>
  <w:p w14:paraId="69D47724" w14:textId="77777777" w:rsidR="00823BD3" w:rsidRPr="00581EB8" w:rsidRDefault="00823BD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F40EF" w14:textId="77777777" w:rsidR="00621A31" w:rsidRPr="00A26E6B" w:rsidRDefault="00621A31" w:rsidP="00A26E6B"/>
  </w:footnote>
  <w:footnote w:type="continuationSeparator" w:id="0">
    <w:p w14:paraId="3FD76211" w14:textId="77777777" w:rsidR="00621A31" w:rsidRDefault="00621A31">
      <w:r>
        <w:continuationSeparator/>
      </w:r>
    </w:p>
    <w:p w14:paraId="44D9F4DA" w14:textId="77777777" w:rsidR="00621A31" w:rsidRDefault="00621A31"/>
  </w:footnote>
  <w:footnote w:id="1">
    <w:p w14:paraId="3693ED94" w14:textId="77777777" w:rsidR="00CE5809" w:rsidRDefault="00CE5809" w:rsidP="00CE5809">
      <w:pPr>
        <w:pStyle w:val="FootnoteText"/>
      </w:pPr>
      <w:r w:rsidRPr="00042858">
        <w:rPr>
          <w:rStyle w:val="FootnoteReference"/>
        </w:rPr>
        <w:footnoteRef/>
      </w:r>
      <w:r>
        <w:tab/>
        <w:t>The requirement for self-isolation as instructed by a public health unit or health officials.</w:t>
      </w:r>
    </w:p>
  </w:footnote>
  <w:footnote w:id="2">
    <w:p w14:paraId="640E1D28" w14:textId="77777777" w:rsidR="00CE5809" w:rsidRDefault="00CE5809" w:rsidP="00CE5809">
      <w:pPr>
        <w:pStyle w:val="FootnoteText"/>
      </w:pPr>
      <w:r w:rsidRPr="00042858">
        <w:rPr>
          <w:rStyle w:val="FootnoteReference"/>
        </w:rPr>
        <w:footnoteRef/>
      </w:r>
      <w:r>
        <w:tab/>
        <w:t>Collection of doses via an agent requires written approval from a prescriber or specialist key worker. The agent is vetted by an alcohol and drug services provider and usually a family member of the client. The agent is educated by the service provider about the medication, risk of overdose of the opiate naïve, diversion risk and safe storage. The dispensing pharmacy is notified with the agent’s details and identification.</w:t>
      </w:r>
    </w:p>
  </w:footnote>
  <w:footnote w:id="3">
    <w:p w14:paraId="0C8171EF" w14:textId="77777777" w:rsidR="00CE5809" w:rsidRDefault="00CE5809" w:rsidP="00CE5809">
      <w:pPr>
        <w:pStyle w:val="FootnoteText"/>
      </w:pPr>
      <w:r w:rsidRPr="00042858">
        <w:rPr>
          <w:rStyle w:val="FootnoteReference"/>
        </w:rPr>
        <w:footnoteRef/>
      </w:r>
      <w:r>
        <w:tab/>
        <w:t>District health boards may choose to fund naloxone nasal sprays as they are currently not funded by Pharmac (</w:t>
      </w:r>
      <w:hyperlink r:id="rId1" w:history="1">
        <w:r w:rsidRPr="00032113">
          <w:rPr>
            <w:rStyle w:val="Hyperlink"/>
          </w:rPr>
          <w:t>https://nzf.org.nz/nzf_7017</w:t>
        </w:r>
      </w:hyperlink>
      <w:r>
        <w:t>).</w:t>
      </w:r>
    </w:p>
  </w:footnote>
  <w:footnote w:id="4">
    <w:p w14:paraId="5CFC8E9A" w14:textId="77777777" w:rsidR="00CE5809" w:rsidRPr="00F43F26" w:rsidRDefault="00CE5809" w:rsidP="00CE5809">
      <w:pPr>
        <w:pStyle w:val="FootnoteText"/>
      </w:pPr>
      <w:r w:rsidRPr="00042858">
        <w:rPr>
          <w:rStyle w:val="FootnoteReference"/>
        </w:rPr>
        <w:footnoteRef/>
      </w:r>
      <w:r>
        <w:tab/>
      </w:r>
      <w:r w:rsidRPr="00F43F26">
        <w:t>Refer to Table 5: Symptoms of intoxication with commonly used substances</w:t>
      </w:r>
      <w:r>
        <w:t xml:space="preserve"> in:</w:t>
      </w:r>
      <w:r w:rsidRPr="00F43F26">
        <w:t xml:space="preserve"> </w:t>
      </w:r>
      <w:r>
        <w:t xml:space="preserve">Ministry of Health. 2014. </w:t>
      </w:r>
      <w:r w:rsidRPr="000E421B">
        <w:rPr>
          <w:i/>
        </w:rPr>
        <w:t>New Zealand Practice Guidelines for Opioid Substitution Treatment</w:t>
      </w:r>
      <w:r>
        <w:t>. Wellington: Ministry of Health</w:t>
      </w:r>
      <w:r w:rsidRPr="00F43F26">
        <w:t>, page</w:t>
      </w:r>
      <w:r>
        <w:t> </w:t>
      </w:r>
      <w:r w:rsidRPr="00F43F26">
        <w:t>67</w:t>
      </w:r>
      <w:r>
        <w:t>.</w:t>
      </w:r>
    </w:p>
  </w:footnote>
  <w:footnote w:id="5">
    <w:p w14:paraId="5FF78D4C" w14:textId="77777777" w:rsidR="00CE5809" w:rsidRPr="00BA54E4" w:rsidRDefault="00CE5809" w:rsidP="00CE5809">
      <w:pPr>
        <w:pStyle w:val="FootnoteText"/>
      </w:pPr>
      <w:r w:rsidRPr="00042858">
        <w:rPr>
          <w:rStyle w:val="FootnoteReference"/>
        </w:rPr>
        <w:footnoteRef/>
      </w:r>
      <w:r>
        <w:tab/>
        <w:t>The New Zealand Needle Exchange Programme</w:t>
      </w:r>
      <w:r w:rsidRPr="00F43F26">
        <w:t xml:space="preserve"> has an online store where people can purchase injection and harm reduction equipment whilst self-isolating with contactless courier delivery with discreet packaging. (</w:t>
      </w:r>
      <w:hyperlink r:id="rId2" w:history="1">
        <w:r w:rsidRPr="00F43F26">
          <w:rPr>
            <w:rStyle w:val="Hyperlink"/>
            <w:rFonts w:eastAsiaTheme="majorEastAsia" w:cs="Arial"/>
          </w:rPr>
          <w:t>https://shop.nznep.org.nz</w:t>
        </w:r>
      </w:hyperlink>
      <w:r w:rsidRPr="00F43F26">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7C098E" w14:paraId="11141C0A" w14:textId="77777777" w:rsidTr="005A79E5">
      <w:trPr>
        <w:cantSplit/>
      </w:trPr>
      <w:tc>
        <w:tcPr>
          <w:tcW w:w="5210" w:type="dxa"/>
        </w:tcPr>
        <w:p w14:paraId="6CA1AF6F" w14:textId="77777777" w:rsidR="007C098E" w:rsidRDefault="007C098E" w:rsidP="008814E8">
          <w:pPr>
            <w:pStyle w:val="Header"/>
          </w:pPr>
          <w:r>
            <w:rPr>
              <w:noProof/>
              <w:lang w:eastAsia="en-NZ"/>
            </w:rPr>
            <w:drawing>
              <wp:inline distT="0" distB="0" distL="0" distR="0" wp14:anchorId="0ADC009D" wp14:editId="55B7DD26">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1D41AC8" w14:textId="77777777" w:rsidR="007C098E" w:rsidRDefault="007C098E" w:rsidP="008814E8">
          <w:pPr>
            <w:pStyle w:val="Header"/>
            <w:jc w:val="right"/>
          </w:pPr>
          <w:r>
            <w:rPr>
              <w:noProof/>
              <w:lang w:eastAsia="en-NZ"/>
            </w:rPr>
            <w:drawing>
              <wp:inline distT="0" distB="0" distL="0" distR="0" wp14:anchorId="4845E06C" wp14:editId="307A7630">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B8453A5" w14:textId="77777777" w:rsidR="007C098E" w:rsidRDefault="007C0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1EAC" w14:textId="77777777" w:rsidR="007C098E" w:rsidRDefault="007C098E"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28AD" w14:textId="77777777" w:rsidR="007C098E" w:rsidRDefault="007C098E"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61140CD"/>
    <w:multiLevelType w:val="hybridMultilevel"/>
    <w:tmpl w:val="2D2EB878"/>
    <w:lvl w:ilvl="0" w:tplc="14090001">
      <w:start w:val="1"/>
      <w:numFmt w:val="bullet"/>
      <w:lvlText w:val=""/>
      <w:lvlJc w:val="left"/>
      <w:pPr>
        <w:ind w:left="420" w:hanging="360"/>
      </w:pPr>
      <w:rPr>
        <w:rFonts w:ascii="Symbol" w:hAnsi="Symbol" w:hint="default"/>
      </w:rPr>
    </w:lvl>
    <w:lvl w:ilvl="1" w:tplc="14090003">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3" w15:restartNumberingAfterBreak="0">
    <w:nsid w:val="16CF383D"/>
    <w:multiLevelType w:val="hybridMultilevel"/>
    <w:tmpl w:val="261A27EE"/>
    <w:lvl w:ilvl="0" w:tplc="50E035EA">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CA4CC8C">
      <w:start w:val="1"/>
      <w:numFmt w:val="decimal"/>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5" w15:restartNumberingAfterBreak="0">
    <w:nsid w:val="1B827C09"/>
    <w:multiLevelType w:val="hybridMultilevel"/>
    <w:tmpl w:val="78A4C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C196BF2"/>
    <w:multiLevelType w:val="hybridMultilevel"/>
    <w:tmpl w:val="959E5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2FF0493E"/>
    <w:multiLevelType w:val="hybridMultilevel"/>
    <w:tmpl w:val="3AF2CB3A"/>
    <w:lvl w:ilvl="0" w:tplc="9D1494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3"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9"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0"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55624845"/>
    <w:multiLevelType w:val="hybridMultilevel"/>
    <w:tmpl w:val="88C44F5A"/>
    <w:lvl w:ilvl="0" w:tplc="CF00D7C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9"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0"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AB5999"/>
    <w:multiLevelType w:val="hybridMultilevel"/>
    <w:tmpl w:val="87F0A9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4F519B"/>
    <w:multiLevelType w:val="hybridMultilevel"/>
    <w:tmpl w:val="AC2A734A"/>
    <w:lvl w:ilvl="0" w:tplc="9B1621BC">
      <w:start w:val="2"/>
      <w:numFmt w:val="bullet"/>
      <w:lvlText w:val="-"/>
      <w:lvlJc w:val="left"/>
      <w:pPr>
        <w:ind w:left="405" w:hanging="360"/>
      </w:pPr>
      <w:rPr>
        <w:rFonts w:ascii="Calibri Light" w:eastAsiaTheme="minorEastAsia" w:hAnsi="Calibri Light" w:cs="Calibri Light"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44"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8"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9"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8"/>
  </w:num>
  <w:num w:numId="2">
    <w:abstractNumId w:val="26"/>
  </w:num>
  <w:num w:numId="3">
    <w:abstractNumId w:val="27"/>
  </w:num>
  <w:num w:numId="4">
    <w:abstractNumId w:val="4"/>
  </w:num>
  <w:num w:numId="5">
    <w:abstractNumId w:val="1"/>
  </w:num>
  <w:num w:numId="6">
    <w:abstractNumId w:val="31"/>
  </w:num>
  <w:num w:numId="7">
    <w:abstractNumId w:val="40"/>
  </w:num>
  <w:num w:numId="8">
    <w:abstractNumId w:val="3"/>
  </w:num>
  <w:num w:numId="9">
    <w:abstractNumId w:val="42"/>
  </w:num>
  <w:num w:numId="10">
    <w:abstractNumId w:val="33"/>
  </w:num>
  <w:num w:numId="11">
    <w:abstractNumId w:val="19"/>
  </w:num>
  <w:num w:numId="12">
    <w:abstractNumId w:val="25"/>
  </w:num>
  <w:num w:numId="13">
    <w:abstractNumId w:val="0"/>
  </w:num>
  <w:num w:numId="14">
    <w:abstractNumId w:val="14"/>
  </w:num>
  <w:num w:numId="15">
    <w:abstractNumId w:val="23"/>
  </w:num>
  <w:num w:numId="16">
    <w:abstractNumId w:val="34"/>
  </w:num>
  <w:num w:numId="17">
    <w:abstractNumId w:val="8"/>
  </w:num>
  <w:num w:numId="18">
    <w:abstractNumId w:val="17"/>
  </w:num>
  <w:num w:numId="19">
    <w:abstractNumId w:val="9"/>
  </w:num>
  <w:num w:numId="20">
    <w:abstractNumId w:val="6"/>
  </w:num>
  <w:num w:numId="21">
    <w:abstractNumId w:val="46"/>
  </w:num>
  <w:num w:numId="22">
    <w:abstractNumId w:val="16"/>
  </w:num>
  <w:num w:numId="23">
    <w:abstractNumId w:val="44"/>
  </w:num>
  <w:num w:numId="24">
    <w:abstractNumId w:val="2"/>
  </w:num>
  <w:num w:numId="25">
    <w:abstractNumId w:val="7"/>
  </w:num>
  <w:num w:numId="26">
    <w:abstractNumId w:val="5"/>
  </w:num>
  <w:num w:numId="27">
    <w:abstractNumId w:val="37"/>
  </w:num>
  <w:num w:numId="28">
    <w:abstractNumId w:val="45"/>
  </w:num>
  <w:num w:numId="29">
    <w:abstractNumId w:val="22"/>
  </w:num>
  <w:num w:numId="30">
    <w:abstractNumId w:val="11"/>
  </w:num>
  <w:num w:numId="31">
    <w:abstractNumId w:val="32"/>
  </w:num>
  <w:num w:numId="32">
    <w:abstractNumId w:val="24"/>
  </w:num>
  <w:num w:numId="33">
    <w:abstractNumId w:val="49"/>
  </w:num>
  <w:num w:numId="34">
    <w:abstractNumId w:val="20"/>
  </w:num>
  <w:num w:numId="35">
    <w:abstractNumId w:val="39"/>
  </w:num>
  <w:num w:numId="36">
    <w:abstractNumId w:val="36"/>
  </w:num>
  <w:num w:numId="37">
    <w:abstractNumId w:val="47"/>
  </w:num>
  <w:num w:numId="38">
    <w:abstractNumId w:val="38"/>
  </w:num>
  <w:num w:numId="39">
    <w:abstractNumId w:val="28"/>
  </w:num>
  <w:num w:numId="40">
    <w:abstractNumId w:val="29"/>
  </w:num>
  <w:num w:numId="41">
    <w:abstractNumId w:val="10"/>
  </w:num>
  <w:num w:numId="42">
    <w:abstractNumId w:val="30"/>
  </w:num>
  <w:num w:numId="43">
    <w:abstractNumId w:val="13"/>
  </w:num>
  <w:num w:numId="44">
    <w:abstractNumId w:val="12"/>
  </w:num>
  <w:num w:numId="45">
    <w:abstractNumId w:val="18"/>
  </w:num>
  <w:num w:numId="46">
    <w:abstractNumId w:val="43"/>
  </w:num>
  <w:num w:numId="47">
    <w:abstractNumId w:val="15"/>
  </w:num>
  <w:num w:numId="48">
    <w:abstractNumId w:val="41"/>
  </w:num>
  <w:num w:numId="49">
    <w:abstractNumId w:val="21"/>
  </w:num>
  <w:num w:numId="50">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313B"/>
    <w:rsid w:val="00143836"/>
    <w:rsid w:val="001460E0"/>
    <w:rsid w:val="001472F0"/>
    <w:rsid w:val="00147F71"/>
    <w:rsid w:val="00150A6E"/>
    <w:rsid w:val="001528DC"/>
    <w:rsid w:val="0016304B"/>
    <w:rsid w:val="0016318F"/>
    <w:rsid w:val="0016468A"/>
    <w:rsid w:val="001646F9"/>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74C"/>
    <w:rsid w:val="00213A33"/>
    <w:rsid w:val="0021763B"/>
    <w:rsid w:val="00232E9F"/>
    <w:rsid w:val="00245748"/>
    <w:rsid w:val="00246DB1"/>
    <w:rsid w:val="002476B5"/>
    <w:rsid w:val="002520CC"/>
    <w:rsid w:val="00252AF4"/>
    <w:rsid w:val="00253ECF"/>
    <w:rsid w:val="00254044"/>
    <w:rsid w:val="002546A1"/>
    <w:rsid w:val="002575E8"/>
    <w:rsid w:val="00257EF1"/>
    <w:rsid w:val="002628F4"/>
    <w:rsid w:val="00275D08"/>
    <w:rsid w:val="002839AF"/>
    <w:rsid w:val="00284B3D"/>
    <w:rsid w:val="002858E3"/>
    <w:rsid w:val="0029190A"/>
    <w:rsid w:val="00292C5A"/>
    <w:rsid w:val="00295241"/>
    <w:rsid w:val="002978BC"/>
    <w:rsid w:val="002A4DFC"/>
    <w:rsid w:val="002B047D"/>
    <w:rsid w:val="002B732B"/>
    <w:rsid w:val="002B76A7"/>
    <w:rsid w:val="002B7BEC"/>
    <w:rsid w:val="002C2219"/>
    <w:rsid w:val="002C2552"/>
    <w:rsid w:val="002C380A"/>
    <w:rsid w:val="002C781D"/>
    <w:rsid w:val="002D0DF2"/>
    <w:rsid w:val="002D23BD"/>
    <w:rsid w:val="002E0B47"/>
    <w:rsid w:val="002F3A0D"/>
    <w:rsid w:val="002F4685"/>
    <w:rsid w:val="002F4A4A"/>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025AC"/>
    <w:rsid w:val="00413021"/>
    <w:rsid w:val="00414C35"/>
    <w:rsid w:val="004171B7"/>
    <w:rsid w:val="004301C6"/>
    <w:rsid w:val="0043478F"/>
    <w:rsid w:val="0043602B"/>
    <w:rsid w:val="004367D2"/>
    <w:rsid w:val="00440BE0"/>
    <w:rsid w:val="00442A06"/>
    <w:rsid w:val="00442C1C"/>
    <w:rsid w:val="0044584B"/>
    <w:rsid w:val="00447CB7"/>
    <w:rsid w:val="00453AAD"/>
    <w:rsid w:val="00455CC9"/>
    <w:rsid w:val="00460826"/>
    <w:rsid w:val="00460B1E"/>
    <w:rsid w:val="00460EA7"/>
    <w:rsid w:val="0046195B"/>
    <w:rsid w:val="0046362D"/>
    <w:rsid w:val="0046596D"/>
    <w:rsid w:val="00466303"/>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D712B"/>
    <w:rsid w:val="005E0AC4"/>
    <w:rsid w:val="005E226E"/>
    <w:rsid w:val="005E2636"/>
    <w:rsid w:val="006015D7"/>
    <w:rsid w:val="00601B21"/>
    <w:rsid w:val="006041F0"/>
    <w:rsid w:val="00605C6D"/>
    <w:rsid w:val="00611C1E"/>
    <w:rsid w:val="006120CA"/>
    <w:rsid w:val="0061443A"/>
    <w:rsid w:val="00621A31"/>
    <w:rsid w:val="00624174"/>
    <w:rsid w:val="00626CF8"/>
    <w:rsid w:val="006314AF"/>
    <w:rsid w:val="00634003"/>
    <w:rsid w:val="00634ED8"/>
    <w:rsid w:val="00636D7D"/>
    <w:rsid w:val="00637408"/>
    <w:rsid w:val="00642868"/>
    <w:rsid w:val="00644019"/>
    <w:rsid w:val="00647720"/>
    <w:rsid w:val="00647AFE"/>
    <w:rsid w:val="00650417"/>
    <w:rsid w:val="006512BC"/>
    <w:rsid w:val="00653A5A"/>
    <w:rsid w:val="006554AC"/>
    <w:rsid w:val="00656F28"/>
    <w:rsid w:val="006575F4"/>
    <w:rsid w:val="006579E6"/>
    <w:rsid w:val="00660682"/>
    <w:rsid w:val="00660F74"/>
    <w:rsid w:val="00663EDC"/>
    <w:rsid w:val="006673A7"/>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4D43"/>
    <w:rsid w:val="006E69F4"/>
    <w:rsid w:val="006F1555"/>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098E"/>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BD3"/>
    <w:rsid w:val="00823DEE"/>
    <w:rsid w:val="008305E8"/>
    <w:rsid w:val="00836165"/>
    <w:rsid w:val="008365B2"/>
    <w:rsid w:val="0084640C"/>
    <w:rsid w:val="00856088"/>
    <w:rsid w:val="00860826"/>
    <w:rsid w:val="00860E21"/>
    <w:rsid w:val="00861B34"/>
    <w:rsid w:val="00863117"/>
    <w:rsid w:val="0086388B"/>
    <w:rsid w:val="008642E5"/>
    <w:rsid w:val="00864488"/>
    <w:rsid w:val="00870A36"/>
    <w:rsid w:val="00872D93"/>
    <w:rsid w:val="008764AA"/>
    <w:rsid w:val="00880470"/>
    <w:rsid w:val="00880D94"/>
    <w:rsid w:val="008814E8"/>
    <w:rsid w:val="00886F64"/>
    <w:rsid w:val="008924C7"/>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4984"/>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50A0"/>
    <w:rsid w:val="00966F9A"/>
    <w:rsid w:val="00977B8A"/>
    <w:rsid w:val="0098135D"/>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111"/>
    <w:rsid w:val="009F4372"/>
    <w:rsid w:val="009F460A"/>
    <w:rsid w:val="00A043FB"/>
    <w:rsid w:val="00A05307"/>
    <w:rsid w:val="00A05704"/>
    <w:rsid w:val="00A06BE4"/>
    <w:rsid w:val="00A0729C"/>
    <w:rsid w:val="00A073CF"/>
    <w:rsid w:val="00A07779"/>
    <w:rsid w:val="00A1166A"/>
    <w:rsid w:val="00A20B2E"/>
    <w:rsid w:val="00A23285"/>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5A38"/>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2503"/>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308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E5809"/>
    <w:rsid w:val="00CF1747"/>
    <w:rsid w:val="00CF60ED"/>
    <w:rsid w:val="00D05D74"/>
    <w:rsid w:val="00D114D8"/>
    <w:rsid w:val="00D20C59"/>
    <w:rsid w:val="00D23323"/>
    <w:rsid w:val="00D2392A"/>
    <w:rsid w:val="00D25FFE"/>
    <w:rsid w:val="00D27922"/>
    <w:rsid w:val="00D27A64"/>
    <w:rsid w:val="00D37D80"/>
    <w:rsid w:val="00D442F3"/>
    <w:rsid w:val="00D44483"/>
    <w:rsid w:val="00D4476F"/>
    <w:rsid w:val="00D4629A"/>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3EB4"/>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C50CE"/>
    <w:rsid w:val="00EC5B34"/>
    <w:rsid w:val="00ED021E"/>
    <w:rsid w:val="00ED323C"/>
    <w:rsid w:val="00EE0176"/>
    <w:rsid w:val="00EE2D5C"/>
    <w:rsid w:val="00EE4ADE"/>
    <w:rsid w:val="00EE4DE8"/>
    <w:rsid w:val="00EE5CB7"/>
    <w:rsid w:val="00F000BF"/>
    <w:rsid w:val="00F024FE"/>
    <w:rsid w:val="00F05AD4"/>
    <w:rsid w:val="00F0746B"/>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969BD"/>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EA047"/>
  <w15:docId w15:val="{E79BFC5F-3D64-4149-8CC2-4BE6509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CE5809"/>
    <w:pPr>
      <w:pageBreakBefore/>
      <w:spacing w:after="360"/>
      <w:outlineLvl w:val="0"/>
    </w:pPr>
    <w:rPr>
      <w:b/>
      <w:color w:val="23305D"/>
      <w:spacing w:val="-10"/>
      <w:sz w:val="64"/>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5809"/>
    <w:rPr>
      <w:rFonts w:ascii="Segoe UI" w:hAnsi="Segoe UI"/>
      <w:b/>
      <w:color w:val="23305D"/>
      <w:spacing w:val="-10"/>
      <w:sz w:val="64"/>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CE5809"/>
    <w:pPr>
      <w:numPr>
        <w:numId w:val="1"/>
      </w:numPr>
      <w:tabs>
        <w:tab w:val="clear" w:pos="284"/>
      </w:tabs>
      <w:spacing w:before="90"/>
      <w:ind w:left="425" w:hanging="425"/>
    </w:pPr>
  </w:style>
  <w:style w:type="character" w:customStyle="1" w:styleId="BulletChar">
    <w:name w:val="Bullet Char"/>
    <w:link w:val="Bullet"/>
    <w:locked/>
    <w:rsid w:val="00CE5809"/>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CE5809"/>
    <w:pPr>
      <w:spacing w:line="216" w:lineRule="auto"/>
      <w:ind w:right="2268"/>
    </w:pPr>
    <w:rPr>
      <w:rFonts w:ascii="Segoe UI Black" w:hAnsi="Segoe UI Black" w:cs="Lucida Sans Unicode"/>
      <w:b/>
      <w:sz w:val="64"/>
      <w:szCs w:val="72"/>
    </w:rPr>
  </w:style>
  <w:style w:type="character" w:customStyle="1" w:styleId="TitleChar">
    <w:name w:val="Title Char"/>
    <w:link w:val="Title"/>
    <w:rsid w:val="00CE5809"/>
    <w:rPr>
      <w:rFonts w:ascii="Segoe UI Black" w:hAnsi="Segoe UI Black" w:cs="Lucida Sans Unicode"/>
      <w:b/>
      <w:sz w:val="64"/>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2C781D"/>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CE5809"/>
    <w:pPr>
      <w:numPr>
        <w:ilvl w:val="3"/>
        <w:numId w:val="5"/>
      </w:numPr>
      <w:spacing w:before="90"/>
      <w:ind w:left="425" w:hanging="425"/>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1528DC"/>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Segoe UI" w:hAnsi="Segoe UI"/>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health.govt.nz/system/files/documents/pages/ministry-health-position-statement-management-unvaccinated-individuals-healthcare-settings-25nov21.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health.govt.nz/our-work/diseases-and-conditions/covid-19-novel-coronavirus/covid-19-information-specific-audiences/covid-19-personal-protective-equipment-central-supply/covid-19-infection-prevention-and-control-recommendations-health-and-disability-care-work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s://www.nznep.org.nz/outlet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health.govt.nz/publication/new-zealand-practice-guidelines-opioid-substitution-treatment-2014"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health.govt.nz/our-work/diseases-and-conditions/covid-19-novel-coronavirus/covid-19-information-health-professionals/caring-people-covid-19-commun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health.govt.nz/our-work/diseases-and-conditions/covid-19-novel-coronavirus/covid-19-information-health-professionals/caring-people-covid-19-community"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hop.nznep.org.nz" TargetMode="External"/><Relationship Id="rId1" Type="http://schemas.openxmlformats.org/officeDocument/2006/relationships/hyperlink" Target="https://nzf.org.nz/nzf_70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1ABF-341D-4167-85EC-1E720618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27</TotalTime>
  <Pages>8</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New Zealand Practice Guidelines for Opioid Substitution Treatment 2014</dc:title>
  <dc:creator>Ministry of Health</dc:creator>
  <cp:lastModifiedBy>Ministry of Health</cp:lastModifiedBy>
  <cp:revision>8</cp:revision>
  <cp:lastPrinted>2022-01-27T02:12:00Z</cp:lastPrinted>
  <dcterms:created xsi:type="dcterms:W3CDTF">2022-01-26T21:34:00Z</dcterms:created>
  <dcterms:modified xsi:type="dcterms:W3CDTF">2022-01-27T02:12:00Z</dcterms:modified>
</cp:coreProperties>
</file>