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9E4F" w14:textId="32E5B09C" w:rsidR="00AD7DA8" w:rsidRDefault="00AD7DA8" w:rsidP="00B136B4">
      <w:pPr>
        <w:pStyle w:val="Heading1"/>
      </w:pPr>
      <w:r>
        <w:t xml:space="preserve">Summary of </w:t>
      </w:r>
      <w:r w:rsidR="004B5171">
        <w:t>10</w:t>
      </w:r>
      <w:r w:rsidR="00B669AF">
        <w:t xml:space="preserve"> March 2022 changes to the COVID-19 Outbreak Response Toolkit for Aged Residential Care </w:t>
      </w:r>
    </w:p>
    <w:p w14:paraId="1EBD3B16" w14:textId="65FD37DE" w:rsidR="00FE5A90" w:rsidRDefault="00FE5A90" w:rsidP="00B136B4">
      <w:pPr>
        <w:spacing w:before="240"/>
      </w:pPr>
      <w:r>
        <w:t xml:space="preserve">The COVID-19 </w:t>
      </w:r>
      <w:r w:rsidR="00B669AF">
        <w:t xml:space="preserve">Outbreak Response </w:t>
      </w:r>
      <w:r>
        <w:t>Toolkit</w:t>
      </w:r>
      <w:r w:rsidR="00B669AF">
        <w:t xml:space="preserve"> </w:t>
      </w:r>
      <w:r w:rsidR="00836306">
        <w:t>for Aged Residential Care</w:t>
      </w:r>
      <w:r>
        <w:t xml:space="preserve"> has undergone minor and significant change throughout the </w:t>
      </w:r>
      <w:r w:rsidR="00836306">
        <w:t>Toolkit</w:t>
      </w:r>
      <w:r>
        <w:t xml:space="preserve">. Changes of note </w:t>
      </w:r>
      <w:r w:rsidR="00836306">
        <w:t>are</w:t>
      </w:r>
      <w:r>
        <w:t xml:space="preserve"> highlighted below. Minor changes to language in response to New Zealand Aotearoa’s current COVID-19 strategy </w:t>
      </w:r>
      <w:r w:rsidR="00836306">
        <w:t xml:space="preserve">are not </w:t>
      </w:r>
      <w:r>
        <w:t>highlighted</w:t>
      </w:r>
      <w:r w:rsidR="00B669AF">
        <w:t xml:space="preserve">. </w:t>
      </w:r>
    </w:p>
    <w:p w14:paraId="4381E2ED" w14:textId="77777777" w:rsidR="0032165D" w:rsidRDefault="0032165D" w:rsidP="0032165D">
      <w:pPr>
        <w:pStyle w:val="ListParagraph"/>
        <w:numPr>
          <w:ilvl w:val="0"/>
          <w:numId w:val="1"/>
        </w:numPr>
      </w:pPr>
      <w:r>
        <w:t xml:space="preserve">Throughout: </w:t>
      </w:r>
    </w:p>
    <w:p w14:paraId="124640EB" w14:textId="1C248C94" w:rsidR="0032165D" w:rsidRDefault="0032165D" w:rsidP="0075540F">
      <w:pPr>
        <w:pStyle w:val="ListParagraph"/>
        <w:numPr>
          <w:ilvl w:val="1"/>
          <w:numId w:val="1"/>
        </w:numPr>
      </w:pPr>
      <w:r>
        <w:t xml:space="preserve">Changed language to reflect switch to </w:t>
      </w:r>
      <w:r w:rsidR="00B136B4">
        <w:t xml:space="preserve">Community Protection Framework (CPF) </w:t>
      </w:r>
      <w:r w:rsidR="00521A8D">
        <w:t>(</w:t>
      </w:r>
      <w:r>
        <w:t>traffic light</w:t>
      </w:r>
      <w:r w:rsidR="00521A8D">
        <w:t>s)</w:t>
      </w:r>
      <w:r>
        <w:t>, vaccination</w:t>
      </w:r>
      <w:r w:rsidR="00521A8D">
        <w:t>,</w:t>
      </w:r>
      <w:r>
        <w:t xml:space="preserve"> and testing strategy throughout</w:t>
      </w:r>
      <w:r w:rsidR="00521A8D">
        <w:t xml:space="preserve">. </w:t>
      </w:r>
    </w:p>
    <w:p w14:paraId="1B6D2137" w14:textId="642862EF" w:rsidR="00F13811" w:rsidRDefault="00AD7DA8" w:rsidP="00AD7DA8">
      <w:pPr>
        <w:pStyle w:val="ListParagraph"/>
        <w:numPr>
          <w:ilvl w:val="0"/>
          <w:numId w:val="1"/>
        </w:numPr>
      </w:pPr>
      <w:r>
        <w:t>Review</w:t>
      </w:r>
      <w:r w:rsidR="00DB4D5B">
        <w:t>ed</w:t>
      </w:r>
      <w:r>
        <w:t xml:space="preserve"> and update</w:t>
      </w:r>
      <w:r w:rsidR="00DB4D5B">
        <w:t>d</w:t>
      </w:r>
      <w:r>
        <w:t xml:space="preserve"> of definitions </w:t>
      </w:r>
      <w:r w:rsidR="0075540F">
        <w:t>to include acronyms</w:t>
      </w:r>
      <w:r w:rsidR="00DE797B">
        <w:t>, and:</w:t>
      </w:r>
    </w:p>
    <w:p w14:paraId="6556CC8C" w14:textId="530D30E5" w:rsidR="00AD7DA8" w:rsidRDefault="00F13811" w:rsidP="00F13811">
      <w:pPr>
        <w:pStyle w:val="ListParagraph"/>
        <w:numPr>
          <w:ilvl w:val="1"/>
          <w:numId w:val="1"/>
        </w:numPr>
      </w:pPr>
      <w:r>
        <w:t>Added</w:t>
      </w:r>
      <w:r w:rsidR="00FB3E49">
        <w:t xml:space="preserve"> new definitions</w:t>
      </w:r>
      <w:r>
        <w:t xml:space="preserve">: </w:t>
      </w:r>
      <w:r w:rsidR="00FB3E49">
        <w:t>COVID-19 Protection Framework (with traffic lights), COVID-19 Community Response Framework, Historical Case,</w:t>
      </w:r>
      <w:r w:rsidR="00FE5A90">
        <w:t xml:space="preserve"> and</w:t>
      </w:r>
      <w:r w:rsidR="00FB3E49">
        <w:t xml:space="preserve"> Household Contact</w:t>
      </w:r>
      <w:r w:rsidR="00FE5A90">
        <w:t>.</w:t>
      </w:r>
      <w:r w:rsidR="00FB3E49">
        <w:t xml:space="preserve"> </w:t>
      </w:r>
    </w:p>
    <w:p w14:paraId="791B438E" w14:textId="2982DB09" w:rsidR="00AD7DA8" w:rsidRDefault="00AD7DA8" w:rsidP="00F13811">
      <w:pPr>
        <w:pStyle w:val="ListParagraph"/>
        <w:numPr>
          <w:ilvl w:val="1"/>
          <w:numId w:val="1"/>
        </w:numPr>
      </w:pPr>
      <w:r>
        <w:t>Rem</w:t>
      </w:r>
      <w:r w:rsidR="00F13811">
        <w:t xml:space="preserve">oved: </w:t>
      </w:r>
      <w:r w:rsidR="0075540F">
        <w:t xml:space="preserve">Alert Levels, </w:t>
      </w:r>
      <w:r w:rsidR="00F13811">
        <w:t>Casual Plus contact</w:t>
      </w:r>
      <w:r w:rsidR="00FB3E49">
        <w:t>, Coryza,</w:t>
      </w:r>
      <w:r w:rsidR="00FE5A90">
        <w:t xml:space="preserve"> and</w:t>
      </w:r>
      <w:r w:rsidR="00FB3E49">
        <w:t xml:space="preserve"> Myalgia</w:t>
      </w:r>
      <w:r w:rsidR="00FE5A90">
        <w:t xml:space="preserve">. </w:t>
      </w:r>
    </w:p>
    <w:p w14:paraId="297F4745" w14:textId="5FE5B71F" w:rsidR="00FB3E49" w:rsidRDefault="00FB3E49" w:rsidP="00F13811">
      <w:pPr>
        <w:pStyle w:val="ListParagraph"/>
        <w:numPr>
          <w:ilvl w:val="1"/>
          <w:numId w:val="1"/>
        </w:numPr>
      </w:pPr>
      <w:r>
        <w:t xml:space="preserve">Updated: Close Contact, Confirmed Case, </w:t>
      </w:r>
      <w:r w:rsidR="00FE5A90">
        <w:t xml:space="preserve">and </w:t>
      </w:r>
      <w:r>
        <w:t>Not a Case</w:t>
      </w:r>
      <w:r w:rsidR="00FE5A90">
        <w:t>.</w:t>
      </w:r>
    </w:p>
    <w:p w14:paraId="4839FE1F" w14:textId="0808ACE1" w:rsidR="00FB3E49" w:rsidRDefault="00FB3E49" w:rsidP="00F13811">
      <w:pPr>
        <w:pStyle w:val="ListParagraph"/>
        <w:numPr>
          <w:ilvl w:val="0"/>
          <w:numId w:val="1"/>
        </w:numPr>
      </w:pPr>
      <w:r>
        <w:t xml:space="preserve">Section </w:t>
      </w:r>
      <w:r w:rsidR="00DD1C50">
        <w:t>“</w:t>
      </w:r>
      <w:r w:rsidR="00DD1C50" w:rsidRPr="00DD1C50">
        <w:t xml:space="preserve"> COVID-19 in aged residential care in Aotearoa New Zealand Aotearoa</w:t>
      </w:r>
      <w:r w:rsidR="00DD1C50">
        <w:t>”</w:t>
      </w:r>
    </w:p>
    <w:p w14:paraId="3B7F50A6" w14:textId="1722B066" w:rsidR="00C63DB1" w:rsidRPr="00935818" w:rsidRDefault="00C63DB1" w:rsidP="00C63DB1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002639"/>
          <w:sz w:val="20"/>
          <w:szCs w:val="20"/>
          <w:lang w:eastAsia="en-NZ"/>
        </w:rPr>
        <w:t>Added links to all docu</w:t>
      </w:r>
      <w:r w:rsidR="00935818">
        <w:rPr>
          <w:rFonts w:ascii="Arial" w:eastAsia="Times New Roman" w:hAnsi="Arial" w:cs="Arial"/>
          <w:color w:val="002639"/>
          <w:sz w:val="20"/>
          <w:szCs w:val="20"/>
          <w:lang w:eastAsia="en-NZ"/>
        </w:rPr>
        <w:t>ments the Toolkit is to be read in conjunction with</w:t>
      </w:r>
      <w:r w:rsidR="00B61046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. </w:t>
      </w:r>
    </w:p>
    <w:p w14:paraId="24635280" w14:textId="28D5F539" w:rsidR="00FE5A90" w:rsidRDefault="00935818" w:rsidP="00FE5A9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FE5A90">
        <w:rPr>
          <w:rFonts w:ascii="Arial" w:eastAsia="Times New Roman" w:hAnsi="Arial" w:cs="Arial"/>
          <w:color w:val="002639"/>
          <w:sz w:val="20"/>
          <w:szCs w:val="20"/>
          <w:lang w:eastAsia="en-NZ"/>
        </w:rPr>
        <w:t>Included</w:t>
      </w:r>
      <w:r w:rsidR="00415536" w:rsidRPr="00FE5A90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 link to: </w:t>
      </w:r>
      <w:r w:rsidR="00FE5A90" w:rsidRPr="00FE5A90">
        <w:rPr>
          <w:rFonts w:ascii="Arial" w:eastAsia="Times New Roman" w:hAnsi="Arial" w:cs="Arial"/>
          <w:color w:val="002639"/>
          <w:sz w:val="20"/>
          <w:szCs w:val="20"/>
          <w:lang w:eastAsia="en-NZ"/>
        </w:rPr>
        <w:t>Aged Residential Care guidance for operation under the COVID-19 Response Framework</w:t>
      </w:r>
    </w:p>
    <w:p w14:paraId="62290E72" w14:textId="17619DAC" w:rsidR="00B61046" w:rsidRPr="00B61046" w:rsidRDefault="00F13811" w:rsidP="00B6104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>
        <w:t>Updated the Standard to NZS 8134:2021 Ngā paerewa Health and disability services standard</w:t>
      </w:r>
    </w:p>
    <w:p w14:paraId="1C9963B6" w14:textId="6DF89A01" w:rsidR="00F13811" w:rsidRDefault="00B61046" w:rsidP="00F13811">
      <w:pPr>
        <w:pStyle w:val="ListParagraph"/>
        <w:numPr>
          <w:ilvl w:val="0"/>
          <w:numId w:val="1"/>
        </w:numPr>
      </w:pPr>
      <w:r>
        <w:t>Section “Recognising COVID-19”</w:t>
      </w:r>
      <w:r w:rsidR="00F13811">
        <w:t xml:space="preserve"> </w:t>
      </w:r>
    </w:p>
    <w:p w14:paraId="3D17D635" w14:textId="6CCB8FBA" w:rsidR="00FC4DE6" w:rsidRDefault="00F61BFF" w:rsidP="00FC4DE6">
      <w:pPr>
        <w:pStyle w:val="ListParagraph"/>
        <w:numPr>
          <w:ilvl w:val="1"/>
          <w:numId w:val="1"/>
        </w:numPr>
      </w:pPr>
      <w:r>
        <w:t>Updated “</w:t>
      </w:r>
      <w:r w:rsidR="00F13811">
        <w:t>Recognising COVID-19 Symptoms</w:t>
      </w:r>
      <w:r>
        <w:t>”</w:t>
      </w:r>
    </w:p>
    <w:p w14:paraId="4A6A76E9" w14:textId="23BD16B3" w:rsidR="00FC4DE6" w:rsidRDefault="00F61BFF" w:rsidP="00FC4DE6">
      <w:pPr>
        <w:pStyle w:val="ListParagraph"/>
        <w:numPr>
          <w:ilvl w:val="1"/>
          <w:numId w:val="1"/>
        </w:numPr>
      </w:pPr>
      <w:r>
        <w:t>Updated “</w:t>
      </w:r>
      <w:r w:rsidR="00FC4DE6">
        <w:t>Variants of SARS-COV-2</w:t>
      </w:r>
      <w:r>
        <w:t>”</w:t>
      </w:r>
    </w:p>
    <w:p w14:paraId="489558BF" w14:textId="57D65C19" w:rsidR="00F13811" w:rsidRDefault="00F61BFF" w:rsidP="00F13811">
      <w:pPr>
        <w:pStyle w:val="ListParagraph"/>
        <w:numPr>
          <w:ilvl w:val="1"/>
          <w:numId w:val="1"/>
        </w:numPr>
      </w:pPr>
      <w:r>
        <w:t>Updated “</w:t>
      </w:r>
      <w:r w:rsidR="00FC4DE6">
        <w:t xml:space="preserve">And </w:t>
      </w:r>
      <w:r w:rsidR="00F13811">
        <w:t>Routes of Transmission</w:t>
      </w:r>
      <w:r>
        <w:t>”</w:t>
      </w:r>
    </w:p>
    <w:p w14:paraId="3D28AF99" w14:textId="16B286F2" w:rsidR="00FC4DE6" w:rsidRDefault="00FC4DE6" w:rsidP="00FC4DE6">
      <w:pPr>
        <w:pStyle w:val="ListParagraph"/>
        <w:numPr>
          <w:ilvl w:val="0"/>
          <w:numId w:val="1"/>
        </w:numPr>
      </w:pPr>
      <w:r>
        <w:t>Section “Prevent &amp; Prepare</w:t>
      </w:r>
      <w:r w:rsidR="00016B12">
        <w:t xml:space="preserve"> Phase</w:t>
      </w:r>
      <w:r>
        <w:t xml:space="preserve">” </w:t>
      </w:r>
    </w:p>
    <w:p w14:paraId="4D28B1AF" w14:textId="127FA44E" w:rsidR="00F61BFF" w:rsidRDefault="00F61BFF" w:rsidP="00F61BFF">
      <w:pPr>
        <w:pStyle w:val="ListParagraph"/>
        <w:numPr>
          <w:ilvl w:val="1"/>
          <w:numId w:val="1"/>
        </w:numPr>
      </w:pPr>
      <w:r>
        <w:t>New section added: “Vaccines and health care and support workers”</w:t>
      </w:r>
    </w:p>
    <w:p w14:paraId="45CF0C31" w14:textId="13B3A54B" w:rsidR="00F61BFF" w:rsidRDefault="00F61BFF" w:rsidP="00F61BFF">
      <w:pPr>
        <w:pStyle w:val="ListParagraph"/>
        <w:numPr>
          <w:ilvl w:val="1"/>
          <w:numId w:val="1"/>
        </w:numPr>
      </w:pPr>
      <w:r>
        <w:t>New section added: “Vaccines and visitors”</w:t>
      </w:r>
    </w:p>
    <w:p w14:paraId="6DD8E11F" w14:textId="151E3DDA" w:rsidR="00F61BFF" w:rsidRDefault="00F61BFF" w:rsidP="00F61BFF">
      <w:pPr>
        <w:pStyle w:val="ListParagraph"/>
        <w:numPr>
          <w:ilvl w:val="1"/>
          <w:numId w:val="1"/>
        </w:numPr>
      </w:pPr>
      <w:r>
        <w:t>Updated</w:t>
      </w:r>
      <w:r w:rsidR="0029709E">
        <w:t>:</w:t>
      </w:r>
      <w:r>
        <w:t xml:space="preserve"> “Reduce the risk of visitors introducing and transmitting infection”</w:t>
      </w:r>
    </w:p>
    <w:p w14:paraId="5D353563" w14:textId="75E9FFEC" w:rsidR="0029709E" w:rsidRDefault="0029709E" w:rsidP="0029709E">
      <w:pPr>
        <w:pStyle w:val="ListParagraph"/>
        <w:numPr>
          <w:ilvl w:val="1"/>
          <w:numId w:val="1"/>
        </w:numPr>
      </w:pPr>
      <w:r>
        <w:t>Updated: “Reduce the risk of health care and support workers introducing and transmitting infection”</w:t>
      </w:r>
    </w:p>
    <w:p w14:paraId="56D52848" w14:textId="00F5D3CB" w:rsidR="0029709E" w:rsidRDefault="0057471A" w:rsidP="00F61BFF">
      <w:pPr>
        <w:pStyle w:val="ListParagraph"/>
        <w:numPr>
          <w:ilvl w:val="1"/>
          <w:numId w:val="1"/>
        </w:numPr>
      </w:pPr>
      <w:r>
        <w:t>Updated: “</w:t>
      </w:r>
      <w:r w:rsidR="000D1EFD" w:rsidRPr="000D1EFD">
        <w:t>Surveillance testing of ARC health care and support workers</w:t>
      </w:r>
      <w:r w:rsidR="000D1EFD">
        <w:t>”</w:t>
      </w:r>
    </w:p>
    <w:p w14:paraId="71CABC41" w14:textId="19AF0D53" w:rsidR="00092816" w:rsidRDefault="00092816" w:rsidP="00F61BFF">
      <w:pPr>
        <w:pStyle w:val="ListParagraph"/>
        <w:numPr>
          <w:ilvl w:val="1"/>
          <w:numId w:val="1"/>
        </w:numPr>
      </w:pPr>
      <w:r>
        <w:t>Updated: “Resident admission into ARC facilities”</w:t>
      </w:r>
    </w:p>
    <w:p w14:paraId="6B9EDF06" w14:textId="2AB4C0C0" w:rsidR="00092816" w:rsidRDefault="00092816" w:rsidP="00F61BFF">
      <w:pPr>
        <w:pStyle w:val="ListParagraph"/>
        <w:numPr>
          <w:ilvl w:val="1"/>
          <w:numId w:val="1"/>
        </w:numPr>
      </w:pPr>
      <w:r>
        <w:t>Updated: “Residents with dementia”</w:t>
      </w:r>
    </w:p>
    <w:p w14:paraId="735343DD" w14:textId="50A7CB2E" w:rsidR="00092816" w:rsidRDefault="00C30793" w:rsidP="00F61BFF">
      <w:pPr>
        <w:pStyle w:val="ListParagraph"/>
        <w:numPr>
          <w:ilvl w:val="1"/>
          <w:numId w:val="1"/>
        </w:numPr>
      </w:pPr>
      <w:r>
        <w:t>New resource added</w:t>
      </w:r>
      <w:r w:rsidR="008A6F65">
        <w:t xml:space="preserve"> in section</w:t>
      </w:r>
      <w:r>
        <w:t>: “</w:t>
      </w:r>
      <w:r w:rsidR="008A6F65">
        <w:t>Increased ARC IPC environmental cleaning”</w:t>
      </w:r>
    </w:p>
    <w:p w14:paraId="502A863E" w14:textId="059345A2" w:rsidR="008A6F65" w:rsidRDefault="005020CD" w:rsidP="005020CD">
      <w:pPr>
        <w:pStyle w:val="ListParagraph"/>
        <w:numPr>
          <w:ilvl w:val="1"/>
          <w:numId w:val="1"/>
        </w:numPr>
      </w:pPr>
      <w:r>
        <w:t>New section added: “The COVID-19 Hands up database”</w:t>
      </w:r>
    </w:p>
    <w:p w14:paraId="20A1D042" w14:textId="0C0DA805" w:rsidR="005020CD" w:rsidRDefault="005020CD" w:rsidP="005020CD">
      <w:pPr>
        <w:pStyle w:val="ListParagraph"/>
        <w:numPr>
          <w:ilvl w:val="1"/>
          <w:numId w:val="1"/>
        </w:numPr>
      </w:pPr>
      <w:r>
        <w:t>New section added: “Critical Work – the Close Contact Exemption Scheme” with subsections on “</w:t>
      </w:r>
      <w:r w:rsidR="008536DB" w:rsidRPr="008536DB">
        <w:t>Rapid Antigen Testing information under the Close Contact Exemption Scheme for Critical Health care workers</w:t>
      </w:r>
      <w:r w:rsidR="008536DB">
        <w:t>” and “</w:t>
      </w:r>
      <w:r w:rsidR="00CA726F" w:rsidRPr="00CA726F">
        <w:t>Risk Assessment and Health and Safety of others under the Close Contact Exemption Scheme</w:t>
      </w:r>
      <w:r w:rsidR="00CA726F">
        <w:t xml:space="preserve">” and supporting resources. </w:t>
      </w:r>
    </w:p>
    <w:p w14:paraId="07F95047" w14:textId="4F0901F5" w:rsidR="00FA29B2" w:rsidRDefault="00AF5555" w:rsidP="00A60E59">
      <w:pPr>
        <w:pStyle w:val="ListParagraph"/>
        <w:numPr>
          <w:ilvl w:val="1"/>
          <w:numId w:val="1"/>
        </w:numPr>
      </w:pPr>
      <w:r>
        <w:t xml:space="preserve">Updated </w:t>
      </w:r>
      <w:r w:rsidR="00966F51">
        <w:t>Section</w:t>
      </w:r>
      <w:r w:rsidR="00792308">
        <w:t xml:space="preserve"> “</w:t>
      </w:r>
      <w:r>
        <w:t>Resident care”</w:t>
      </w:r>
      <w:r w:rsidR="00966F51">
        <w:t xml:space="preserve"> and subsection “</w:t>
      </w:r>
      <w:r w:rsidR="009B3E38">
        <w:t>Plan resident placement”</w:t>
      </w:r>
    </w:p>
    <w:p w14:paraId="45F93C83" w14:textId="7FB35027" w:rsidR="005020CD" w:rsidRDefault="00016B12" w:rsidP="00016B12">
      <w:pPr>
        <w:pStyle w:val="ListParagraph"/>
        <w:numPr>
          <w:ilvl w:val="0"/>
          <w:numId w:val="1"/>
        </w:numPr>
      </w:pPr>
      <w:r>
        <w:t>Section “Outbreak Phase”</w:t>
      </w:r>
    </w:p>
    <w:p w14:paraId="1D16F449" w14:textId="28E8916B" w:rsidR="00016B12" w:rsidRDefault="00016B12" w:rsidP="00016B12">
      <w:pPr>
        <w:pStyle w:val="ListParagraph"/>
        <w:numPr>
          <w:ilvl w:val="1"/>
          <w:numId w:val="1"/>
        </w:numPr>
      </w:pPr>
      <w:r>
        <w:t xml:space="preserve">In roles and responsibilities table, removed the responsibility to notify HealthCERT of an outbreak and the ARC facilities requirement to have an outbreak log (noting to continue maintaining a </w:t>
      </w:r>
      <w:r w:rsidR="00307CBA">
        <w:t>Daily Situation report).</w:t>
      </w:r>
      <w:r w:rsidR="00A60E59">
        <w:t xml:space="preserve"> Updated PHU responsibility to “Support contact tracing appropriate to the CPF setting”</w:t>
      </w:r>
    </w:p>
    <w:p w14:paraId="0C103307" w14:textId="7F497802" w:rsidR="001A4B62" w:rsidRDefault="001A4B62" w:rsidP="00016B12">
      <w:pPr>
        <w:pStyle w:val="ListParagraph"/>
        <w:numPr>
          <w:ilvl w:val="1"/>
          <w:numId w:val="1"/>
        </w:numPr>
      </w:pPr>
      <w:r>
        <w:lastRenderedPageBreak/>
        <w:t>Updated: “COVID-19 Outbreak investigation”</w:t>
      </w:r>
    </w:p>
    <w:p w14:paraId="408DF33E" w14:textId="3F643A59" w:rsidR="001A4B62" w:rsidRDefault="001A4B62" w:rsidP="00016B12">
      <w:pPr>
        <w:pStyle w:val="ListParagraph"/>
        <w:numPr>
          <w:ilvl w:val="1"/>
          <w:numId w:val="1"/>
        </w:numPr>
      </w:pPr>
      <w:r>
        <w:t>Updated section: “</w:t>
      </w:r>
      <w:r w:rsidR="00BE541A" w:rsidRPr="00BE541A">
        <w:t>Infection prevention and control during a COVID-19 Outbreak</w:t>
      </w:r>
      <w:r w:rsidR="00BE541A">
        <w:t>”</w:t>
      </w:r>
      <w:r w:rsidR="00D83FB7">
        <w:t xml:space="preserve"> </w:t>
      </w:r>
    </w:p>
    <w:p w14:paraId="031F4818" w14:textId="49D6EA62" w:rsidR="00D83FB7" w:rsidRDefault="00D83FB7" w:rsidP="00016B12">
      <w:pPr>
        <w:pStyle w:val="ListParagraph"/>
        <w:numPr>
          <w:ilvl w:val="1"/>
          <w:numId w:val="1"/>
        </w:numPr>
      </w:pPr>
      <w:r>
        <w:t>Updated subsection: “Medical mask use by health care and support workers”</w:t>
      </w:r>
    </w:p>
    <w:p w14:paraId="477822C1" w14:textId="0FBB8ACC" w:rsidR="00D83FB7" w:rsidRDefault="00D83FB7" w:rsidP="00D83FB7">
      <w:pPr>
        <w:pStyle w:val="ListParagraph"/>
        <w:numPr>
          <w:ilvl w:val="1"/>
          <w:numId w:val="1"/>
        </w:numPr>
      </w:pPr>
      <w:r>
        <w:t>Updated subsection: “Environmental cleaning and disinfection”</w:t>
      </w:r>
    </w:p>
    <w:p w14:paraId="04D8E597" w14:textId="1D11AF53" w:rsidR="00182C3A" w:rsidRDefault="00182C3A" w:rsidP="00182C3A">
      <w:pPr>
        <w:pStyle w:val="ListParagraph"/>
        <w:numPr>
          <w:ilvl w:val="1"/>
          <w:numId w:val="1"/>
        </w:numPr>
      </w:pPr>
      <w:r>
        <w:t>Updated section: “Managing contacts” to include new subsections of “Work Exposure” and “Household Exposure”</w:t>
      </w:r>
    </w:p>
    <w:p w14:paraId="133B5666" w14:textId="77777777" w:rsidR="002B1E23" w:rsidRDefault="00560D79" w:rsidP="00182C3A">
      <w:pPr>
        <w:pStyle w:val="ListParagraph"/>
        <w:numPr>
          <w:ilvl w:val="1"/>
          <w:numId w:val="1"/>
        </w:numPr>
      </w:pPr>
      <w:r>
        <w:t>A</w:t>
      </w:r>
      <w:r w:rsidR="00CB5B65">
        <w:t>dded</w:t>
      </w:r>
      <w:r>
        <w:t xml:space="preserve"> new subsection “</w:t>
      </w:r>
      <w:r w:rsidR="00CB5B65" w:rsidRPr="00CB5B65">
        <w:t>Supporting ARC staff who are symptomatic or a household contact</w:t>
      </w:r>
      <w:r w:rsidR="00CB5B65">
        <w:t>” in section “Staffing”</w:t>
      </w:r>
    </w:p>
    <w:p w14:paraId="209FC98D" w14:textId="77777777" w:rsidR="00E873F4" w:rsidRDefault="002B1E23" w:rsidP="00182C3A">
      <w:pPr>
        <w:pStyle w:val="ListParagraph"/>
        <w:numPr>
          <w:ilvl w:val="1"/>
          <w:numId w:val="1"/>
        </w:numPr>
      </w:pPr>
      <w:r>
        <w:t>Updated sub</w:t>
      </w:r>
      <w:r w:rsidR="00683C73">
        <w:t>section “</w:t>
      </w:r>
      <w:r w:rsidR="00683C73" w:rsidRPr="00683C73">
        <w:t>ARC residents transfer and admissions</w:t>
      </w:r>
      <w:r w:rsidR="00683C73">
        <w:t>”</w:t>
      </w:r>
    </w:p>
    <w:p w14:paraId="4A7FB428" w14:textId="30F3C2E3" w:rsidR="00560D79" w:rsidRDefault="00E873F4" w:rsidP="00182C3A">
      <w:pPr>
        <w:pStyle w:val="ListParagraph"/>
        <w:numPr>
          <w:ilvl w:val="1"/>
          <w:numId w:val="1"/>
        </w:numPr>
      </w:pPr>
      <w:r>
        <w:t>Updated se</w:t>
      </w:r>
      <w:r w:rsidR="0027585E">
        <w:t>ction “Visitors during an outbreak”</w:t>
      </w:r>
      <w:r w:rsidR="00CB5B65">
        <w:t xml:space="preserve"> </w:t>
      </w:r>
    </w:p>
    <w:p w14:paraId="18430651" w14:textId="009D99E9" w:rsidR="00182C3A" w:rsidRDefault="00182C3A" w:rsidP="00182C3A">
      <w:pPr>
        <w:pStyle w:val="ListParagraph"/>
        <w:numPr>
          <w:ilvl w:val="1"/>
          <w:numId w:val="1"/>
        </w:numPr>
      </w:pPr>
      <w:r>
        <w:t>Removed “Table 2: Actions for ARC facilities where residents and health care and support workers are close and causal COVID-19 contacts”</w:t>
      </w:r>
    </w:p>
    <w:p w14:paraId="39263DFC" w14:textId="2372C2FD" w:rsidR="0085668C" w:rsidRDefault="0085668C" w:rsidP="0085668C">
      <w:pPr>
        <w:pStyle w:val="ListParagraph"/>
        <w:numPr>
          <w:ilvl w:val="0"/>
          <w:numId w:val="1"/>
        </w:numPr>
      </w:pPr>
      <w:r>
        <w:t>Appendices</w:t>
      </w:r>
    </w:p>
    <w:p w14:paraId="7D908775" w14:textId="77777777" w:rsidR="00855403" w:rsidRDefault="00855403" w:rsidP="00855403">
      <w:pPr>
        <w:pStyle w:val="ListParagraph"/>
        <w:numPr>
          <w:ilvl w:val="1"/>
          <w:numId w:val="1"/>
        </w:numPr>
      </w:pPr>
      <w:r>
        <w:t>Replaced Appendix 4: PPE competency checklist with link to updated guidance on the Ministry website.</w:t>
      </w:r>
    </w:p>
    <w:p w14:paraId="2CA9955B" w14:textId="77777777" w:rsidR="00855403" w:rsidRDefault="00855403" w:rsidP="00855403">
      <w:pPr>
        <w:pStyle w:val="ListParagraph"/>
        <w:numPr>
          <w:ilvl w:val="1"/>
          <w:numId w:val="1"/>
        </w:numPr>
      </w:pPr>
      <w:r>
        <w:t xml:space="preserve">Replaced Appendix 6: Visitor screening tool to prevent infection entering a facility with link to updated guidance on the Ministry website. </w:t>
      </w:r>
    </w:p>
    <w:p w14:paraId="00D395A9" w14:textId="77777777" w:rsidR="00855403" w:rsidRDefault="00855403" w:rsidP="00855403">
      <w:pPr>
        <w:pStyle w:val="ListParagraph"/>
        <w:numPr>
          <w:ilvl w:val="1"/>
          <w:numId w:val="1"/>
        </w:numPr>
      </w:pPr>
      <w:r>
        <w:t xml:space="preserve">Updated Appendix 11: ARC OMT (wider group) example agenda </w:t>
      </w:r>
    </w:p>
    <w:p w14:paraId="50212074" w14:textId="77777777" w:rsidR="00855403" w:rsidRDefault="00855403" w:rsidP="00855403">
      <w:pPr>
        <w:pStyle w:val="ListParagraph"/>
        <w:numPr>
          <w:ilvl w:val="1"/>
          <w:numId w:val="1"/>
        </w:numPr>
      </w:pPr>
      <w:r>
        <w:t>Removed Appendix 12:  ARC resident transfer risk consideration matrix</w:t>
      </w:r>
    </w:p>
    <w:p w14:paraId="21E6D47D" w14:textId="77777777" w:rsidR="00855403" w:rsidRDefault="00855403" w:rsidP="00855403">
      <w:pPr>
        <w:pStyle w:val="ListParagraph"/>
        <w:numPr>
          <w:ilvl w:val="1"/>
          <w:numId w:val="1"/>
        </w:numPr>
      </w:pPr>
      <w:r>
        <w:t xml:space="preserve">Removed Appendix 14: ARC outbreak summary report suggested headings example </w:t>
      </w:r>
    </w:p>
    <w:p w14:paraId="04AF25ED" w14:textId="77777777" w:rsidR="0085668C" w:rsidRDefault="0085668C" w:rsidP="00855403">
      <w:pPr>
        <w:pStyle w:val="ListParagraph"/>
        <w:ind w:left="1440"/>
      </w:pPr>
    </w:p>
    <w:p w14:paraId="4CCF7FD3" w14:textId="712B350C" w:rsidR="00F41088" w:rsidRDefault="00F41088" w:rsidP="00B669AF"/>
    <w:sectPr w:rsidR="00F4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15704"/>
    <w:multiLevelType w:val="hybridMultilevel"/>
    <w:tmpl w:val="DA186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3F5"/>
    <w:multiLevelType w:val="multilevel"/>
    <w:tmpl w:val="F8B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8"/>
    <w:rsid w:val="00016B12"/>
    <w:rsid w:val="000260B1"/>
    <w:rsid w:val="00092816"/>
    <w:rsid w:val="000D1EFD"/>
    <w:rsid w:val="00182C3A"/>
    <w:rsid w:val="001A4B62"/>
    <w:rsid w:val="0027585E"/>
    <w:rsid w:val="00291833"/>
    <w:rsid w:val="0029709E"/>
    <w:rsid w:val="002B1E23"/>
    <w:rsid w:val="002C5E2E"/>
    <w:rsid w:val="00307CBA"/>
    <w:rsid w:val="0032165D"/>
    <w:rsid w:val="00386A78"/>
    <w:rsid w:val="004006B4"/>
    <w:rsid w:val="00415536"/>
    <w:rsid w:val="00440F2C"/>
    <w:rsid w:val="004B5171"/>
    <w:rsid w:val="005020CD"/>
    <w:rsid w:val="00521A8D"/>
    <w:rsid w:val="00560D79"/>
    <w:rsid w:val="0057471A"/>
    <w:rsid w:val="00574ECC"/>
    <w:rsid w:val="005A7182"/>
    <w:rsid w:val="006830BD"/>
    <w:rsid w:val="00683C73"/>
    <w:rsid w:val="00711C54"/>
    <w:rsid w:val="0075540F"/>
    <w:rsid w:val="00765E27"/>
    <w:rsid w:val="00792308"/>
    <w:rsid w:val="00836306"/>
    <w:rsid w:val="008536DB"/>
    <w:rsid w:val="00855403"/>
    <w:rsid w:val="0085668C"/>
    <w:rsid w:val="00893A11"/>
    <w:rsid w:val="008A6F65"/>
    <w:rsid w:val="008F3498"/>
    <w:rsid w:val="00935818"/>
    <w:rsid w:val="00966F51"/>
    <w:rsid w:val="009B3E38"/>
    <w:rsid w:val="009B70A9"/>
    <w:rsid w:val="00A60E59"/>
    <w:rsid w:val="00AD7DA8"/>
    <w:rsid w:val="00AF5555"/>
    <w:rsid w:val="00B136B4"/>
    <w:rsid w:val="00B61046"/>
    <w:rsid w:val="00B669AF"/>
    <w:rsid w:val="00BB0DA2"/>
    <w:rsid w:val="00BE541A"/>
    <w:rsid w:val="00C25B6E"/>
    <w:rsid w:val="00C30793"/>
    <w:rsid w:val="00C63DB1"/>
    <w:rsid w:val="00CA726F"/>
    <w:rsid w:val="00CB5B65"/>
    <w:rsid w:val="00D64737"/>
    <w:rsid w:val="00D83FB7"/>
    <w:rsid w:val="00DB4D5B"/>
    <w:rsid w:val="00DD1C50"/>
    <w:rsid w:val="00DE797B"/>
    <w:rsid w:val="00E873F4"/>
    <w:rsid w:val="00ED534E"/>
    <w:rsid w:val="00F13811"/>
    <w:rsid w:val="00F41088"/>
    <w:rsid w:val="00F61BFF"/>
    <w:rsid w:val="00FA29B2"/>
    <w:rsid w:val="00FB3E49"/>
    <w:rsid w:val="00FC4DE6"/>
    <w:rsid w:val="00FE5A9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18E7"/>
  <w15:chartTrackingRefBased/>
  <w15:docId w15:val="{0A57CA3D-45C5-452D-8D9B-365DA07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E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0B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3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changes: 7 March - COVID-19 Outbreak Response Toolkit for Aged Residential Care</dc:title>
  <dc:subject/>
  <dc:creator>ministry of Health</dc:creator>
  <cp:keywords/>
  <dc:description/>
  <cp:lastModifiedBy>Jade Cincotta</cp:lastModifiedBy>
  <cp:revision>24</cp:revision>
  <dcterms:created xsi:type="dcterms:W3CDTF">2022-03-09T22:43:00Z</dcterms:created>
  <dcterms:modified xsi:type="dcterms:W3CDTF">2022-03-09T22:54:00Z</dcterms:modified>
</cp:coreProperties>
</file>