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25AE1" w:rsidR="6AF9BF9E" w:rsidP="00E25AE1" w:rsidRDefault="6AF9BF9E" w14:paraId="513D0275" w14:textId="704DB8CA">
      <w:pPr>
        <w:pStyle w:val="Title"/>
        <w:rPr>
          <w:rFonts w:ascii="Arial" w:hAnsi="Arial" w:cs="Arial"/>
          <w:b w:val="0"/>
          <w:bCs w:val="0"/>
        </w:rPr>
      </w:pPr>
      <w:r w:rsidRPr="00E25AE1">
        <w:rPr>
          <w:rFonts w:ascii="Arial" w:hAnsi="Arial" w:cs="Arial"/>
        </w:rPr>
        <w:t>Advance Prescriptions for Oral COVID-19 Antiviral Medicines</w:t>
      </w:r>
    </w:p>
    <w:p w:rsidRPr="00E25AE1" w:rsidR="003C4F69" w:rsidP="00E25AE1" w:rsidRDefault="00327A8B" w14:paraId="172288E8" w14:textId="77DB56C8">
      <w:pPr>
        <w:pStyle w:val="Heading1"/>
        <w:rPr>
          <w:b w:val="0"/>
          <w:bCs w:val="0"/>
        </w:rPr>
      </w:pPr>
      <w:bookmarkStart w:name="_Int_bKx1n4Fx" w:id="0"/>
      <w:r>
        <w:t>G</w:t>
      </w:r>
      <w:r w:rsidR="00A01FBF">
        <w:t>uidance</w:t>
      </w:r>
      <w:r w:rsidR="5F500805">
        <w:t xml:space="preserve"> f</w:t>
      </w:r>
      <w:r w:rsidR="003126C3">
        <w:t>o</w:t>
      </w:r>
      <w:r w:rsidR="5F500805">
        <w:t xml:space="preserve">r </w:t>
      </w:r>
      <w:r w:rsidR="00851F62">
        <w:t>relevant appropriately qualified prescriber</w:t>
      </w:r>
      <w:r w:rsidR="5F500805">
        <w:t>s and pharmacists</w:t>
      </w:r>
      <w:bookmarkEnd w:id="0"/>
    </w:p>
    <w:p w:rsidR="007D6429" w:rsidP="34ABC6C1" w:rsidRDefault="4638E75E" w14:paraId="2E272F0F" w14:textId="7904F845">
      <w:r w:rsidR="52048F2B">
        <w:rPr/>
        <w:t xml:space="preserve">On </w:t>
      </w:r>
      <w:r w:rsidR="70FDBA39">
        <w:rPr/>
        <w:t>14</w:t>
      </w:r>
      <w:r w:rsidR="52048F2B">
        <w:rPr/>
        <w:t xml:space="preserve"> July 2022, the Minister for COVID-19 Response Hon Dr Ayesha </w:t>
      </w:r>
      <w:r w:rsidR="52048F2B">
        <w:rPr/>
        <w:t>Verrall</w:t>
      </w:r>
      <w:r w:rsidR="52048F2B">
        <w:rPr/>
        <w:t xml:space="preserve"> announced that eligible patients could receive </w:t>
      </w:r>
      <w:r w:rsidR="7B34BAC4">
        <w:rPr/>
        <w:t xml:space="preserve">an advance (“back pocket”) </w:t>
      </w:r>
      <w:r w:rsidR="52048F2B">
        <w:rPr/>
        <w:t>prescription</w:t>
      </w:r>
      <w:r w:rsidR="7B34BAC4">
        <w:rPr/>
        <w:t xml:space="preserve"> </w:t>
      </w:r>
      <w:r w:rsidR="52048F2B">
        <w:rPr/>
        <w:t xml:space="preserve">for </w:t>
      </w:r>
      <w:r w:rsidR="17F3AFB7">
        <w:rPr/>
        <w:t>the following</w:t>
      </w:r>
      <w:r w:rsidR="52048F2B">
        <w:rPr/>
        <w:t xml:space="preserve"> </w:t>
      </w:r>
      <w:r w:rsidR="2052505C">
        <w:rPr/>
        <w:t xml:space="preserve">oral COVID-19 antiviral medicines - </w:t>
      </w:r>
      <w:r w:rsidR="191B3212">
        <w:rPr/>
        <w:t>n</w:t>
      </w:r>
      <w:r w:rsidR="23B3CB93">
        <w:rPr/>
        <w:t>irmatrelvir</w:t>
      </w:r>
      <w:r w:rsidR="23B3CB93">
        <w:rPr/>
        <w:t xml:space="preserve"> with ritonavir (</w:t>
      </w:r>
      <w:r w:rsidR="23B3CB93">
        <w:rPr/>
        <w:t>Paxlovid</w:t>
      </w:r>
      <w:r w:rsidR="23B3CB93">
        <w:rPr/>
        <w:t xml:space="preserve">) and </w:t>
      </w:r>
      <w:proofErr w:type="spellStart"/>
      <w:r w:rsidR="23B3CB93">
        <w:rPr/>
        <w:t>Molnupiravir</w:t>
      </w:r>
      <w:proofErr w:type="spellEnd"/>
      <w:r w:rsidR="23B3CB93">
        <w:rPr/>
        <w:t xml:space="preserve"> (</w:t>
      </w:r>
      <w:proofErr w:type="spellStart"/>
      <w:r w:rsidR="23B3CB93">
        <w:rPr/>
        <w:t>Lagevrio</w:t>
      </w:r>
      <w:proofErr w:type="spellEnd"/>
      <w:r w:rsidR="23B3CB93">
        <w:rPr/>
        <w:t xml:space="preserve">). </w:t>
      </w:r>
      <w:r w:rsidR="48DF3DC9">
        <w:rPr/>
        <w:t xml:space="preserve"> Subsequent guidance was released on 27</w:t>
      </w:r>
      <w:r w:rsidRPr="53A05F8C" w:rsidR="48DF3DC9">
        <w:rPr>
          <w:vertAlign w:val="superscript"/>
        </w:rPr>
        <w:t>th</w:t>
      </w:r>
      <w:r w:rsidR="48DF3DC9">
        <w:rPr/>
        <w:t xml:space="preserve"> February 2</w:t>
      </w:r>
      <w:r w:rsidR="48DF3DC9">
        <w:rPr/>
        <w:t xml:space="preserve">023 by the Therapeutics Technical Advisory Group showing </w:t>
      </w:r>
      <w:r w:rsidR="48DF3DC9">
        <w:rPr/>
        <w:t xml:space="preserve">clinical evidence in support of using alternative oral antiviral </w:t>
      </w:r>
      <w:r w:rsidR="48DF3DC9">
        <w:rPr/>
        <w:t>Paxlovid</w:t>
      </w:r>
      <w:r w:rsidR="48DF3DC9">
        <w:rPr/>
        <w:t xml:space="preserve"> (</w:t>
      </w:r>
      <w:r w:rsidR="48DF3DC9">
        <w:rPr/>
        <w:t>nirmatrelvir</w:t>
      </w:r>
      <w:r w:rsidR="48DF3DC9">
        <w:rPr/>
        <w:t xml:space="preserve">/ritonavir) due to considerably greater effectiveness than </w:t>
      </w:r>
      <w:r w:rsidR="48DF3DC9">
        <w:rPr/>
        <w:t xml:space="preserve">shown by </w:t>
      </w:r>
      <w:r w:rsidR="48DF3DC9">
        <w:rPr/>
        <w:t xml:space="preserve">the evidence for </w:t>
      </w:r>
      <w:proofErr w:type="spellStart"/>
      <w:r w:rsidR="48DF3DC9">
        <w:rPr/>
        <w:t>molnupiravir</w:t>
      </w:r>
      <w:proofErr w:type="spellEnd"/>
      <w:r w:rsidR="48DF3DC9">
        <w:rPr/>
        <w:t xml:space="preserve">.  As a result, </w:t>
      </w:r>
      <w:r w:rsidR="48DF3DC9">
        <w:rPr/>
        <w:t>Paxlovid</w:t>
      </w:r>
      <w:r w:rsidR="48DF3DC9">
        <w:rPr/>
        <w:t xml:space="preserve"> remains the first line treatment for COVID-19, with remdesivir a second-line option. </w:t>
      </w:r>
      <w:r w:rsidR="48DF3DC9">
        <w:rPr/>
        <w:t>Molnupiravir</w:t>
      </w:r>
      <w:r w:rsidR="48DF3DC9">
        <w:rPr/>
        <w:t xml:space="preserve"> is no longer recommended.</w:t>
      </w:r>
    </w:p>
    <w:p w:rsidR="00CC0FC5" w:rsidP="007D6429" w:rsidRDefault="00CC0FC5" w14:paraId="0CED7478" w14:textId="3D43DC40">
      <w:r>
        <w:t xml:space="preserve">The purpose of this guidance </w:t>
      </w:r>
      <w:r w:rsidR="001B7163">
        <w:t xml:space="preserve">document </w:t>
      </w:r>
      <w:r>
        <w:t xml:space="preserve">is to: </w:t>
      </w:r>
    </w:p>
    <w:p w:rsidR="00CC0FC5" w:rsidP="00CC0FC5" w:rsidRDefault="00CC0FC5" w14:paraId="55FC650F" w14:textId="38E4FCD0">
      <w:pPr>
        <w:pStyle w:val="ListParagraph"/>
        <w:numPr>
          <w:ilvl w:val="0"/>
          <w:numId w:val="7"/>
        </w:numPr>
      </w:pPr>
      <w:r>
        <w:t xml:space="preserve">Clarify when and why this may be appropriate; </w:t>
      </w:r>
      <w:r w:rsidR="00A635A5">
        <w:t>and</w:t>
      </w:r>
    </w:p>
    <w:p w:rsidR="00CC0FC5" w:rsidP="00CC0FC5" w:rsidRDefault="3B81CFE8" w14:paraId="395D4277" w14:textId="7AEAA65A">
      <w:pPr>
        <w:pStyle w:val="ListParagraph"/>
        <w:numPr>
          <w:ilvl w:val="0"/>
          <w:numId w:val="7"/>
        </w:numPr>
      </w:pPr>
      <w:r>
        <w:t>Provide additional guidance and support for prescribers and pharmacists</w:t>
      </w:r>
      <w:r w:rsidR="020D4428">
        <w:t>.</w:t>
      </w:r>
    </w:p>
    <w:p w:rsidRPr="0059549A" w:rsidR="00F16B45" w:rsidP="00E25AE1" w:rsidRDefault="008A5F57" w14:paraId="59E0A0F2" w14:textId="64E740C1">
      <w:pPr>
        <w:pStyle w:val="Heading1"/>
      </w:pPr>
      <w:r>
        <w:t>Background</w:t>
      </w:r>
    </w:p>
    <w:p w:rsidR="00164D79" w:rsidRDefault="00AD11A0" w14:paraId="611CA23D" w14:textId="0200E0E0">
      <w:r w:rsidR="5C74ACD4">
        <w:rPr/>
        <w:t xml:space="preserve">This </w:t>
      </w:r>
      <w:r w:rsidR="295F2CE8">
        <w:rPr/>
        <w:t>was</w:t>
      </w:r>
      <w:r w:rsidR="5C74ACD4">
        <w:rPr/>
        <w:t xml:space="preserve"> </w:t>
      </w:r>
      <w:r w:rsidR="1565AB75">
        <w:rPr/>
        <w:t xml:space="preserve">one of </w:t>
      </w:r>
      <w:r w:rsidR="3D5C76E6">
        <w:rPr/>
        <w:t>several</w:t>
      </w:r>
      <w:r w:rsidR="7BC6CDD1">
        <w:rPr/>
        <w:t xml:space="preserve"> </w:t>
      </w:r>
      <w:r w:rsidR="14E9E794">
        <w:rPr/>
        <w:t xml:space="preserve">initiatives </w:t>
      </w:r>
      <w:r w:rsidR="7BC6CDD1">
        <w:rPr/>
        <w:t xml:space="preserve">designed to </w:t>
      </w:r>
      <w:r w:rsidR="5C74ACD4">
        <w:rPr/>
        <w:t>improve timeliness of access to</w:t>
      </w:r>
      <w:r w:rsidR="3FA9F3AA">
        <w:rPr/>
        <w:t xml:space="preserve"> COVID-19 antivirals for</w:t>
      </w:r>
      <w:r w:rsidR="7BC6CDD1">
        <w:rPr/>
        <w:t xml:space="preserve"> those who need them</w:t>
      </w:r>
      <w:r w:rsidR="5C74ACD4">
        <w:rPr/>
        <w:t xml:space="preserve">. </w:t>
      </w:r>
      <w:r w:rsidR="24E6EA66">
        <w:rPr/>
        <w:t xml:space="preserve"> O</w:t>
      </w:r>
      <w:r w:rsidR="5C74ACD4">
        <w:rPr/>
        <w:t xml:space="preserve">ther changes </w:t>
      </w:r>
      <w:r w:rsidR="295F2CE8">
        <w:rPr/>
        <w:t xml:space="preserve">that were </w:t>
      </w:r>
      <w:r w:rsidR="5C74ACD4">
        <w:rPr/>
        <w:t>implemented, includ</w:t>
      </w:r>
      <w:r w:rsidR="6CA41F50">
        <w:rPr/>
        <w:t>e</w:t>
      </w:r>
      <w:r w:rsidR="5C74ACD4">
        <w:rPr/>
        <w:t xml:space="preserve"> the reclassification of the</w:t>
      </w:r>
      <w:r w:rsidR="52F71529">
        <w:rPr/>
        <w:t>se</w:t>
      </w:r>
      <w:r w:rsidR="5C74ACD4">
        <w:rPr/>
        <w:t xml:space="preserve"> medicines from “prescription-only” to “restricted” or “pharmacist-only” medicines, enabling pharmacists to supply the medicines to eligible patients without a prescription from </w:t>
      </w:r>
      <w:r w:rsidR="5C74ACD4">
        <w:rPr/>
        <w:t>a</w:t>
      </w:r>
      <w:r w:rsidR="5C74ACD4">
        <w:rPr/>
        <w:t xml:space="preserve"> prescriber.</w:t>
      </w:r>
      <w:r w:rsidR="71292544">
        <w:rPr/>
        <w:t xml:space="preserve">  </w:t>
      </w:r>
    </w:p>
    <w:p w:rsidRPr="007840DA" w:rsidR="00AD11A0" w:rsidP="00E25AE1" w:rsidRDefault="00C15D0A" w14:paraId="5BF23549" w14:textId="1EE4244C">
      <w:r>
        <w:t xml:space="preserve">Advance </w:t>
      </w:r>
      <w:r w:rsidR="00573732">
        <w:t>pre</w:t>
      </w:r>
      <w:r>
        <w:t>script</w:t>
      </w:r>
      <w:r w:rsidR="00573732">
        <w:t>ion</w:t>
      </w:r>
      <w:r>
        <w:t>s can provide assurance to someone at high risk</w:t>
      </w:r>
      <w:r w:rsidR="00164D79">
        <w:t xml:space="preserve"> of poor COVID-19 related health outcomes </w:t>
      </w:r>
      <w:r>
        <w:t xml:space="preserve">that they will be able to access these </w:t>
      </w:r>
      <w:r w:rsidR="00365110">
        <w:t xml:space="preserve">COVID-19 antiviral medicines </w:t>
      </w:r>
      <w:r>
        <w:t>when needed</w:t>
      </w:r>
      <w:r w:rsidR="00941F87">
        <w:t>, acknowledging the window of effectiveness is very tight between symptom onset and time needed to initiate treatment</w:t>
      </w:r>
      <w:r>
        <w:t>.</w:t>
      </w:r>
    </w:p>
    <w:p w:rsidRPr="007840DA" w:rsidR="00A160DC" w:rsidP="00E25AE1" w:rsidRDefault="00A160DC" w14:paraId="15C9C247" w14:textId="5D375614">
      <w:r>
        <w:t>Situations where i</w:t>
      </w:r>
      <w:r w:rsidR="00AD11A0">
        <w:t xml:space="preserve">ssuing of advance </w:t>
      </w:r>
      <w:r w:rsidR="003F5665">
        <w:t>prescriptions</w:t>
      </w:r>
      <w:r w:rsidR="00AD11A0">
        <w:t xml:space="preserve"> may be particularly useful </w:t>
      </w:r>
      <w:r>
        <w:t>are</w:t>
      </w:r>
      <w:r w:rsidR="00CB55C0">
        <w:t>:</w:t>
      </w:r>
    </w:p>
    <w:p w:rsidRPr="007840DA" w:rsidR="004656DD" w:rsidP="00A160DC" w:rsidRDefault="00AD11A0" w14:paraId="2AE96087" w14:textId="37BB6187">
      <w:pPr>
        <w:pStyle w:val="ListParagraph"/>
        <w:numPr>
          <w:ilvl w:val="0"/>
          <w:numId w:val="39"/>
        </w:numPr>
        <w:rPr/>
      </w:pPr>
      <w:r w:rsidR="5C74ACD4">
        <w:rPr/>
        <w:t xml:space="preserve">for patients who are at very high risk of becoming infected </w:t>
      </w:r>
      <w:r w:rsidR="71F0D879">
        <w:rPr/>
        <w:t>with COVID-19</w:t>
      </w:r>
      <w:r w:rsidR="4DCA627D">
        <w:rPr/>
        <w:t xml:space="preserve"> </w:t>
      </w:r>
      <w:proofErr w:type="gramStart"/>
      <w:r w:rsidR="4DCA627D">
        <w:rPr/>
        <w:t>in the near future</w:t>
      </w:r>
      <w:proofErr w:type="gramEnd"/>
      <w:r w:rsidR="71F0D879">
        <w:rPr/>
        <w:t xml:space="preserve"> </w:t>
      </w:r>
      <w:proofErr w:type="gramStart"/>
      <w:r w:rsidR="4DCA627D">
        <w:rPr/>
        <w:t>e.g.</w:t>
      </w:r>
      <w:proofErr w:type="gramEnd"/>
      <w:r w:rsidR="58E7958D">
        <w:rPr/>
        <w:t xml:space="preserve"> patients</w:t>
      </w:r>
      <w:r w:rsidR="5C74ACD4">
        <w:rPr/>
        <w:t xml:space="preserve"> who meet eligibility criteria, and who are household contacts but not yet </w:t>
      </w:r>
      <w:r w:rsidR="4DCA627D">
        <w:rPr/>
        <w:t xml:space="preserve">symptomatic or </w:t>
      </w:r>
      <w:r w:rsidR="5C74ACD4">
        <w:rPr/>
        <w:t xml:space="preserve">COVID-19 </w:t>
      </w:r>
      <w:proofErr w:type="gramStart"/>
      <w:r w:rsidR="5C74ACD4">
        <w:rPr/>
        <w:t>positive</w:t>
      </w:r>
      <w:r w:rsidR="4DCA627D">
        <w:rPr/>
        <w:t>, but</w:t>
      </w:r>
      <w:proofErr w:type="gramEnd"/>
      <w:r w:rsidR="4DCA627D">
        <w:rPr/>
        <w:t xml:space="preserve"> may become a case </w:t>
      </w:r>
      <w:proofErr w:type="gramStart"/>
      <w:r w:rsidR="4DCA627D">
        <w:rPr/>
        <w:t>in the near future</w:t>
      </w:r>
      <w:proofErr w:type="gramEnd"/>
      <w:r w:rsidR="4DCA627D">
        <w:rPr/>
        <w:t>.</w:t>
      </w:r>
      <w:r w:rsidR="5C74ACD4">
        <w:rPr/>
        <w:t xml:space="preserve">  </w:t>
      </w:r>
    </w:p>
    <w:p w:rsidRPr="007840DA" w:rsidR="00AF38BC" w:rsidP="00A160DC" w:rsidRDefault="004656DD" w14:paraId="626201E3" w14:textId="5F28C097">
      <w:pPr>
        <w:pStyle w:val="ListParagraph"/>
        <w:numPr>
          <w:ilvl w:val="0"/>
          <w:numId w:val="39"/>
        </w:numPr>
      </w:pPr>
      <w:r>
        <w:t>Patients who are travelling to</w:t>
      </w:r>
      <w:r w:rsidR="00DD3DAF">
        <w:t xml:space="preserve"> other regions within New Zealand</w:t>
      </w:r>
      <w:r w:rsidR="000B2330">
        <w:t xml:space="preserve"> and may struggle to contact their usual health provider at that time.</w:t>
      </w:r>
    </w:p>
    <w:p w:rsidRPr="007840DA" w:rsidR="000B2330" w:rsidP="00A160DC" w:rsidRDefault="00F06755" w14:paraId="49B45B84" w14:textId="0A088C66">
      <w:pPr>
        <w:pStyle w:val="ListParagraph"/>
        <w:numPr>
          <w:ilvl w:val="0"/>
          <w:numId w:val="39"/>
        </w:numPr>
      </w:pPr>
      <w:r>
        <w:t xml:space="preserve">Patients who live in remote and rural areas and limited availability of </w:t>
      </w:r>
      <w:r w:rsidR="00A14CC9">
        <w:t>primary care or pharmacies that can provide anti-viral medication without a prescription.</w:t>
      </w:r>
    </w:p>
    <w:p w:rsidR="00AD11A0" w:rsidP="00863E5D" w:rsidRDefault="007840DA" w14:paraId="75F30B5B" w14:textId="58BFD9F9">
      <w:r>
        <w:t xml:space="preserve">Primary </w:t>
      </w:r>
      <w:r w:rsidR="00863E5D">
        <w:t xml:space="preserve">care </w:t>
      </w:r>
      <w:r w:rsidR="00AE2AAB">
        <w:t xml:space="preserve">teams </w:t>
      </w:r>
      <w:r w:rsidR="00AD11A0">
        <w:t xml:space="preserve">will be able to identify </w:t>
      </w:r>
      <w:r w:rsidR="00863E5D">
        <w:t>those people who would gain most benefit from an advanced prescription</w:t>
      </w:r>
      <w:r w:rsidR="00AD11A0">
        <w:t xml:space="preserve">.  </w:t>
      </w:r>
      <w:r w:rsidR="00863E5D">
        <w:t>It is anticipated that</w:t>
      </w:r>
      <w:r w:rsidR="00AD11A0">
        <w:t xml:space="preserve"> there is likely to be a short intervening period between the issuing of the advance prescription</w:t>
      </w:r>
      <w:r w:rsidR="00863E5D">
        <w:t xml:space="preserve"> and when it is likely to be dispensed.</w:t>
      </w:r>
      <w:r w:rsidR="00B13FD3">
        <w:t xml:space="preserve">  It is not expected that advance prescriptions will be issued for all those eligible for</w:t>
      </w:r>
      <w:r w:rsidR="00152B8B">
        <w:t xml:space="preserve"> </w:t>
      </w:r>
      <w:r w:rsidR="00AE2AAB">
        <w:t xml:space="preserve">COVID-19 </w:t>
      </w:r>
      <w:r w:rsidR="00B13FD3">
        <w:t xml:space="preserve">anti-viral medication, it is aimed to be targeted for </w:t>
      </w:r>
      <w:r w:rsidR="00CB55C0">
        <w:t xml:space="preserve">those </w:t>
      </w:r>
      <w:r w:rsidR="5EDB0D09">
        <w:t>deemed most clinically appropriate, at</w:t>
      </w:r>
      <w:r w:rsidR="00CB55C0">
        <w:t xml:space="preserve"> the </w:t>
      </w:r>
      <w:r w:rsidR="5EDB0D09">
        <w:t>discretion of the prescriber</w:t>
      </w:r>
      <w:r w:rsidR="00CB55C0">
        <w:t>.</w:t>
      </w:r>
    </w:p>
    <w:p w:rsidR="00AD11A0" w:rsidP="00E25AE1" w:rsidRDefault="00AD11A0" w14:paraId="16EB75CD" w14:textId="23BCB032">
      <w:r w:rsidRPr="00220A40">
        <w:lastRenderedPageBreak/>
        <w:t>Consultation in advance provides an opportunity for a</w:t>
      </w:r>
      <w:r w:rsidR="00304952">
        <w:t>n</w:t>
      </w:r>
      <w:r w:rsidRPr="00220A40">
        <w:t xml:space="preserve"> </w:t>
      </w:r>
      <w:r w:rsidR="00304952">
        <w:t>in-person</w:t>
      </w:r>
      <w:r w:rsidRPr="00220A40">
        <w:t xml:space="preserve"> </w:t>
      </w:r>
      <w:r w:rsidR="1375BE47">
        <w:t xml:space="preserve">or virtual </w:t>
      </w:r>
      <w:r w:rsidRPr="00220A40">
        <w:t xml:space="preserve">conversation about oral therapeutics </w:t>
      </w:r>
      <w:r w:rsidR="61FE86FC">
        <w:t>and education on</w:t>
      </w:r>
      <w:r w:rsidRPr="00220A40">
        <w:t xml:space="preserve"> the </w:t>
      </w:r>
      <w:r w:rsidR="61FE86FC">
        <w:t xml:space="preserve">oral anti-viral therapies and potential side effects.  The funding for an advance prescription is </w:t>
      </w:r>
      <w:r w:rsidR="00AE2AAB">
        <w:t>to be used</w:t>
      </w:r>
      <w:r w:rsidR="61FE86FC">
        <w:t xml:space="preserve"> when this is the sole focus of the consult</w:t>
      </w:r>
      <w:r>
        <w:t>.</w:t>
      </w:r>
      <w:r w:rsidRPr="00220A40">
        <w:t xml:space="preserve">  It also provides an opportunity to undertake any tests that would support the safe use of oral </w:t>
      </w:r>
      <w:r w:rsidR="00CA3F32">
        <w:t>COVID-19 antiviral medicines</w:t>
      </w:r>
      <w:r w:rsidR="00164D79">
        <w:t>,</w:t>
      </w:r>
      <w:r w:rsidRPr="00220A40">
        <w:t xml:space="preserve"> such as renal function when clinically indicated.  Once a person is COVID-19 positive, </w:t>
      </w:r>
      <w:r w:rsidR="005F368F">
        <w:t>in-person</w:t>
      </w:r>
      <w:r w:rsidRPr="00220A40">
        <w:t xml:space="preserve"> encounters are kept to a minimum.</w:t>
      </w:r>
    </w:p>
    <w:p w:rsidR="003E52B5" w:rsidP="00E25AE1" w:rsidRDefault="003E52B5" w14:paraId="0F4589C1" w14:textId="76C05D94">
      <w:pPr>
        <w:pStyle w:val="Heading1"/>
      </w:pPr>
      <w:r>
        <w:t>Eligibility</w:t>
      </w:r>
    </w:p>
    <w:p w:rsidR="000736D3" w:rsidP="00E25AE1" w:rsidRDefault="000736D3" w14:paraId="3A655787" w14:textId="77777777">
      <w:proofErr w:type="spellStart"/>
      <w:r>
        <w:t>Pharmac</w:t>
      </w:r>
      <w:proofErr w:type="spellEnd"/>
      <w:r>
        <w:t xml:space="preserve"> has confirmed its position on advance prescriptions: </w:t>
      </w:r>
      <w:proofErr w:type="gramStart"/>
      <w:r>
        <w:t>as long as</w:t>
      </w:r>
      <w:proofErr w:type="gramEnd"/>
      <w:r>
        <w:t xml:space="preserve"> a person meets the eligibility criteria at the time of </w:t>
      </w:r>
      <w:r w:rsidRPr="00E25AE1">
        <w:t>supply</w:t>
      </w:r>
      <w:r>
        <w:t xml:space="preserve"> of the medication, then there is no impediment to issuing or dispensing an advance prescription.</w:t>
      </w:r>
    </w:p>
    <w:p w:rsidR="000736D3" w:rsidP="00A168DE" w:rsidRDefault="000736D3" w14:paraId="5CDBBC3E" w14:textId="1E899DAE">
      <w:r w:rsidR="1BB3B226">
        <w:rPr/>
        <w:t xml:space="preserve">This means that whilst the </w:t>
      </w:r>
      <w:r w:rsidRPr="53A05F8C" w:rsidR="1BB3B226">
        <w:rPr>
          <w:i w:val="1"/>
          <w:iCs w:val="1"/>
        </w:rPr>
        <w:t>prescription</w:t>
      </w:r>
      <w:r w:rsidR="1BB3B226">
        <w:rPr/>
        <w:t xml:space="preserve"> can be provided in advance to people that meet the </w:t>
      </w:r>
      <w:hyperlink r:id="R3c67c62f56804249">
        <w:r w:rsidRPr="53A05F8C" w:rsidR="1BB3B226">
          <w:rPr>
            <w:rStyle w:val="Hyperlink"/>
          </w:rPr>
          <w:t>Pharmac</w:t>
        </w:r>
        <w:r w:rsidRPr="53A05F8C" w:rsidR="1BB3B226">
          <w:rPr>
            <w:rStyle w:val="Hyperlink"/>
          </w:rPr>
          <w:t xml:space="preserve"> eligibility criteria</w:t>
        </w:r>
      </w:hyperlink>
      <w:r w:rsidR="1BB3B226">
        <w:rPr/>
        <w:t xml:space="preserve"> (</w:t>
      </w:r>
      <w:proofErr w:type="gramStart"/>
      <w:r w:rsidR="1BB3B226">
        <w:rPr/>
        <w:t>other</w:t>
      </w:r>
      <w:proofErr w:type="gramEnd"/>
      <w:r w:rsidR="1BB3B226">
        <w:rPr/>
        <w:t xml:space="preserve"> than the requirements relating to </w:t>
      </w:r>
      <w:r w:rsidR="1BB3B226">
        <w:rPr/>
        <w:t xml:space="preserve">being a </w:t>
      </w:r>
      <w:r w:rsidR="1BB3B226">
        <w:rPr/>
        <w:t xml:space="preserve">current COVID-19 </w:t>
      </w:r>
      <w:hyperlink w:anchor=":~:text=Case%20definitions,-Confirmed%20case&amp;text=A%20case%20that%20has%20laboratory,a%20validated%20NAAT%20(PCR)." r:id="R4a46834ec6d049ee">
        <w:r w:rsidRPr="53A05F8C" w:rsidR="1BB3B226">
          <w:rPr>
            <w:rStyle w:val="Hyperlink"/>
          </w:rPr>
          <w:t>confirmed or probable case</w:t>
        </w:r>
      </w:hyperlink>
      <w:r w:rsidR="1BB3B226">
        <w:rPr/>
        <w:t xml:space="preserve">), the medicine </w:t>
      </w:r>
      <w:r w:rsidRPr="53A05F8C" w:rsidR="1BB3B226">
        <w:rPr>
          <w:i w:val="1"/>
          <w:iCs w:val="1"/>
        </w:rPr>
        <w:t>cannot be dispensed</w:t>
      </w:r>
      <w:r w:rsidRPr="53A05F8C" w:rsidR="1BB3B226">
        <w:rPr>
          <w:b w:val="1"/>
          <w:bCs w:val="1"/>
          <w:i w:val="1"/>
          <w:iCs w:val="1"/>
        </w:rPr>
        <w:t xml:space="preserve"> </w:t>
      </w:r>
      <w:r w:rsidR="1BB3B226">
        <w:rPr/>
        <w:t xml:space="preserve">by a pharmacist until all the eligibility criteria are met, including </w:t>
      </w:r>
      <w:r w:rsidR="1BB3B226">
        <w:rPr/>
        <w:t xml:space="preserve">the requirements relating to </w:t>
      </w:r>
      <w:r w:rsidR="1BB3B226">
        <w:rPr/>
        <w:t xml:space="preserve">being a </w:t>
      </w:r>
      <w:r w:rsidR="1BB3B226">
        <w:rPr/>
        <w:t xml:space="preserve">current COVID-19 </w:t>
      </w:r>
      <w:hyperlink w:anchor=":~:text=Case%20definitions,-Confirmed%20case&amp;text=A%20case%20that%20has%20laboratory,a%20validated%20NAAT%20(PCR)." r:id="R3c6a548a21a44573">
        <w:r w:rsidRPr="53A05F8C" w:rsidR="1BB3B226">
          <w:rPr>
            <w:rStyle w:val="Hyperlink"/>
          </w:rPr>
          <w:t>confirmed or probable case</w:t>
        </w:r>
      </w:hyperlink>
      <w:r w:rsidR="1BB3B226">
        <w:rPr/>
        <w:t>.</w:t>
      </w:r>
    </w:p>
    <w:p w:rsidRPr="00220A40" w:rsidR="005960BD" w:rsidP="00E25AE1" w:rsidRDefault="0031589B" w14:paraId="626AA9C7" w14:textId="017BA731">
      <w:r>
        <w:rPr>
          <w:noProof/>
        </w:rPr>
        <mc:AlternateContent>
          <mc:Choice Requires="wps">
            <w:drawing>
              <wp:inline distT="0" distB="0" distL="0" distR="0" wp14:anchorId="7FC9A7BD" wp14:editId="7BCFE669">
                <wp:extent cx="5295900" cy="1504950"/>
                <wp:effectExtent l="19050" t="1905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504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C818F"/>
                          </a:solidFill>
                        </a:ln>
                      </wps:spPr>
                      <wps:txbx>
                        <w:txbxContent>
                          <w:p w:rsidR="0031589B" w:rsidP="0031589B" w:rsidRDefault="0031589B" w14:paraId="3C62CF77" w14:textId="77777777">
                            <w:r w:rsidRPr="005C6B6B">
                              <w:t>To be eligible for an advance prescription for oral COVID-19 therapeutic agents</w:t>
                            </w:r>
                            <w:r>
                              <w:t>,</w:t>
                            </w:r>
                            <w:r w:rsidRPr="005C6B6B">
                              <w:t xml:space="preserve"> the patient must meet </w:t>
                            </w:r>
                            <w:hyperlink w:history="1" r:id="rId14">
                              <w:r w:rsidRPr="00666E86">
                                <w:rPr>
                                  <w:rStyle w:val="Hyperlink"/>
                                </w:rPr>
                                <w:t>Pharmac eligibility criteria</w:t>
                              </w:r>
                            </w:hyperlink>
                            <w:r w:rsidRPr="005C6B6B">
                              <w:t xml:space="preserve"> (other than the requirements relating to </w:t>
                            </w:r>
                            <w:r>
                              <w:t xml:space="preserve">being a </w:t>
                            </w:r>
                            <w:r w:rsidRPr="005C6B6B">
                              <w:t xml:space="preserve">current COVID-19 </w:t>
                            </w:r>
                            <w:hyperlink w:history="1" w:anchor=":~:text=Case%20definitions,-Confirmed%20case&amp;text=A%20case%20that%20has%20laboratory,a%20validated%20NAAT%20(PCR)." r:id="rId15">
                              <w:r>
                                <w:rPr>
                                  <w:rStyle w:val="Hyperlink"/>
                                </w:rPr>
                                <w:t>confirmed or probable case</w:t>
                              </w:r>
                            </w:hyperlink>
                            <w:r w:rsidRPr="005C6B6B">
                              <w:t>)</w:t>
                            </w:r>
                            <w:r>
                              <w:t>.</w:t>
                            </w:r>
                          </w:p>
                          <w:p w:rsidR="0031589B" w:rsidP="0031589B" w:rsidRDefault="0031589B" w14:paraId="35BDEBD0" w14:textId="77777777">
                            <w:r>
                              <w:t xml:space="preserve">For an advance prescription to be dispensed, the patient must meet ALL of the </w:t>
                            </w:r>
                            <w:hyperlink w:history="1" r:id="rId16">
                              <w:r w:rsidRPr="00666E86">
                                <w:rPr>
                                  <w:rStyle w:val="Hyperlink"/>
                                </w:rPr>
                                <w:t>Pharmac eligibility criteria</w:t>
                              </w:r>
                            </w:hyperlink>
                            <w:r w:rsidRPr="005C6B6B">
                              <w:t xml:space="preserve"> (</w:t>
                            </w:r>
                            <w:r>
                              <w:t xml:space="preserve">including </w:t>
                            </w:r>
                            <w:r w:rsidRPr="005C6B6B">
                              <w:t xml:space="preserve">the requirements relating to </w:t>
                            </w:r>
                            <w:r>
                              <w:t xml:space="preserve">being a </w:t>
                            </w:r>
                            <w:r w:rsidRPr="005C6B6B">
                              <w:t xml:space="preserve">current COVID-19 </w:t>
                            </w:r>
                            <w:hyperlink w:history="1" w:anchor=":~:text=Case%20definitions,-Confirmed%20case&amp;text=A%20case%20that%20has%20laboratory,a%20validated%20NAAT%20(PCR)." r:id="rId17">
                              <w:r>
                                <w:rPr>
                                  <w:rStyle w:val="Hyperlink"/>
                                </w:rPr>
                                <w:t>confirmed or probable case</w:t>
                              </w:r>
                            </w:hyperlink>
                            <w:r w:rsidRPr="005C6B6B">
                              <w:t>)</w:t>
                            </w:r>
                            <w:r>
                              <w:t>.</w:t>
                            </w:r>
                          </w:p>
                          <w:p w:rsidR="0031589B" w:rsidRDefault="0031589B" w14:paraId="7DF027C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arto="http://schemas.microsoft.com/office/word/2006/arto">
            <w:pict>
              <v:roundrect id="Text Box 8" style="width:417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#0c818f" strokeweight="3pt" arcsize="10923f" w14:anchorId="7FC9A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">
                <v:textbox>
                  <w:txbxContent>
                    <w:p w:rsidR="0031589B" w:rsidP="0031589B" w:rsidRDefault="0031589B" w14:paraId="3C62CF77" w14:textId="77777777">
                      <w:r w:rsidRPr="005C6B6B">
                        <w:t>To be eligible for an advance prescription for oral COVID-19 therapeutic agents</w:t>
                      </w:r>
                      <w:r>
                        <w:t>,</w:t>
                      </w:r>
                      <w:r w:rsidRPr="005C6B6B">
                        <w:t xml:space="preserve"> the patient must meet </w:t>
                      </w:r>
                      <w:hyperlink w:history="1" r:id="rId22">
                        <w:proofErr w:type="spellStart"/>
                        <w:r w:rsidRPr="00666E86">
                          <w:rPr>
                            <w:rStyle w:val="Hyperlink"/>
                          </w:rPr>
                          <w:t>Pharmac</w:t>
                        </w:r>
                        <w:proofErr w:type="spellEnd"/>
                        <w:r w:rsidRPr="00666E86">
                          <w:rPr>
                            <w:rStyle w:val="Hyperlink"/>
                          </w:rPr>
                          <w:t xml:space="preserve"> eligibility criteria</w:t>
                        </w:r>
                      </w:hyperlink>
                      <w:r w:rsidRPr="005C6B6B">
                        <w:t xml:space="preserve"> (other than the requirements relating to </w:t>
                      </w:r>
                      <w:r>
                        <w:t xml:space="preserve">being a </w:t>
                      </w:r>
                      <w:r w:rsidRPr="005C6B6B">
                        <w:t xml:space="preserve">current COVID-19 </w:t>
                      </w:r>
                      <w:hyperlink w:history="1" w:anchor=":~:text=Case%20definitions,-Confirmed%20case&amp;text=A%20case%20that%20has%20laboratory,a%20validated%20NAAT%20(PCR)." r:id="rId23">
                        <w:r>
                          <w:rPr>
                            <w:rStyle w:val="Hyperlink"/>
                          </w:rPr>
                          <w:t>confirmed or probable case</w:t>
                        </w:r>
                      </w:hyperlink>
                      <w:r w:rsidRPr="005C6B6B">
                        <w:t>)</w:t>
                      </w:r>
                      <w:r>
                        <w:t>.</w:t>
                      </w:r>
                    </w:p>
                    <w:p w:rsidR="0031589B" w:rsidP="0031589B" w:rsidRDefault="0031589B" w14:paraId="35BDEBD0" w14:textId="77777777">
                      <w:r>
                        <w:t xml:space="preserve">For an advance prescription to be dispensed, the patient must meet ALL of the </w:t>
                      </w:r>
                      <w:hyperlink w:history="1" r:id="rId24">
                        <w:proofErr w:type="spellStart"/>
                        <w:r w:rsidRPr="00666E86">
                          <w:rPr>
                            <w:rStyle w:val="Hyperlink"/>
                          </w:rPr>
                          <w:t>Pharmac</w:t>
                        </w:r>
                        <w:proofErr w:type="spellEnd"/>
                        <w:r w:rsidRPr="00666E86">
                          <w:rPr>
                            <w:rStyle w:val="Hyperlink"/>
                          </w:rPr>
                          <w:t xml:space="preserve"> eligibility criteria</w:t>
                        </w:r>
                      </w:hyperlink>
                      <w:r w:rsidRPr="005C6B6B">
                        <w:t xml:space="preserve"> (</w:t>
                      </w:r>
                      <w:r>
                        <w:t xml:space="preserve">including </w:t>
                      </w:r>
                      <w:r w:rsidRPr="005C6B6B">
                        <w:t xml:space="preserve">the requirements relating to </w:t>
                      </w:r>
                      <w:r>
                        <w:t xml:space="preserve">being a </w:t>
                      </w:r>
                      <w:r w:rsidRPr="005C6B6B">
                        <w:t xml:space="preserve">current COVID-19 </w:t>
                      </w:r>
                      <w:hyperlink w:history="1" w:anchor=":~:text=Case%20definitions,-Confirmed%20case&amp;text=A%20case%20that%20has%20laboratory,a%20validated%20NAAT%20(PCR)." r:id="rId25">
                        <w:r>
                          <w:rPr>
                            <w:rStyle w:val="Hyperlink"/>
                          </w:rPr>
                          <w:t>confirmed or probable case</w:t>
                        </w:r>
                      </w:hyperlink>
                      <w:r w:rsidRPr="005C6B6B">
                        <w:t>)</w:t>
                      </w:r>
                      <w:r>
                        <w:t>.</w:t>
                      </w:r>
                    </w:p>
                    <w:p w:rsidR="0031589B" w:rsidRDefault="0031589B" w14:paraId="7DF027CE" w14:textId="77777777"/>
                  </w:txbxContent>
                </v:textbox>
                <w10:anchorlock/>
              </v:roundrect>
            </w:pict>
          </mc:Fallback>
        </mc:AlternateContent>
      </w:r>
    </w:p>
    <w:p w:rsidR="00FF7073" w:rsidP="00E25AE1" w:rsidRDefault="00FF7073" w14:paraId="7253DBB9" w14:textId="740060AF">
      <w:r>
        <w:t xml:space="preserve">Advance prescriptions remain valid for 90 days, in line with existing </w:t>
      </w:r>
      <w:proofErr w:type="spellStart"/>
      <w:r w:rsidR="0092187B">
        <w:t>Pharmac</w:t>
      </w:r>
      <w:proofErr w:type="spellEnd"/>
      <w:r w:rsidR="0092187B">
        <w:t xml:space="preserve"> </w:t>
      </w:r>
      <w:r>
        <w:t xml:space="preserve">guidelines for the prescription of </w:t>
      </w:r>
      <w:r w:rsidR="00AC7872">
        <w:t xml:space="preserve">funded </w:t>
      </w:r>
      <w:r>
        <w:t>medicines.</w:t>
      </w:r>
    </w:p>
    <w:p w:rsidR="005C36F5" w:rsidP="00E25AE1" w:rsidRDefault="005C36F5" w14:paraId="3489B924" w14:textId="01AE4D03">
      <w:pPr>
        <w:pStyle w:val="Heading1"/>
      </w:pPr>
      <w:r>
        <w:t xml:space="preserve">Clinical </w:t>
      </w:r>
      <w:r w:rsidR="00187ADB">
        <w:t>assessment</w:t>
      </w:r>
    </w:p>
    <w:p w:rsidR="0012220C" w:rsidP="00A168DE" w:rsidRDefault="00931B1D" w14:paraId="489925EB" w14:textId="4C0B84D8">
      <w:r>
        <w:t xml:space="preserve">As is current practice, at each stage in the process, the responsible clinician will undertake a review to ensure it safe for the patient to take this medicine. </w:t>
      </w:r>
      <w:r w:rsidR="00187ADB">
        <w:t xml:space="preserve"> </w:t>
      </w:r>
    </w:p>
    <w:p w:rsidR="00395323" w:rsidP="00E25AE1" w:rsidRDefault="2C9FB902" w14:paraId="55DB192D" w14:textId="07F4DA6C">
      <w:r w:rsidR="342458DD">
        <w:rPr/>
        <w:t xml:space="preserve">Note that the medicine will not be dispensed until the person </w:t>
      </w:r>
      <w:r w:rsidR="0971DD6F">
        <w:rPr/>
        <w:t xml:space="preserve">has been </w:t>
      </w:r>
      <w:r w:rsidR="301391B1">
        <w:rPr/>
        <w:t>determined to be</w:t>
      </w:r>
      <w:r w:rsidR="5DBFAEB5">
        <w:rPr/>
        <w:t xml:space="preserve"> a </w:t>
      </w:r>
      <w:hyperlink w:anchor=":~:text=Case%20definitions,-Confirmed%20case&amp;text=A%20case%20that%20has%20laboratory,a%20validated%20NAAT%20(PCR)." r:id="R54fc2db895ca42ee">
        <w:r w:rsidRPr="53A05F8C" w:rsidR="47D57DEF">
          <w:rPr>
            <w:rStyle w:val="Hyperlink"/>
          </w:rPr>
          <w:t>confirmed or probable case</w:t>
        </w:r>
      </w:hyperlink>
      <w:r w:rsidR="342458DD">
        <w:rPr/>
        <w:t xml:space="preserve">, </w:t>
      </w:r>
      <w:proofErr w:type="gramStart"/>
      <w:r w:rsidR="342458DD">
        <w:rPr/>
        <w:t>therefore</w:t>
      </w:r>
      <w:proofErr w:type="gramEnd"/>
      <w:r w:rsidR="342458DD">
        <w:rPr/>
        <w:t xml:space="preserve"> advance prescriptions are not appropriate for people who are seeking COVID-19 therapeutics to take with them on overseas travel.</w:t>
      </w:r>
    </w:p>
    <w:p w:rsidRPr="00E25AE1" w:rsidR="00395323" w:rsidP="00E25AE1" w:rsidRDefault="00395323" w14:paraId="2542225C" w14:textId="5AC9C776">
      <w:pPr>
        <w:pStyle w:val="Heading1"/>
        <w:rPr>
          <w:b w:val="0"/>
          <w:bCs w:val="0"/>
        </w:rPr>
      </w:pPr>
      <w:r>
        <w:t>Prescribing</w:t>
      </w:r>
      <w:r w:rsidR="003F0CBC">
        <w:t xml:space="preserve"> and endorsements</w:t>
      </w:r>
    </w:p>
    <w:p w:rsidR="00FD1720" w:rsidP="00A168DE" w:rsidRDefault="004B4AB5" w14:paraId="68D1F5AF" w14:textId="3FEF0362">
      <w:r w:rsidRPr="00E25AE1">
        <w:rPr>
          <w:b/>
          <w:bCs/>
        </w:rPr>
        <w:t>A</w:t>
      </w:r>
      <w:r w:rsidRPr="00EA1D23" w:rsidR="007363D7">
        <w:rPr>
          <w:b/>
          <w:bCs/>
        </w:rPr>
        <w:t>dvance</w:t>
      </w:r>
      <w:r w:rsidRPr="003B3370" w:rsidR="007363D7">
        <w:rPr>
          <w:b/>
          <w:bCs/>
        </w:rPr>
        <w:t xml:space="preserve"> prescriptions for oral COVID-19 antiviral medicines will not be clinically appropriate for some patients</w:t>
      </w:r>
      <w:r w:rsidR="002D56B6">
        <w:rPr>
          <w:b/>
          <w:bCs/>
        </w:rPr>
        <w:t xml:space="preserve"> that otherwise meet the eligibility criteria</w:t>
      </w:r>
      <w:r w:rsidRPr="003B3370" w:rsidR="007363D7">
        <w:rPr>
          <w:b/>
          <w:bCs/>
        </w:rPr>
        <w:t>.</w:t>
      </w:r>
      <w:r w:rsidR="007363D7">
        <w:t xml:space="preserve"> </w:t>
      </w:r>
      <w:r w:rsidR="0073785E">
        <w:t xml:space="preserve">There is no obligation for a clinician to issue an advance prescription.  </w:t>
      </w:r>
    </w:p>
    <w:p w:rsidR="0007749D" w:rsidP="00E25AE1" w:rsidRDefault="00F544A8" w14:paraId="52AA8036" w14:textId="5F557B15">
      <w:r>
        <w:t xml:space="preserve">Prescribers must exercise their clinical judgement to consider whether it is appropriate </w:t>
      </w:r>
      <w:r w:rsidR="001038C1">
        <w:t>to issue an advance prescription in relation to the patient’s clinical needs</w:t>
      </w:r>
      <w:r w:rsidR="0007749D">
        <w:t>.  Considerations may include:</w:t>
      </w:r>
    </w:p>
    <w:p w:rsidR="00FD1720" w:rsidP="00E25AE1" w:rsidRDefault="00FD1720" w14:paraId="6D8EB527" w14:textId="0FA3F1EA">
      <w:pPr>
        <w:pStyle w:val="ListParagraph"/>
        <w:numPr>
          <w:ilvl w:val="0"/>
          <w:numId w:val="6"/>
        </w:numPr>
      </w:pPr>
      <w:r>
        <w:t>Note that the medicine will not be dispensed until the person becomes a COVID-19 case</w:t>
      </w:r>
    </w:p>
    <w:p w:rsidR="00B16CF6" w:rsidP="00E25AE1" w:rsidRDefault="00A74E55" w14:paraId="425DC60E" w14:textId="4F61949A">
      <w:pPr>
        <w:pStyle w:val="ListParagraph"/>
        <w:numPr>
          <w:ilvl w:val="0"/>
          <w:numId w:val="6"/>
        </w:numPr>
      </w:pPr>
      <w:r>
        <w:t>W</w:t>
      </w:r>
      <w:r w:rsidR="00FF7073">
        <w:t xml:space="preserve">hat is the </w:t>
      </w:r>
      <w:r w:rsidR="00367171">
        <w:t xml:space="preserve">chance of a significant change in either renal function or </w:t>
      </w:r>
      <w:r w:rsidR="00DD70B5">
        <w:t>other medicine</w:t>
      </w:r>
      <w:r w:rsidR="005D69ED">
        <w:t>s</w:t>
      </w:r>
      <w:r w:rsidR="00367171">
        <w:t xml:space="preserve"> in the next 90 days</w:t>
      </w:r>
      <w:r w:rsidR="00164D79">
        <w:t>?</w:t>
      </w:r>
    </w:p>
    <w:p w:rsidR="00F544A8" w:rsidP="00E25AE1" w:rsidRDefault="00B16CF6" w14:paraId="0AF99C0C" w14:textId="089C9E45">
      <w:pPr>
        <w:pStyle w:val="ListParagraph"/>
        <w:numPr>
          <w:ilvl w:val="0"/>
          <w:numId w:val="6"/>
        </w:numPr>
        <w:rPr/>
      </w:pPr>
      <w:r w:rsidR="7F5801B2">
        <w:rPr/>
        <w:t xml:space="preserve">Does the patient and/or </w:t>
      </w:r>
      <w:proofErr w:type="spellStart"/>
      <w:r w:rsidR="7F5801B2">
        <w:rPr/>
        <w:t>wh</w:t>
      </w:r>
      <w:proofErr w:type="spellEnd"/>
      <w:r w:rsidRPr="53A05F8C" w:rsidR="2418756E">
        <w:rPr>
          <w:lang w:val="mi-NZ"/>
        </w:rPr>
        <w:t xml:space="preserve">ānau </w:t>
      </w:r>
      <w:proofErr w:type="spellStart"/>
      <w:r w:rsidRPr="53A05F8C" w:rsidR="2418756E">
        <w:rPr>
          <w:lang w:val="mi-NZ"/>
        </w:rPr>
        <w:t>have</w:t>
      </w:r>
      <w:proofErr w:type="spellEnd"/>
      <w:r w:rsidRPr="53A05F8C" w:rsidR="2418756E">
        <w:rPr>
          <w:lang w:val="mi-NZ"/>
        </w:rPr>
        <w:t xml:space="preserve"> a </w:t>
      </w:r>
      <w:proofErr w:type="spellStart"/>
      <w:r w:rsidRPr="53A05F8C" w:rsidR="2418756E">
        <w:rPr>
          <w:lang w:val="mi-NZ"/>
        </w:rPr>
        <w:t>good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understanding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of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use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of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the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advance</w:t>
      </w:r>
      <w:proofErr w:type="spellEnd"/>
      <w:r w:rsidRPr="53A05F8C" w:rsidR="2418756E">
        <w:rPr>
          <w:lang w:val="mi-NZ"/>
        </w:rPr>
        <w:t xml:space="preserve"> </w:t>
      </w:r>
      <w:proofErr w:type="spellStart"/>
      <w:r w:rsidRPr="53A05F8C" w:rsidR="2418756E">
        <w:rPr>
          <w:lang w:val="mi-NZ"/>
        </w:rPr>
        <w:t>prescription</w:t>
      </w:r>
      <w:proofErr w:type="spellEnd"/>
      <w:r w:rsidRPr="53A05F8C" w:rsidR="541EB1AA">
        <w:rPr>
          <w:lang w:val="mi-NZ"/>
        </w:rPr>
        <w:t>?</w:t>
      </w:r>
    </w:p>
    <w:p w:rsidR="00164D79" w:rsidRDefault="00B558E2" w14:paraId="4D700CAF" w14:textId="77777777">
      <w:r w:rsidRPr="003B3370">
        <w:rPr>
          <w:b/>
          <w:bCs/>
        </w:rPr>
        <w:t xml:space="preserve">It is </w:t>
      </w:r>
      <w:r w:rsidRPr="00EA1D23">
        <w:rPr>
          <w:b/>
          <w:bCs/>
        </w:rPr>
        <w:t>critical</w:t>
      </w:r>
      <w:r w:rsidRPr="003B3370">
        <w:rPr>
          <w:b/>
          <w:bCs/>
        </w:rPr>
        <w:t xml:space="preserve"> that prescribers clearly indicate endorsements on the advance prescription</w:t>
      </w:r>
      <w:r>
        <w:t xml:space="preserve">. This will ensure important information is communicated to </w:t>
      </w:r>
      <w:r w:rsidR="00BB71AD">
        <w:t>pharmacists and</w:t>
      </w:r>
      <w:r>
        <w:t xml:space="preserve"> streamlines processes if/when a patient tests positive for COVID-19 and requires the prescription to be filled. </w:t>
      </w:r>
    </w:p>
    <w:p w:rsidR="00B558E2" w:rsidP="00E25AE1" w:rsidRDefault="00B558E2" w14:paraId="446B557C" w14:textId="557A3C81">
      <w:r>
        <w:t xml:space="preserve">The endorsements </w:t>
      </w:r>
      <w:r w:rsidRPr="00E25AE1">
        <w:rPr>
          <w:b/>
          <w:bCs/>
        </w:rPr>
        <w:t>MUST</w:t>
      </w:r>
      <w:r>
        <w:t xml:space="preserve"> include:</w:t>
      </w:r>
    </w:p>
    <w:p w:rsidR="00B558E2" w:rsidP="00E25AE1" w:rsidRDefault="00B558E2" w14:paraId="02DD3328" w14:textId="52EC468F">
      <w:pPr>
        <w:pStyle w:val="ListParagraph"/>
        <w:numPr>
          <w:ilvl w:val="0"/>
          <w:numId w:val="20"/>
        </w:numPr>
      </w:pPr>
      <w:r>
        <w:t>‘Advance Prescription.  M</w:t>
      </w:r>
      <w:r w:rsidRPr="003E571A">
        <w:t>eet</w:t>
      </w:r>
      <w:r>
        <w:t>s</w:t>
      </w:r>
      <w:r w:rsidRPr="003E571A">
        <w:t xml:space="preserve"> </w:t>
      </w:r>
      <w:proofErr w:type="spellStart"/>
      <w:r w:rsidRPr="003E571A">
        <w:t>P</w:t>
      </w:r>
      <w:r>
        <w:t>harmac</w:t>
      </w:r>
      <w:proofErr w:type="spellEnd"/>
      <w:r w:rsidRPr="003E571A">
        <w:t xml:space="preserve"> </w:t>
      </w:r>
      <w:r w:rsidR="00403367">
        <w:t xml:space="preserve">eligibility </w:t>
      </w:r>
      <w:r w:rsidRPr="003E571A">
        <w:t>criteria (other than the requirements relating to having a current COVID-19 infection)</w:t>
      </w:r>
      <w:r w:rsidR="00164D79">
        <w:t>’</w:t>
      </w:r>
    </w:p>
    <w:p w:rsidR="00B558E2" w:rsidP="00E25AE1" w:rsidRDefault="00164D79" w14:paraId="7B002E84" w14:textId="3D5FFEBB">
      <w:pPr>
        <w:pStyle w:val="ListParagraph"/>
        <w:numPr>
          <w:ilvl w:val="0"/>
          <w:numId w:val="20"/>
        </w:numPr>
      </w:pPr>
      <w:r>
        <w:t>‘</w:t>
      </w:r>
      <w:r w:rsidR="00B558E2">
        <w:t>Not to be dispensed until diagnosed with COVID-19’</w:t>
      </w:r>
    </w:p>
    <w:p w:rsidR="00B558E2" w:rsidP="00E25AE1" w:rsidRDefault="00B558E2" w14:paraId="51056581" w14:textId="77777777">
      <w:pPr>
        <w:pStyle w:val="ListParagraph"/>
        <w:numPr>
          <w:ilvl w:val="0"/>
          <w:numId w:val="20"/>
        </w:numPr>
      </w:pPr>
      <w:r>
        <w:t xml:space="preserve">Renal function information </w:t>
      </w:r>
    </w:p>
    <w:p w:rsidR="00B558E2" w:rsidP="00E25AE1" w:rsidRDefault="00B558E2" w14:paraId="5713F7D4" w14:textId="0829EF09">
      <w:pPr>
        <w:pStyle w:val="ListParagraph"/>
        <w:numPr>
          <w:ilvl w:val="0"/>
          <w:numId w:val="20"/>
        </w:numPr>
      </w:pPr>
      <w:r>
        <w:t>Prescriber’s contact details (including</w:t>
      </w:r>
      <w:r w:rsidR="00CA342C">
        <w:t xml:space="preserve"> out of hours which could be the local COVID-19 hub if appropriate)</w:t>
      </w:r>
      <w:r w:rsidR="00844D8E">
        <w:t xml:space="preserve"> </w:t>
      </w:r>
    </w:p>
    <w:p w:rsidR="00B558E2" w:rsidP="00E25AE1" w:rsidRDefault="00B558E2" w14:paraId="3417646C" w14:textId="56D144E0">
      <w:pPr>
        <w:pStyle w:val="ListParagraph"/>
        <w:numPr>
          <w:ilvl w:val="0"/>
          <w:numId w:val="20"/>
        </w:numPr>
      </w:pPr>
      <w:r w:rsidRPr="00B25684">
        <w:t xml:space="preserve">‘Non-funded’ if </w:t>
      </w:r>
      <w:r w:rsidRPr="00B25684" w:rsidR="002364EE">
        <w:t>privately funded</w:t>
      </w:r>
      <w:r w:rsidRPr="00B25684">
        <w:t xml:space="preserve"> </w:t>
      </w:r>
      <w:proofErr w:type="spellStart"/>
      <w:r w:rsidR="00403367">
        <w:t>m</w:t>
      </w:r>
      <w:r w:rsidRPr="00B25684">
        <w:t>olnupiravir</w:t>
      </w:r>
      <w:proofErr w:type="spellEnd"/>
    </w:p>
    <w:p w:rsidR="0096751F" w:rsidP="00E76626" w:rsidRDefault="000F4712" w14:paraId="0FF152D5" w14:textId="27668F4D">
      <w:r w:rsidRPr="53A05F8C" w:rsidR="1DA85EDF">
        <w:rPr>
          <w:sz w:val="22"/>
          <w:szCs w:val="22"/>
        </w:rPr>
        <w:t>Electronic</w:t>
      </w:r>
      <w:r w:rsidRPr="53A05F8C" w:rsidR="1DA85EDF">
        <w:rPr>
          <w:color w:val="242424"/>
          <w:sz w:val="22"/>
          <w:szCs w:val="22"/>
        </w:rPr>
        <w:t xml:space="preserve"> prescriptions are preferred over paper prescriptions. </w:t>
      </w:r>
      <w:r w:rsidRPr="53A05F8C" w:rsidR="6A6224D3">
        <w:rPr>
          <w:color w:val="242424"/>
          <w:sz w:val="22"/>
          <w:szCs w:val="22"/>
        </w:rPr>
        <w:t xml:space="preserve"> </w:t>
      </w:r>
      <w:r w:rsidRPr="53A05F8C" w:rsidR="1DA85EDF">
        <w:rPr>
          <w:color w:val="242424"/>
          <w:sz w:val="22"/>
          <w:szCs w:val="22"/>
        </w:rPr>
        <w:t>Before issuing an advance prescription, prescribers should consider which pharmacy is most appropriate. Considerations should include patient/</w:t>
      </w:r>
      <w:r w:rsidRPr="53A05F8C" w:rsidR="1DA85EDF">
        <w:rPr>
          <w:color w:val="242424"/>
          <w:sz w:val="22"/>
          <w:szCs w:val="22"/>
        </w:rPr>
        <w:t>whānau</w:t>
      </w:r>
      <w:r w:rsidRPr="53A05F8C" w:rsidR="1DA85EDF">
        <w:rPr>
          <w:color w:val="242424"/>
          <w:sz w:val="22"/>
          <w:szCs w:val="22"/>
        </w:rPr>
        <w:t xml:space="preserve"> preference, </w:t>
      </w:r>
      <w:r w:rsidRPr="53A05F8C" w:rsidR="1DA85EDF">
        <w:rPr>
          <w:color w:val="242424"/>
          <w:sz w:val="22"/>
          <w:szCs w:val="22"/>
        </w:rPr>
        <w:t xml:space="preserve">any planned domestic travel, </w:t>
      </w:r>
      <w:r w:rsidRPr="53A05F8C" w:rsidR="1DA85EDF">
        <w:rPr>
          <w:color w:val="242424"/>
          <w:sz w:val="22"/>
          <w:szCs w:val="22"/>
        </w:rPr>
        <w:t>extended opening hours, and current pharmacy suppliers of these medicines</w:t>
      </w:r>
      <w:r w:rsidRPr="53A05F8C" w:rsidR="1DA85EDF">
        <w:rPr>
          <w:sz w:val="22"/>
          <w:szCs w:val="22"/>
        </w:rPr>
        <w:t xml:space="preserve">.  </w:t>
      </w:r>
      <w:r w:rsidRPr="53A05F8C" w:rsidR="4CE4C289">
        <w:rPr>
          <w:sz w:val="22"/>
          <w:szCs w:val="22"/>
        </w:rPr>
        <w:t>Healthpoint</w:t>
      </w:r>
      <w:r w:rsidR="1DA85EDF">
        <w:rPr/>
        <w:t xml:space="preserve"> holds details of </w:t>
      </w:r>
      <w:hyperlink r:id="R5ec85c8edced4ff5">
        <w:r w:rsidRPr="53A05F8C" w:rsidR="1DA85EDF">
          <w:rPr>
            <w:rStyle w:val="Hyperlink"/>
          </w:rPr>
          <w:t>supplying pharmacies</w:t>
        </w:r>
      </w:hyperlink>
      <w:r w:rsidRPr="53A05F8C" w:rsidR="448342FC">
        <w:rPr>
          <w:rStyle w:val="Hyperlink"/>
        </w:rPr>
        <w:t xml:space="preserve">.  </w:t>
      </w:r>
      <w:r w:rsidR="448342FC">
        <w:rPr/>
        <w:t>To search: By Service, select ‘Pharmacy’; Service Area, select ‘COVID-19 antiviral medicines (if you have a prescription from your doctor or nurse</w:t>
      </w:r>
      <w:r w:rsidR="448342FC">
        <w:rPr/>
        <w:t>)’</w:t>
      </w:r>
      <w:r w:rsidR="55389F99">
        <w:rPr/>
        <w:t>.</w:t>
      </w:r>
    </w:p>
    <w:p w:rsidR="0096751F" w:rsidP="0096751F" w:rsidRDefault="0096751F" w14:paraId="05384019" w14:textId="77777777">
      <w:pPr>
        <w:pStyle w:val="Heading1"/>
      </w:pPr>
      <w:r>
        <w:t>Expiration of advance prescription</w:t>
      </w:r>
    </w:p>
    <w:p w:rsidR="0096751F" w:rsidP="00E76626" w:rsidRDefault="0096751F" w14:paraId="76D1A01B" w14:textId="60560D40">
      <w:r>
        <w:t>An advance prescription done for COVID-19 antiviral medication will expire 90 days after the prescription is issued (as per standard prescriptions). It is therefore important to ensure patients are aware of this.</w:t>
      </w:r>
    </w:p>
    <w:p w:rsidR="000D1C04" w:rsidP="00E76626" w:rsidRDefault="000D1C04" w14:paraId="3FADF738" w14:textId="37E1B839">
      <w:pPr>
        <w:pStyle w:val="Heading1"/>
      </w:pPr>
      <w:bookmarkStart w:name="_Hlk125622176" w:id="8"/>
      <w:r>
        <w:t>Dispensing</w:t>
      </w:r>
    </w:p>
    <w:p w:rsidR="0098250D" w:rsidP="00E76626" w:rsidRDefault="283039EC" w14:paraId="5B01641D" w14:textId="499EF94C">
      <w:r>
        <w:t xml:space="preserve">When a patient </w:t>
      </w:r>
      <w:r w:rsidR="05FF479C">
        <w:t xml:space="preserve">develops COVID-19 and proceeds to fill the prescription, </w:t>
      </w:r>
      <w:r w:rsidR="000D1C04">
        <w:t xml:space="preserve">the </w:t>
      </w:r>
      <w:r w:rsidR="05FF479C">
        <w:t xml:space="preserve">pharmacist </w:t>
      </w:r>
      <w:r w:rsidR="02A998A5">
        <w:t>undertake</w:t>
      </w:r>
      <w:r w:rsidR="003F0CBC">
        <w:t>s</w:t>
      </w:r>
      <w:r w:rsidR="02A998A5">
        <w:t xml:space="preserve"> a clinical</w:t>
      </w:r>
      <w:r w:rsidR="000D1C04">
        <w:t>, lab</w:t>
      </w:r>
      <w:r w:rsidR="00975C25">
        <w:t>oratory test</w:t>
      </w:r>
      <w:r w:rsidR="000D1C04">
        <w:t xml:space="preserve"> (if necessary)</w:t>
      </w:r>
      <w:r w:rsidR="00164D79">
        <w:t>,</w:t>
      </w:r>
      <w:r w:rsidR="02A998A5">
        <w:t xml:space="preserve"> and medicines review, following existing processes</w:t>
      </w:r>
      <w:r w:rsidR="00246EDE">
        <w:t xml:space="preserve">.  </w:t>
      </w:r>
      <w:r w:rsidR="0098250D">
        <w:t>Considerations may include:</w:t>
      </w:r>
    </w:p>
    <w:bookmarkEnd w:id="8"/>
    <w:p w:rsidRPr="00E73E14" w:rsidR="00567B9B" w:rsidP="00E76626" w:rsidRDefault="0098250D" w14:paraId="4DE1162B" w14:textId="458F0F90">
      <w:pPr>
        <w:pStyle w:val="ListParagraph"/>
        <w:numPr>
          <w:ilvl w:val="0"/>
          <w:numId w:val="6"/>
        </w:numPr>
      </w:pPr>
      <w:r w:rsidRPr="00E76626">
        <w:t>C</w:t>
      </w:r>
      <w:r w:rsidRPr="00E76626" w:rsidR="00405684">
        <w:t xml:space="preserve">urrent clinical assessment </w:t>
      </w:r>
      <w:r w:rsidRPr="008B7DF3" w:rsidR="00405684">
        <w:t xml:space="preserve">– is the </w:t>
      </w:r>
      <w:r w:rsidRPr="00FD1E9D" w:rsidR="00405684">
        <w:t>patient currently very unwell</w:t>
      </w:r>
      <w:r w:rsidR="00164D79">
        <w:t>? C</w:t>
      </w:r>
      <w:r w:rsidRPr="00FD1E9D" w:rsidR="00405684">
        <w:t>ould there be an alternative diagnosis</w:t>
      </w:r>
      <w:r w:rsidR="00164D79">
        <w:t>?</w:t>
      </w:r>
    </w:p>
    <w:p w:rsidRPr="00E76626" w:rsidR="00DB7478" w:rsidP="00E76626" w:rsidRDefault="00567B9B" w14:paraId="21300D2B" w14:textId="72CEBF09">
      <w:pPr>
        <w:pStyle w:val="ListParagraph"/>
        <w:numPr>
          <w:ilvl w:val="0"/>
          <w:numId w:val="6"/>
        </w:numPr>
      </w:pPr>
      <w:r w:rsidRPr="00E76626">
        <w:t xml:space="preserve">Is renal function or </w:t>
      </w:r>
      <w:r w:rsidR="008818A5">
        <w:t>other medicines</w:t>
      </w:r>
      <w:r w:rsidRPr="00E76626">
        <w:t xml:space="preserve"> likely to have changed since the prescription was issued</w:t>
      </w:r>
      <w:r w:rsidR="00164D79">
        <w:t>?</w:t>
      </w:r>
    </w:p>
    <w:p w:rsidRPr="00E76626" w:rsidR="00DB7478" w:rsidP="00E76626" w:rsidRDefault="00DB7478" w14:paraId="3BBC4684" w14:textId="47BBF194">
      <w:pPr>
        <w:pStyle w:val="ListParagraph"/>
        <w:numPr>
          <w:ilvl w:val="0"/>
          <w:numId w:val="6"/>
        </w:numPr>
      </w:pPr>
      <w:r w:rsidRPr="00E76626">
        <w:t xml:space="preserve">Are there any new </w:t>
      </w:r>
      <w:r w:rsidR="00FD71F8">
        <w:t xml:space="preserve">medicines </w:t>
      </w:r>
      <w:r w:rsidR="00FD1720">
        <w:t xml:space="preserve">that </w:t>
      </w:r>
      <w:r w:rsidRPr="00E76626" w:rsidR="00FD1720">
        <w:t>interact</w:t>
      </w:r>
      <w:r w:rsidR="00FD71F8">
        <w:t xml:space="preserve"> with the COVID-19 antiviral</w:t>
      </w:r>
      <w:r w:rsidRPr="00EA1D23" w:rsidR="00BB71AD">
        <w:t>?</w:t>
      </w:r>
    </w:p>
    <w:p w:rsidR="003E2933" w:rsidP="00E76626" w:rsidRDefault="003E2933" w14:paraId="3B5D8BCC" w14:textId="237356BE">
      <w:pPr>
        <w:pStyle w:val="ListParagraph"/>
        <w:numPr>
          <w:ilvl w:val="0"/>
          <w:numId w:val="6"/>
        </w:numPr>
      </w:pPr>
      <w:r>
        <w:t xml:space="preserve">Does the patient and/or </w:t>
      </w:r>
      <w:proofErr w:type="spellStart"/>
      <w:r>
        <w:t>whānau</w:t>
      </w:r>
      <w:proofErr w:type="spellEnd"/>
      <w:r>
        <w:t xml:space="preserve"> </w:t>
      </w:r>
      <w:r w:rsidR="00435E5E">
        <w:t>understand how to use the medicine, its side effects, when to seek medical advice, and substances to avoid while taking it</w:t>
      </w:r>
      <w:r w:rsidR="00CD465A">
        <w:t>?</w:t>
      </w:r>
    </w:p>
    <w:p w:rsidRPr="0085474E" w:rsidR="0085474E" w:rsidP="00E76626" w:rsidRDefault="188E6DD1" w14:paraId="358ACFE9" w14:textId="03A5B394">
      <w:pPr>
        <w:pStyle w:val="ListParagraph"/>
        <w:numPr>
          <w:ilvl w:val="0"/>
          <w:numId w:val="6"/>
        </w:numPr>
      </w:pPr>
      <w:r>
        <w:t xml:space="preserve">Referral back to the prescriber may be necessary if </w:t>
      </w:r>
      <w:r w:rsidR="002E1EBA">
        <w:t xml:space="preserve">the </w:t>
      </w:r>
      <w:r>
        <w:t xml:space="preserve">clinical situation has changed since </w:t>
      </w:r>
      <w:r w:rsidR="002E1EBA">
        <w:t xml:space="preserve">the </w:t>
      </w:r>
      <w:r>
        <w:t xml:space="preserve">prescription </w:t>
      </w:r>
      <w:r w:rsidR="002E1EBA">
        <w:t xml:space="preserve">was </w:t>
      </w:r>
      <w:r>
        <w:t xml:space="preserve">issued. </w:t>
      </w:r>
    </w:p>
    <w:p w:rsidR="00BF1CC3" w:rsidP="53A05F8C" w:rsidRDefault="00BF1CC3" w14:paraId="1031D5C7" w14:textId="38A6BF15">
      <w:pPr>
        <w:rPr>
          <w:rFonts w:eastAsia="游明朝" w:eastAsiaTheme="minorEastAsia"/>
        </w:rPr>
      </w:pPr>
      <w:r w:rsidRPr="53A05F8C" w:rsidR="48E5A00F">
        <w:rPr>
          <w:color w:val="242424"/>
          <w:sz w:val="22"/>
          <w:szCs w:val="22"/>
        </w:rPr>
        <w:t>COVID</w:t>
      </w:r>
      <w:r w:rsidRPr="53A05F8C" w:rsidR="48E5A00F">
        <w:rPr>
          <w:rFonts w:eastAsia="游明朝" w:eastAsiaTheme="minorEastAsia"/>
          <w:sz w:val="22"/>
          <w:szCs w:val="22"/>
        </w:rPr>
        <w:t>-</w:t>
      </w:r>
      <w:r w:rsidRPr="53A05F8C" w:rsidR="48E5A00F">
        <w:rPr>
          <w:rFonts w:eastAsia="游明朝" w:eastAsiaTheme="minorEastAsia"/>
          <w:sz w:val="22"/>
          <w:szCs w:val="22"/>
        </w:rPr>
        <w:t xml:space="preserve">19 is self-reported under current high trust settings.  </w:t>
      </w:r>
      <w:r w:rsidRPr="53A05F8C" w:rsidR="66570E32">
        <w:rPr>
          <w:rFonts w:eastAsia="游明朝" w:eastAsiaTheme="minorEastAsia"/>
        </w:rPr>
        <w:t xml:space="preserve">If a patient </w:t>
      </w:r>
      <w:r w:rsidRPr="53A05F8C" w:rsidR="1A3C2708">
        <w:rPr>
          <w:rFonts w:eastAsia="游明朝" w:eastAsiaTheme="minorEastAsia"/>
        </w:rPr>
        <w:t xml:space="preserve">has </w:t>
      </w:r>
      <w:r w:rsidRPr="53A05F8C" w:rsidR="66570E32">
        <w:rPr>
          <w:rFonts w:eastAsia="游明朝" w:eastAsiaTheme="minorEastAsia"/>
        </w:rPr>
        <w:t>self-report</w:t>
      </w:r>
      <w:r w:rsidRPr="53A05F8C" w:rsidR="1A3C2708">
        <w:rPr>
          <w:rFonts w:eastAsia="游明朝" w:eastAsiaTheme="minorEastAsia"/>
        </w:rPr>
        <w:t>ed</w:t>
      </w:r>
      <w:r w:rsidRPr="53A05F8C" w:rsidR="66570E32">
        <w:rPr>
          <w:rFonts w:eastAsia="游明朝" w:eastAsiaTheme="minorEastAsia"/>
        </w:rPr>
        <w:t xml:space="preserve"> a positive </w:t>
      </w:r>
      <w:r w:rsidRPr="53A05F8C" w:rsidR="3D1FCDA0">
        <w:rPr>
          <w:rFonts w:eastAsia="游明朝" w:eastAsiaTheme="minorEastAsia"/>
        </w:rPr>
        <w:t>RAT</w:t>
      </w:r>
      <w:r w:rsidRPr="53A05F8C" w:rsidR="37F9E940">
        <w:rPr>
          <w:rFonts w:eastAsia="游明朝" w:eastAsiaTheme="minorEastAsia"/>
        </w:rPr>
        <w:t xml:space="preserve"> through My COVID Record</w:t>
      </w:r>
      <w:r w:rsidRPr="53A05F8C" w:rsidR="66570E32">
        <w:rPr>
          <w:rFonts w:eastAsia="游明朝" w:eastAsiaTheme="minorEastAsia"/>
        </w:rPr>
        <w:t>, it can be seen in the COVID Care in the Community Module (CCCM)</w:t>
      </w:r>
      <w:r w:rsidRPr="53A05F8C" w:rsidR="1DA85EDF">
        <w:rPr>
          <w:rFonts w:eastAsia="游明朝" w:eastAsiaTheme="minorEastAsia"/>
        </w:rPr>
        <w:t xml:space="preserve"> el</w:t>
      </w:r>
      <w:r w:rsidRPr="53A05F8C" w:rsidR="6AC3389A">
        <w:rPr>
          <w:rFonts w:eastAsia="游明朝" w:eastAsiaTheme="minorEastAsia"/>
        </w:rPr>
        <w:t>ectronic system</w:t>
      </w:r>
      <w:r w:rsidRPr="53A05F8C" w:rsidR="7BF7DC4C">
        <w:rPr>
          <w:rFonts w:eastAsia="游明朝" w:eastAsiaTheme="minorEastAsia"/>
        </w:rPr>
        <w:t xml:space="preserve">.  If the patient has not yet self-reported their positive test, the pharmacist should encourage </w:t>
      </w:r>
      <w:r w:rsidRPr="53A05F8C" w:rsidR="1A3C2708">
        <w:rPr>
          <w:rFonts w:eastAsia="游明朝" w:eastAsiaTheme="minorEastAsia"/>
        </w:rPr>
        <w:t xml:space="preserve">or assist </w:t>
      </w:r>
      <w:r w:rsidRPr="53A05F8C" w:rsidR="541EB1AA">
        <w:rPr>
          <w:rFonts w:eastAsia="游明朝" w:eastAsiaTheme="minorEastAsia"/>
        </w:rPr>
        <w:t>them</w:t>
      </w:r>
      <w:r w:rsidRPr="53A05F8C" w:rsidR="1A3C2708">
        <w:rPr>
          <w:rFonts w:eastAsia="游明朝" w:eastAsiaTheme="minorEastAsia"/>
        </w:rPr>
        <w:t xml:space="preserve"> to do so</w:t>
      </w:r>
      <w:r w:rsidRPr="53A05F8C" w:rsidR="23B62B7F">
        <w:rPr>
          <w:rFonts w:eastAsia="游明朝" w:eastAsiaTheme="minorEastAsia"/>
        </w:rPr>
        <w:t xml:space="preserve">, to ensure </w:t>
      </w:r>
      <w:r w:rsidRPr="53A05F8C" w:rsidR="711F6924">
        <w:rPr>
          <w:rFonts w:eastAsia="游明朝" w:eastAsiaTheme="minorEastAsia"/>
        </w:rPr>
        <w:t>appropriate follow-up and monitoring</w:t>
      </w:r>
      <w:r w:rsidRPr="53A05F8C" w:rsidR="6AC3389A">
        <w:rPr>
          <w:rFonts w:eastAsia="游明朝" w:eastAsiaTheme="minorEastAsia"/>
        </w:rPr>
        <w:t xml:space="preserve"> can occur.</w:t>
      </w:r>
      <w:r w:rsidRPr="53A05F8C" w:rsidR="33E7DBCD">
        <w:rPr>
          <w:rFonts w:eastAsia="游明朝" w:eastAsiaTheme="minorEastAsia"/>
        </w:rPr>
        <w:t xml:space="preserve"> If the </w:t>
      </w:r>
      <w:r w:rsidRPr="53A05F8C" w:rsidR="773CB63D">
        <w:rPr>
          <w:rFonts w:eastAsia="游明朝" w:eastAsiaTheme="minorEastAsia"/>
        </w:rPr>
        <w:t>patient is unable, or refuses</w:t>
      </w:r>
      <w:r w:rsidRPr="53A05F8C" w:rsidR="28F48389">
        <w:rPr>
          <w:rFonts w:eastAsia="游明朝" w:eastAsiaTheme="minorEastAsia"/>
        </w:rPr>
        <w:t>,</w:t>
      </w:r>
      <w:r w:rsidRPr="53A05F8C" w:rsidR="773CB63D">
        <w:rPr>
          <w:rFonts w:eastAsia="游明朝" w:eastAsiaTheme="minorEastAsia"/>
        </w:rPr>
        <w:t xml:space="preserve"> to log their positive RAT</w:t>
      </w:r>
      <w:r w:rsidRPr="53A05F8C" w:rsidR="232F62FE">
        <w:rPr>
          <w:rFonts w:eastAsia="游明朝" w:eastAsiaTheme="minorEastAsia"/>
        </w:rPr>
        <w:t xml:space="preserve"> </w:t>
      </w:r>
      <w:r w:rsidRPr="53A05F8C" w:rsidR="1A0F870B">
        <w:rPr>
          <w:rFonts w:eastAsia="游明朝" w:eastAsiaTheme="minorEastAsia"/>
        </w:rPr>
        <w:t xml:space="preserve">result </w:t>
      </w:r>
      <w:r w:rsidRPr="53A05F8C" w:rsidR="232F62FE">
        <w:rPr>
          <w:rFonts w:eastAsia="游明朝" w:eastAsiaTheme="minorEastAsia"/>
        </w:rPr>
        <w:t>in My COVID Record</w:t>
      </w:r>
      <w:r w:rsidRPr="53A05F8C" w:rsidR="28F48389">
        <w:rPr>
          <w:rFonts w:eastAsia="游明朝" w:eastAsiaTheme="minorEastAsia"/>
        </w:rPr>
        <w:t>,</w:t>
      </w:r>
      <w:r w:rsidRPr="53A05F8C" w:rsidR="232F62FE">
        <w:rPr>
          <w:rFonts w:eastAsia="游明朝" w:eastAsiaTheme="minorEastAsia"/>
        </w:rPr>
        <w:t xml:space="preserve"> the pharmacist must create a case in CCCM. Refer to the CCCM training material on how to</w:t>
      </w:r>
      <w:r w:rsidRPr="53A05F8C" w:rsidR="42753BFB">
        <w:rPr>
          <w:rFonts w:eastAsia="游明朝" w:eastAsiaTheme="minorEastAsia"/>
        </w:rPr>
        <w:t xml:space="preserve"> </w:t>
      </w:r>
      <w:r w:rsidRPr="53A05F8C" w:rsidR="42D79439">
        <w:rPr>
          <w:rFonts w:eastAsia="游明朝" w:eastAsiaTheme="minorEastAsia"/>
        </w:rPr>
        <w:t>achieve</w:t>
      </w:r>
      <w:r w:rsidRPr="53A05F8C" w:rsidR="42753BFB">
        <w:rPr>
          <w:rFonts w:eastAsia="游明朝" w:eastAsiaTheme="minorEastAsia"/>
        </w:rPr>
        <w:t xml:space="preserve"> this.</w:t>
      </w:r>
    </w:p>
    <w:p w:rsidR="6AF9BF9E" w:rsidP="00DA3E23" w:rsidRDefault="6AF9BF9E" w14:paraId="0CE6162D" w14:textId="07812F6F">
      <w:r>
        <w:lastRenderedPageBreak/>
        <w:t xml:space="preserve">Once dispensed, </w:t>
      </w:r>
      <w:r w:rsidR="00A470B7">
        <w:t xml:space="preserve">the </w:t>
      </w:r>
      <w:r>
        <w:t xml:space="preserve">COVID-19 </w:t>
      </w:r>
      <w:r w:rsidR="00F33722">
        <w:t>antiviral medicine</w:t>
      </w:r>
      <w:r>
        <w:t xml:space="preserve"> should be delivered to the patient</w:t>
      </w:r>
      <w:r w:rsidR="00F82F9B">
        <w:t>’s home (or place of self-isolation)</w:t>
      </w:r>
      <w:r>
        <w:t xml:space="preserve"> if required (</w:t>
      </w:r>
      <w:proofErr w:type="gramStart"/>
      <w:r>
        <w:t>i.e.</w:t>
      </w:r>
      <w:proofErr w:type="gramEnd"/>
      <w:r>
        <w:t xml:space="preserve"> if they do not have </w:t>
      </w:r>
      <w:proofErr w:type="spellStart"/>
      <w:r>
        <w:t>whānau</w:t>
      </w:r>
      <w:proofErr w:type="spellEnd"/>
      <w:r>
        <w:t xml:space="preserve"> or friends who can collect on their behalf)</w:t>
      </w:r>
      <w:r w:rsidR="00A0615D">
        <w:t>.</w:t>
      </w:r>
    </w:p>
    <w:p w:rsidR="00EA734B" w:rsidP="00DA3E23" w:rsidRDefault="00EA734B" w14:paraId="29B6D701" w14:textId="77777777"/>
    <w:p w:rsidRPr="00EA1D23" w:rsidR="00FD1E9D" w:rsidP="00E76626" w:rsidRDefault="00F36324" w14:paraId="30691CAB" w14:textId="6201A1C1">
      <w:pPr>
        <w:pStyle w:val="Heading1"/>
      </w:pPr>
      <w:r>
        <w:t>Information for consumers</w:t>
      </w:r>
    </w:p>
    <w:p w:rsidRPr="00E76626" w:rsidR="00D568F0" w:rsidP="00E76626" w:rsidRDefault="003462B6" w14:paraId="3F4CA5AF" w14:textId="3F2EB24E">
      <w:r w:rsidRPr="00E76626">
        <w:t>It is important for the prescriber</w:t>
      </w:r>
      <w:r w:rsidRPr="00E76626" w:rsidR="00E04AB7">
        <w:t xml:space="preserve"> and </w:t>
      </w:r>
      <w:r w:rsidR="00D623AB">
        <w:t xml:space="preserve">pharmacist </w:t>
      </w:r>
      <w:r w:rsidRPr="00E76626" w:rsidR="00E04AB7">
        <w:t>to discuss</w:t>
      </w:r>
      <w:r w:rsidRPr="00E76626">
        <w:t xml:space="preserve"> with the patient </w:t>
      </w:r>
      <w:r w:rsidRPr="00E76626" w:rsidR="00E04AB7">
        <w:t xml:space="preserve">correct use of the medicine, </w:t>
      </w:r>
      <w:r w:rsidRPr="00E76626" w:rsidR="00D568F0">
        <w:t xml:space="preserve">its </w:t>
      </w:r>
      <w:r w:rsidRPr="00E76626" w:rsidR="00E04AB7">
        <w:t>side effects, when to seek medical advice,</w:t>
      </w:r>
      <w:r w:rsidRPr="00E76626" w:rsidR="00D568F0">
        <w:t xml:space="preserve"> and</w:t>
      </w:r>
      <w:r w:rsidRPr="00E76626" w:rsidR="00E04AB7">
        <w:t xml:space="preserve"> </w:t>
      </w:r>
      <w:r w:rsidR="002B4942">
        <w:t>medicines</w:t>
      </w:r>
      <w:r w:rsidRPr="00E76626" w:rsidR="00E04AB7">
        <w:t xml:space="preserve"> to avoid </w:t>
      </w:r>
      <w:r w:rsidRPr="00E76626" w:rsidR="00D568F0">
        <w:t>while taking it.</w:t>
      </w:r>
    </w:p>
    <w:p w:rsidRPr="00E76626" w:rsidR="00A63516" w:rsidP="00E76626" w:rsidRDefault="00BA3ED8" w14:paraId="6B2014C5" w14:textId="126E545B">
      <w:r w:rsidRPr="00E76626">
        <w:t>I</w:t>
      </w:r>
      <w:r w:rsidRPr="00E76626" w:rsidR="00A63516">
        <w:t xml:space="preserve">nterpreter services </w:t>
      </w:r>
      <w:r w:rsidRPr="00E76626">
        <w:t xml:space="preserve">should be utilised </w:t>
      </w:r>
      <w:r w:rsidRPr="00E76626" w:rsidR="00A63516">
        <w:t xml:space="preserve">where required.  </w:t>
      </w:r>
      <w:proofErr w:type="spellStart"/>
      <w:r w:rsidRPr="00E76626" w:rsidR="00447DC0">
        <w:t>W</w:t>
      </w:r>
      <w:r w:rsidRPr="00E76626" w:rsidR="00A63516">
        <w:t>hānau</w:t>
      </w:r>
      <w:proofErr w:type="spellEnd"/>
      <w:r w:rsidRPr="00E76626" w:rsidR="00A63516">
        <w:t xml:space="preserve"> and others should be part of consultation </w:t>
      </w:r>
      <w:r w:rsidRPr="00E76626" w:rsidR="00447DC0">
        <w:t>as appropriate</w:t>
      </w:r>
      <w:r w:rsidRPr="00E76626" w:rsidR="0076074F">
        <w:t>.</w:t>
      </w:r>
    </w:p>
    <w:p w:rsidR="00A63516" w:rsidP="00E76626" w:rsidRDefault="00F56622" w14:paraId="48C9B769" w14:textId="31A3DF3B">
      <w:r w:rsidRPr="00E76626">
        <w:t xml:space="preserve">The </w:t>
      </w:r>
      <w:r w:rsidRPr="00E76626" w:rsidR="00A63516">
        <w:t xml:space="preserve">importance of not sharing these medicines with family and friends </w:t>
      </w:r>
      <w:r w:rsidRPr="00E76626">
        <w:t>should be emphasised</w:t>
      </w:r>
      <w:r w:rsidR="007921BD">
        <w:t>.</w:t>
      </w:r>
    </w:p>
    <w:p w:rsidRPr="00E76626" w:rsidR="00D2073E" w:rsidP="00E76626" w:rsidRDefault="00D2073E" w14:paraId="1B9ED5CD" w14:textId="2BE5A95B">
      <w:r>
        <w:t>Explaining to the patient that the advance prescription expires 90 days after it has been issued.</w:t>
      </w:r>
    </w:p>
    <w:p w:rsidRPr="00E76626" w:rsidR="00F56622" w:rsidP="00E76626" w:rsidRDefault="00F3356F" w14:paraId="1EB86311" w14:textId="5D20821C">
      <w:r w:rsidRPr="00E76626">
        <w:t xml:space="preserve">Many people experience an unpleasant </w:t>
      </w:r>
      <w:r w:rsidRPr="00E76626" w:rsidR="0026473C">
        <w:t xml:space="preserve">taste in the mouth </w:t>
      </w:r>
      <w:r w:rsidRPr="00E76626" w:rsidR="005A2520">
        <w:t xml:space="preserve">while taking </w:t>
      </w:r>
      <w:proofErr w:type="spellStart"/>
      <w:r w:rsidRPr="00E76626" w:rsidR="005A2520">
        <w:t>Paxlovid</w:t>
      </w:r>
      <w:proofErr w:type="spellEnd"/>
      <w:r w:rsidRPr="00E76626" w:rsidR="005A2520">
        <w:t>.  The importance of completing the full course despite this should be emphasised</w:t>
      </w:r>
      <w:r w:rsidR="007921BD">
        <w:t>.</w:t>
      </w:r>
      <w:r w:rsidRPr="00E76626" w:rsidR="005A2520">
        <w:t xml:space="preserve"> </w:t>
      </w:r>
    </w:p>
    <w:p w:rsidRPr="0054161F" w:rsidR="00FD1E9D" w:rsidP="00E76626" w:rsidRDefault="00FD1E9D" w14:paraId="4BE911FF" w14:textId="44B8CE8C">
      <w:pPr>
        <w:sectPr w:rsidRPr="0054161F" w:rsidR="00FD1E9D" w:rsidSect="004777D6">
          <w:headerReference w:type="default" r:id="rId28"/>
          <w:footerReference w:type="default" r:id="rId29"/>
          <w:pgSz w:w="11906" w:h="16838" w:orient="portrait"/>
          <w:pgMar w:top="1440" w:right="1440" w:bottom="1134" w:left="1440" w:header="709" w:footer="567" w:gutter="0"/>
          <w:cols w:space="708"/>
          <w:docGrid w:linePitch="360"/>
        </w:sectPr>
      </w:pPr>
    </w:p>
    <w:p w:rsidR="00AA75FC" w:rsidP="00E76626" w:rsidRDefault="00AA75FC" w14:paraId="1EFF611A" w14:textId="544ABDFD">
      <w:pPr>
        <w:pStyle w:val="Heading1"/>
      </w:pPr>
      <w:r w:rsidRPr="00833ECA">
        <w:lastRenderedPageBreak/>
        <w:t xml:space="preserve">Process Map – </w:t>
      </w:r>
      <w:r>
        <w:t>Advance p</w:t>
      </w:r>
      <w:r w:rsidRPr="00833ECA">
        <w:t xml:space="preserve">rescriptions for </w:t>
      </w:r>
      <w:r>
        <w:t xml:space="preserve">Oral </w:t>
      </w:r>
      <w:r w:rsidRPr="00833ECA">
        <w:t xml:space="preserve">COVID-19 </w:t>
      </w:r>
      <w:r>
        <w:t>antiviral medicines</w:t>
      </w:r>
    </w:p>
    <w:p w:rsidRPr="00F50B03" w:rsidR="00F50B03" w:rsidP="00F50B03" w:rsidRDefault="00352179" w14:paraId="5E2A96EF" w14:textId="3A4B8DD8">
      <w:r w:rsidRPr="00833EC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2420DE" wp14:editId="22D4E730">
                <wp:simplePos x="0" y="0"/>
                <wp:positionH relativeFrom="column">
                  <wp:posOffset>3781425</wp:posOffset>
                </wp:positionH>
                <wp:positionV relativeFrom="paragraph">
                  <wp:posOffset>78105</wp:posOffset>
                </wp:positionV>
                <wp:extent cx="3509645" cy="539750"/>
                <wp:effectExtent l="0" t="0" r="0" b="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645" cy="539750"/>
                        </a:xfrm>
                        <a:prstGeom prst="homePlate">
                          <a:avLst/>
                        </a:prstGeom>
                        <a:solidFill>
                          <a:srgbClr val="3F3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33ECA" w:rsidR="00AA75FC" w:rsidP="00E76626" w:rsidRDefault="00AA75FC" w14:paraId="292B1E2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Medicine is prescribed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rto="http://schemas.microsoft.com/office/word/2006/arto">
            <w:pict>
              <v:shapetype id="_x0000_t15" coordsize="21600,21600" o:spt="15" adj="16200" path="m@0,l,,,21600@0,21600,21600,10800xe" w14:anchorId="542420DE">
                <v:stroke joinstyle="miter"/>
                <v:formulas>
                  <v:f eqn="val #0"/>
                  <v:f eqn="prod #0 1 2"/>
                </v:formulas>
                <v:path textboxrect="0,0,10800,21600;0,0,16200,21600;0,0,21600,21600" gradientshapeok="t" o:connecttype="custom" o:connectlocs="@1,0;0,10800;@1,21600;21600,10800" o:connectangles="270,180,90,0"/>
                <v:handles>
                  <v:h position="#0,topLeft" xrange="0,21600"/>
                </v:handles>
              </v:shapetype>
              <v:shape id="Arrow: Pentagon 4" style="position:absolute;margin-left:297.75pt;margin-top:6.15pt;width:276.3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3f3953" stroked="f" strokeweight="1pt" type="#_x0000_t15" adj="1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">
                <v:textbox inset=",0,,0">
                  <w:txbxContent>
                    <w:p w:rsidRPr="00833ECA" w:rsidR="00AA75FC" w:rsidP="00E76626" w:rsidRDefault="00AA75FC" w14:paraId="292B1E21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Medicine is prescribed</w:t>
                      </w:r>
                    </w:p>
                  </w:txbxContent>
                </v:textbox>
              </v:shape>
            </w:pict>
          </mc:Fallback>
        </mc:AlternateContent>
      </w:r>
      <w:r w:rsidR="008412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B067A8" wp14:editId="43D85105">
                <wp:simplePos x="0" y="0"/>
                <wp:positionH relativeFrom="column">
                  <wp:posOffset>2072005</wp:posOffset>
                </wp:positionH>
                <wp:positionV relativeFrom="paragraph">
                  <wp:posOffset>78105</wp:posOffset>
                </wp:positionV>
                <wp:extent cx="1709420" cy="539750"/>
                <wp:effectExtent l="0" t="0" r="5080" b="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539750"/>
                        </a:xfrm>
                        <a:prstGeom prst="homePlate">
                          <a:avLst/>
                        </a:prstGeom>
                        <a:solidFill>
                          <a:srgbClr val="3F3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33ECA" w:rsidR="009F2429" w:rsidP="00E76626" w:rsidRDefault="009F2429" w14:paraId="60C6F6D5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Clinical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rto="http://schemas.microsoft.com/office/word/2006/arto">
            <w:pict>
              <v:shape id="Arrow: Pentagon 9" style="position:absolute;margin-left:163.15pt;margin-top:6.15pt;width:134.6pt;height:42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3f3953" stroked="f" strokeweight="1pt" type="#_x0000_t15" adj="1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" w14:anchorId="44B067A8">
                <v:textbox inset=",0,,0">
                  <w:txbxContent>
                    <w:p w:rsidRPr="00833ECA" w:rsidR="009F2429" w:rsidP="00E76626" w:rsidRDefault="009F2429" w14:paraId="60C6F6D5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Clinical consultation</w:t>
                      </w:r>
                    </w:p>
                  </w:txbxContent>
                </v:textbox>
              </v:shape>
            </w:pict>
          </mc:Fallback>
        </mc:AlternateContent>
      </w:r>
      <w:r w:rsidRPr="00833ECA" w:rsidR="00B96F8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0FFD7F" wp14:editId="7F8D73DA">
                <wp:simplePos x="0" y="0"/>
                <wp:positionH relativeFrom="column">
                  <wp:posOffset>7286625</wp:posOffset>
                </wp:positionH>
                <wp:positionV relativeFrom="paragraph">
                  <wp:posOffset>73660</wp:posOffset>
                </wp:positionV>
                <wp:extent cx="2339975" cy="539750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3F3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33ECA" w:rsidR="00AA75FC" w:rsidP="00E76626" w:rsidRDefault="00AA75FC" w14:paraId="5F17A53E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Medicine is dispensed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rto="http://schemas.microsoft.com/office/word/2006/arto">
            <w:pict>
              <v:rect id="Rectangle 5" style="position:absolute;margin-left:573.75pt;margin-top:5.8pt;width:184.25pt;height:4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3f3953" stroked="f" strokeweight="1pt" w14:anchorId="720FF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">
                <v:textbox inset=",0,,0">
                  <w:txbxContent>
                    <w:p w:rsidRPr="00833ECA" w:rsidR="00AA75FC" w:rsidP="00E76626" w:rsidRDefault="00AA75FC" w14:paraId="5F17A53E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Medicine is dispensed</w:t>
                      </w:r>
                    </w:p>
                  </w:txbxContent>
                </v:textbox>
              </v:rect>
            </w:pict>
          </mc:Fallback>
        </mc:AlternateContent>
      </w:r>
      <w:r w:rsidR="00545F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2F1EC" wp14:editId="5B1E1073">
                <wp:simplePos x="0" y="0"/>
                <wp:positionH relativeFrom="column">
                  <wp:posOffset>762000</wp:posOffset>
                </wp:positionH>
                <wp:positionV relativeFrom="paragraph">
                  <wp:posOffset>78105</wp:posOffset>
                </wp:positionV>
                <wp:extent cx="1295400" cy="539750"/>
                <wp:effectExtent l="0" t="0" r="0" b="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9750"/>
                        </a:xfrm>
                        <a:prstGeom prst="homePlate">
                          <a:avLst/>
                        </a:prstGeom>
                        <a:solidFill>
                          <a:srgbClr val="3F3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33ECA" w:rsidR="00AA75FC" w:rsidP="00E76626" w:rsidRDefault="00AA75FC" w14:paraId="257A478D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3ECA">
                              <w:rPr>
                                <w:b/>
                                <w:bCs/>
                              </w:rPr>
                              <w:t>Prescription in advance is sought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rto="http://schemas.microsoft.com/office/word/2006/arto">
            <w:pict>
              <v:shape id="Arrow: Pentagon 2" style="position:absolute;margin-left:60pt;margin-top:6.15pt;width:10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3f3953" stroked="f" strokeweight="1pt" type="#_x0000_t15" adj="1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" w14:anchorId="36F2F1EC">
                <v:textbox inset=",0,,0">
                  <w:txbxContent>
                    <w:p w:rsidRPr="00833ECA" w:rsidR="00AA75FC" w:rsidP="00E76626" w:rsidRDefault="00AA75FC" w14:paraId="257A478D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33ECA">
                        <w:rPr>
                          <w:b/>
                          <w:bCs/>
                        </w:rPr>
                        <w:t>Prescription in advance is sought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5Dark-Accent5"/>
        <w:tblW w:w="15187" w:type="dxa"/>
        <w:tblLook w:val="04A0" w:firstRow="1" w:lastRow="0" w:firstColumn="1" w:lastColumn="0" w:noHBand="0" w:noVBand="1"/>
      </w:tblPr>
      <w:tblGrid>
        <w:gridCol w:w="1194"/>
        <w:gridCol w:w="2062"/>
        <w:gridCol w:w="1435"/>
        <w:gridCol w:w="1258"/>
        <w:gridCol w:w="2237"/>
        <w:gridCol w:w="3291"/>
        <w:gridCol w:w="206"/>
        <w:gridCol w:w="3493"/>
        <w:gridCol w:w="11"/>
      </w:tblGrid>
      <w:tr w:rsidRPr="006D6889" w:rsidR="00AA75FC" w:rsidTr="009502BF" w14:paraId="5C33EF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auto"/>
          </w:tcPr>
          <w:p w:rsidRPr="006D6889" w:rsidR="00AA75FC" w:rsidP="00AA75FC" w:rsidRDefault="00AA75FC" w14:paraId="463CF64A" w14:textId="77777777">
            <w:pPr>
              <w:rPr>
                <w:b w:val="0"/>
                <w:bCs w:val="0"/>
              </w:rPr>
            </w:pPr>
            <w:r w:rsidRPr="006D6889">
              <w:t>What</w:t>
            </w:r>
          </w:p>
          <w:p w:rsidRPr="006D6889" w:rsidR="00AA75FC" w:rsidP="00AA75FC" w:rsidRDefault="00AA75FC" w14:paraId="2BC1588A" w14:textId="77777777"/>
        </w:tc>
        <w:tc>
          <w:tcPr>
            <w:tcW w:w="3497" w:type="dxa"/>
            <w:gridSpan w:val="2"/>
            <w:shd w:val="clear" w:color="auto" w:fill="auto"/>
          </w:tcPr>
          <w:p w:rsidRPr="006D6889" w:rsidR="00AA75FC" w:rsidP="00AA75FC" w:rsidRDefault="00AA75FC" w14:paraId="336E6FF0" w14:textId="359DD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95" w:type="dxa"/>
            <w:gridSpan w:val="2"/>
            <w:shd w:val="clear" w:color="auto" w:fill="auto"/>
          </w:tcPr>
          <w:p w:rsidRPr="006D6889" w:rsidR="00AA75FC" w:rsidP="00AA75FC" w:rsidRDefault="00AA75FC" w14:paraId="2EC920CE" w14:textId="11AAF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97" w:type="dxa"/>
            <w:gridSpan w:val="2"/>
            <w:shd w:val="clear" w:color="auto" w:fill="auto"/>
          </w:tcPr>
          <w:p w:rsidRPr="006D6889" w:rsidR="00AA75FC" w:rsidP="00AA75FC" w:rsidRDefault="00AA75FC" w14:paraId="74FC57C6" w14:textId="668B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04" w:type="dxa"/>
            <w:gridSpan w:val="2"/>
            <w:shd w:val="clear" w:color="auto" w:fill="auto"/>
          </w:tcPr>
          <w:p w:rsidRPr="006D6889" w:rsidR="00AA75FC" w:rsidP="00AA75FC" w:rsidRDefault="00AA75FC" w14:paraId="0FC03813" w14:textId="0293C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Pr="0061388F" w:rsidR="002566D8" w:rsidTr="001F38A5" w14:paraId="7FAB22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0C818F"/>
            <w:vAlign w:val="center"/>
          </w:tcPr>
          <w:p w:rsidRPr="0061388F" w:rsidR="002566D8" w:rsidP="00006FD9" w:rsidRDefault="002566D8" w14:paraId="6DE52778" w14:textId="77777777">
            <w:pPr>
              <w:jc w:val="center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Who</w:t>
            </w:r>
          </w:p>
        </w:tc>
        <w:tc>
          <w:tcPr>
            <w:tcW w:w="2062" w:type="dxa"/>
            <w:shd w:val="clear" w:color="auto" w:fill="0C818F"/>
            <w:vAlign w:val="center"/>
          </w:tcPr>
          <w:p w:rsidRPr="0061388F" w:rsidR="002566D8" w:rsidP="00006FD9" w:rsidRDefault="002566D8" w14:paraId="0B28248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1388F">
              <w:rPr>
                <w:b/>
                <w:bCs/>
                <w:color w:val="FFFFFF" w:themeColor="background1"/>
                <w:sz w:val="21"/>
                <w:szCs w:val="21"/>
              </w:rPr>
              <w:t>Patient</w:t>
            </w:r>
          </w:p>
        </w:tc>
        <w:tc>
          <w:tcPr>
            <w:tcW w:w="8221" w:type="dxa"/>
            <w:gridSpan w:val="4"/>
            <w:shd w:val="clear" w:color="auto" w:fill="0C818F"/>
            <w:vAlign w:val="center"/>
          </w:tcPr>
          <w:p w:rsidRPr="0061388F" w:rsidR="002566D8" w:rsidP="002566D8" w:rsidRDefault="002566D8" w14:paraId="3EF61632" w14:textId="6F50D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1388F">
              <w:rPr>
                <w:b/>
                <w:bCs/>
                <w:color w:val="FFFFFF" w:themeColor="background1"/>
                <w:sz w:val="21"/>
                <w:szCs w:val="21"/>
              </w:rPr>
              <w:t>Prescriber</w:t>
            </w:r>
            <w:r w:rsidRPr="0061388F">
              <w:rPr>
                <w:rStyle w:val="FootnoteReference"/>
                <w:b/>
                <w:bCs/>
                <w:color w:val="FFFFFF" w:themeColor="background1"/>
                <w:sz w:val="21"/>
                <w:szCs w:val="21"/>
              </w:rPr>
              <w:footnoteReference w:id="2"/>
            </w:r>
          </w:p>
        </w:tc>
        <w:tc>
          <w:tcPr>
            <w:tcW w:w="3710" w:type="dxa"/>
            <w:gridSpan w:val="3"/>
            <w:shd w:val="clear" w:color="auto" w:fill="0C818F"/>
            <w:vAlign w:val="center"/>
          </w:tcPr>
          <w:p w:rsidRPr="0061388F" w:rsidR="002566D8" w:rsidP="00006FD9" w:rsidRDefault="002566D8" w14:paraId="01BE616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1388F">
              <w:rPr>
                <w:b/>
                <w:bCs/>
                <w:color w:val="FFFFFF" w:themeColor="background1"/>
                <w:sz w:val="21"/>
                <w:szCs w:val="21"/>
              </w:rPr>
              <w:t>Pharmacist</w:t>
            </w:r>
          </w:p>
        </w:tc>
      </w:tr>
      <w:tr w:rsidRPr="0061388F" w:rsidR="00CF4E35" w:rsidTr="001F38A5" w14:paraId="769187A8" w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0C818F"/>
          </w:tcPr>
          <w:p w:rsidRPr="0061388F" w:rsidR="00CF4E35" w:rsidP="00006FD9" w:rsidRDefault="00CF4E35" w14:paraId="6352B00A" w14:textId="77777777">
            <w:pPr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Activities</w:t>
            </w:r>
          </w:p>
        </w:tc>
        <w:tc>
          <w:tcPr>
            <w:tcW w:w="2062" w:type="dxa"/>
            <w:shd w:val="clear" w:color="auto" w:fill="F0FCFE"/>
          </w:tcPr>
          <w:p w:rsidRPr="0061388F" w:rsidR="00CF4E35" w:rsidP="00006FD9" w:rsidRDefault="00CF4E35" w14:paraId="76386771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Patient contacts prescriber OR prescriber contacts patient</w:t>
            </w:r>
          </w:p>
          <w:p w:rsidRPr="0061388F" w:rsidR="00CF4E35" w:rsidP="00006FD9" w:rsidRDefault="00CF4E35" w14:paraId="6CE544E5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Contact may be using telehealth (video/phone) OR in-person as clinically appropriate</w:t>
            </w:r>
          </w:p>
          <w:p w:rsidRPr="0061388F" w:rsidR="00CF4E35" w:rsidP="00006FD9" w:rsidRDefault="00CF4E35" w14:paraId="3291064B" w14:textId="77777777">
            <w:p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F0FCFE"/>
          </w:tcPr>
          <w:p w:rsidRPr="0061388F" w:rsidR="00CF4E35" w:rsidP="00006FD9" w:rsidRDefault="00CF4E35" w14:paraId="00AB43E4" w14:textId="5DDCA8C9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Conduct clinical review and medicine counselling</w:t>
            </w:r>
            <w:r w:rsidRPr="0061388F" w:rsidR="00DC1056">
              <w:rPr>
                <w:rStyle w:val="FootnoteReference"/>
                <w:sz w:val="21"/>
                <w:szCs w:val="21"/>
              </w:rPr>
              <w:footnoteReference w:id="3"/>
            </w:r>
          </w:p>
          <w:p w:rsidRPr="0061388F" w:rsidR="00CF4E35" w:rsidP="00006FD9" w:rsidRDefault="00CF4E35" w14:paraId="455830BC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Use telehealth OR in-person as clinically appropriate</w:t>
            </w:r>
          </w:p>
          <w:p w:rsidRPr="0061388F" w:rsidR="00CF4E35" w:rsidP="00006FD9" w:rsidRDefault="00CF4E35" w14:paraId="63526AE5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Explain the purpose and correct use of advance prescription (set expectations)</w:t>
            </w:r>
          </w:p>
          <w:p w:rsidRPr="0061388F" w:rsidR="00CF4E35" w:rsidP="00006FD9" w:rsidRDefault="00CF4E35" w14:paraId="6BDBCD3F" w14:textId="4361BCA3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If clinically appropriate, the clinician request</w:t>
            </w:r>
            <w:r w:rsidRPr="0061388F" w:rsidR="00C31690">
              <w:rPr>
                <w:sz w:val="21"/>
                <w:szCs w:val="21"/>
              </w:rPr>
              <w:t>s</w:t>
            </w:r>
            <w:r w:rsidRPr="0061388F">
              <w:rPr>
                <w:sz w:val="21"/>
                <w:szCs w:val="21"/>
              </w:rPr>
              <w:t xml:space="preserve"> a renal function test</w:t>
            </w:r>
          </w:p>
        </w:tc>
        <w:tc>
          <w:tcPr>
            <w:tcW w:w="5528" w:type="dxa"/>
            <w:gridSpan w:val="2"/>
            <w:shd w:val="clear" w:color="auto" w:fill="F0FCFE"/>
          </w:tcPr>
          <w:p w:rsidRPr="0061388F" w:rsidR="00CF4E35" w:rsidP="00006FD9" w:rsidRDefault="00CF4E35" w14:paraId="6A5DE5F7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 xml:space="preserve">Add </w:t>
            </w:r>
            <w:r w:rsidRPr="0061388F">
              <w:rPr>
                <w:b/>
                <w:bCs/>
                <w:sz w:val="21"/>
                <w:szCs w:val="21"/>
              </w:rPr>
              <w:t>endorsements</w:t>
            </w:r>
            <w:r w:rsidRPr="0061388F">
              <w:rPr>
                <w:sz w:val="21"/>
                <w:szCs w:val="21"/>
              </w:rPr>
              <w:t xml:space="preserve"> to prescription: </w:t>
            </w:r>
          </w:p>
          <w:p w:rsidRPr="0061388F" w:rsidR="00CF4E35" w:rsidP="00D02BC0" w:rsidRDefault="00CF4E35" w14:paraId="2F4C2D24" w14:textId="77777777">
            <w:pPr>
              <w:pStyle w:val="ListParagraph"/>
              <w:numPr>
                <w:ilvl w:val="0"/>
                <w:numId w:val="19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 xml:space="preserve">‘Advance Prescription.  Meets </w:t>
            </w:r>
            <w:proofErr w:type="spellStart"/>
            <w:r w:rsidRPr="0061388F">
              <w:rPr>
                <w:sz w:val="21"/>
                <w:szCs w:val="21"/>
              </w:rPr>
              <w:t>Pharmac</w:t>
            </w:r>
            <w:proofErr w:type="spellEnd"/>
            <w:r w:rsidRPr="0061388F">
              <w:rPr>
                <w:sz w:val="21"/>
                <w:szCs w:val="21"/>
              </w:rPr>
              <w:t xml:space="preserve"> criteria (other than the requirements relating to having a current COVID-19 infection)’</w:t>
            </w:r>
          </w:p>
          <w:p w:rsidRPr="0061388F" w:rsidR="00CF4E35" w:rsidP="00D02BC0" w:rsidRDefault="00CF4E35" w14:paraId="186C93F3" w14:textId="77777777">
            <w:pPr>
              <w:pStyle w:val="ListParagraph"/>
              <w:numPr>
                <w:ilvl w:val="0"/>
                <w:numId w:val="19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‘Not to be dispensed until diagnosed with COVID-19’</w:t>
            </w:r>
          </w:p>
          <w:p w:rsidRPr="0061388F" w:rsidR="00CF4E35" w:rsidP="00D02BC0" w:rsidRDefault="00CF4E35" w14:paraId="18748AE6" w14:textId="77777777">
            <w:pPr>
              <w:pStyle w:val="ListParagraph"/>
              <w:numPr>
                <w:ilvl w:val="0"/>
                <w:numId w:val="19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Renal function information</w:t>
            </w:r>
          </w:p>
          <w:p w:rsidRPr="0061388F" w:rsidR="00CF4E35" w:rsidP="00D02BC0" w:rsidRDefault="00CF4E35" w14:paraId="4A01672E" w14:textId="6AD72075">
            <w:pPr>
              <w:pStyle w:val="ListParagraph"/>
              <w:numPr>
                <w:ilvl w:val="0"/>
                <w:numId w:val="19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Prescriber’s contact details (including after-hours</w:t>
            </w:r>
            <w:r w:rsidR="003D59BB">
              <w:rPr>
                <w:sz w:val="21"/>
                <w:szCs w:val="21"/>
              </w:rPr>
              <w:t>,</w:t>
            </w:r>
            <w:r w:rsidR="003D59BB">
              <w:t xml:space="preserve"> which could be the local COVID-19 hub if appropriate)</w:t>
            </w:r>
            <w:r w:rsidRPr="0061388F">
              <w:rPr>
                <w:sz w:val="21"/>
                <w:szCs w:val="21"/>
              </w:rPr>
              <w:t xml:space="preserve"> </w:t>
            </w:r>
          </w:p>
          <w:p w:rsidRPr="0061388F" w:rsidR="00CF4E35" w:rsidP="00D02BC0" w:rsidRDefault="00CF4E35" w14:paraId="32E03072" w14:textId="77777777">
            <w:pPr>
              <w:pStyle w:val="ListParagraph"/>
              <w:numPr>
                <w:ilvl w:val="0"/>
                <w:numId w:val="19"/>
              </w:numPr>
              <w:ind w:left="46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 xml:space="preserve">‘Non-funded’ if privately funded </w:t>
            </w:r>
            <w:proofErr w:type="spellStart"/>
            <w:r w:rsidRPr="0061388F">
              <w:rPr>
                <w:sz w:val="21"/>
                <w:szCs w:val="21"/>
              </w:rPr>
              <w:t>molnupiravir</w:t>
            </w:r>
            <w:proofErr w:type="spellEnd"/>
            <w:r w:rsidRPr="0061388F">
              <w:rPr>
                <w:sz w:val="21"/>
                <w:szCs w:val="21"/>
              </w:rPr>
              <w:t xml:space="preserve"> (</w:t>
            </w:r>
            <w:proofErr w:type="spellStart"/>
            <w:r w:rsidRPr="0061388F">
              <w:rPr>
                <w:sz w:val="21"/>
                <w:szCs w:val="21"/>
              </w:rPr>
              <w:t>Lagevrio</w:t>
            </w:r>
            <w:proofErr w:type="spellEnd"/>
            <w:r w:rsidRPr="0061388F">
              <w:rPr>
                <w:sz w:val="21"/>
                <w:szCs w:val="21"/>
              </w:rPr>
              <w:t>)</w:t>
            </w:r>
          </w:p>
          <w:p w:rsidRPr="0061388F" w:rsidR="00770382" w:rsidP="00006FD9" w:rsidRDefault="00B70B84" w14:paraId="1FADAD18" w14:textId="43AB9BB0">
            <w:pPr>
              <w:pStyle w:val="ListParagraph"/>
              <w:numPr>
                <w:ilvl w:val="0"/>
                <w:numId w:val="8"/>
              </w:numPr>
              <w:ind w:left="158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Select</w:t>
            </w:r>
            <w:r w:rsidRPr="0061388F" w:rsidR="00770382">
              <w:rPr>
                <w:sz w:val="21"/>
                <w:szCs w:val="21"/>
              </w:rPr>
              <w:t xml:space="preserve"> which pharmacy based on patient/</w:t>
            </w:r>
            <w:proofErr w:type="spellStart"/>
            <w:r w:rsidRPr="0061388F" w:rsidR="00770382">
              <w:rPr>
                <w:sz w:val="21"/>
                <w:szCs w:val="21"/>
              </w:rPr>
              <w:t>whānau</w:t>
            </w:r>
            <w:proofErr w:type="spellEnd"/>
            <w:r w:rsidRPr="0061388F" w:rsidR="00770382">
              <w:rPr>
                <w:sz w:val="21"/>
                <w:szCs w:val="21"/>
              </w:rPr>
              <w:t xml:space="preserve"> preference, domestic travel plans, extended opening hours, and current pharmacies </w:t>
            </w:r>
            <w:hyperlink w:history="1" r:id="rId30">
              <w:r w:rsidRPr="00FB104F" w:rsidR="00770382">
                <w:rPr>
                  <w:rStyle w:val="Hyperlink"/>
                </w:rPr>
                <w:t>offering dispensing</w:t>
              </w:r>
            </w:hyperlink>
            <w:r w:rsidRPr="0061388F" w:rsidR="00770382">
              <w:rPr>
                <w:sz w:val="21"/>
                <w:szCs w:val="21"/>
              </w:rPr>
              <w:t xml:space="preserve"> of COVID antiviral medicines</w:t>
            </w:r>
            <w:r w:rsidRPr="0061388F" w:rsidR="00770382">
              <w:rPr>
                <w:rStyle w:val="FootnoteReference"/>
                <w:sz w:val="21"/>
                <w:szCs w:val="21"/>
              </w:rPr>
              <w:footnoteReference w:id="4"/>
            </w:r>
          </w:p>
          <w:p w:rsidRPr="0061388F" w:rsidR="00CF4E35" w:rsidP="00006FD9" w:rsidRDefault="00CF4E35" w14:paraId="5DAF4BFF" w14:textId="50A0A6B7">
            <w:pPr>
              <w:pStyle w:val="ListParagraph"/>
              <w:numPr>
                <w:ilvl w:val="0"/>
                <w:numId w:val="8"/>
              </w:numPr>
              <w:ind w:left="158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Issue prescription</w:t>
            </w:r>
            <w:r w:rsidRPr="0061388F" w:rsidR="00653BBF">
              <w:rPr>
                <w:rStyle w:val="FootnoteReference"/>
                <w:sz w:val="21"/>
                <w:szCs w:val="21"/>
              </w:rPr>
              <w:footnoteReference w:id="5"/>
            </w:r>
          </w:p>
        </w:tc>
        <w:tc>
          <w:tcPr>
            <w:tcW w:w="3710" w:type="dxa"/>
            <w:gridSpan w:val="3"/>
            <w:shd w:val="clear" w:color="auto" w:fill="F0FCFE"/>
          </w:tcPr>
          <w:p w:rsidR="00FC2F65" w:rsidP="00642F9A" w:rsidRDefault="00CF4E35" w14:paraId="406FC907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Review the patient’s eligibility criteria (including being COVID-19 case), clinical status and other medicines</w:t>
            </w:r>
            <w:r w:rsidRPr="0061388F" w:rsidR="00F440DD">
              <w:rPr>
                <w:rStyle w:val="FootnoteReference"/>
                <w:sz w:val="21"/>
                <w:szCs w:val="21"/>
              </w:rPr>
              <w:footnoteReference w:id="6"/>
            </w:r>
            <w:r w:rsidRPr="0061388F" w:rsidR="00642F9A">
              <w:rPr>
                <w:b/>
                <w:bCs/>
                <w:sz w:val="21"/>
                <w:szCs w:val="21"/>
              </w:rPr>
              <w:t xml:space="preserve"> </w:t>
            </w:r>
          </w:p>
          <w:p w:rsidRPr="00FC2F65" w:rsidR="00642F9A" w:rsidP="00642F9A" w:rsidRDefault="00642F9A" w14:paraId="5F209121" w14:textId="6873E046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C2F65">
              <w:rPr>
                <w:sz w:val="21"/>
                <w:szCs w:val="21"/>
              </w:rPr>
              <w:t>CCCM holds details of self-reported cases</w:t>
            </w:r>
            <w:r w:rsidRPr="00FC2F65">
              <w:rPr>
                <w:rStyle w:val="FootnoteReference"/>
                <w:sz w:val="21"/>
                <w:szCs w:val="21"/>
              </w:rPr>
              <w:footnoteReference w:id="7"/>
            </w:r>
          </w:p>
          <w:p w:rsidRPr="0061388F" w:rsidR="00CF4E35" w:rsidP="00006FD9" w:rsidRDefault="00CF4E35" w14:paraId="7FA80601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Discuss use of the medicine, side effects, when to seek medical advice, substances to avoid</w:t>
            </w:r>
          </w:p>
          <w:p w:rsidRPr="0061388F" w:rsidR="00CF4E35" w:rsidP="00006FD9" w:rsidRDefault="00CF4E35" w14:paraId="6BFB5BC2" w14:textId="38235FF9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 xml:space="preserve">Referral back to prescriber may be necessary if clinical situation has changed since prescription </w:t>
            </w:r>
            <w:r w:rsidR="007355A8">
              <w:rPr>
                <w:sz w:val="21"/>
                <w:szCs w:val="21"/>
              </w:rPr>
              <w:t xml:space="preserve">was </w:t>
            </w:r>
            <w:r w:rsidRPr="0061388F">
              <w:rPr>
                <w:sz w:val="21"/>
                <w:szCs w:val="21"/>
              </w:rPr>
              <w:t>issued</w:t>
            </w:r>
            <w:r w:rsidRPr="0061388F" w:rsidR="00C61AD6">
              <w:rPr>
                <w:rStyle w:val="FootnoteReference"/>
                <w:sz w:val="21"/>
                <w:szCs w:val="21"/>
              </w:rPr>
              <w:footnoteReference w:id="8"/>
            </w:r>
            <w:r w:rsidRPr="0061388F">
              <w:rPr>
                <w:sz w:val="21"/>
                <w:szCs w:val="21"/>
              </w:rPr>
              <w:t xml:space="preserve">  </w:t>
            </w:r>
          </w:p>
          <w:p w:rsidRPr="0061388F" w:rsidR="00CF4E35" w:rsidP="00006FD9" w:rsidRDefault="00CF4E35" w14:paraId="24FC0402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Dispense the medicine</w:t>
            </w:r>
          </w:p>
          <w:p w:rsidRPr="0061388F" w:rsidR="00CF4E35" w:rsidP="00006FD9" w:rsidRDefault="00CF4E35" w14:paraId="7332952B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Telehealth consultations only</w:t>
            </w:r>
          </w:p>
        </w:tc>
      </w:tr>
      <w:tr w:rsidRPr="0061388F" w:rsidR="00CF4E35" w:rsidTr="001F38A5" w14:paraId="674E5504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0C818F"/>
          </w:tcPr>
          <w:p w:rsidRPr="0061388F" w:rsidR="00CF4E35" w:rsidP="00006FD9" w:rsidRDefault="00CF4E35" w14:paraId="480E2DBE" w14:textId="77777777">
            <w:pPr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Equity</w:t>
            </w:r>
          </w:p>
        </w:tc>
        <w:tc>
          <w:tcPr>
            <w:tcW w:w="10283" w:type="dxa"/>
            <w:gridSpan w:val="5"/>
            <w:shd w:val="clear" w:color="auto" w:fill="D8F9FC"/>
          </w:tcPr>
          <w:p w:rsidRPr="0061388F" w:rsidR="00CF4E35" w:rsidP="00006FD9" w:rsidRDefault="00CF4E35" w14:paraId="62FDB9A6" w14:textId="5CE1D6B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 xml:space="preserve">Consultation in-person </w:t>
            </w:r>
            <w:r w:rsidRPr="0061388F" w:rsidR="003A6EFA">
              <w:rPr>
                <w:sz w:val="21"/>
                <w:szCs w:val="21"/>
              </w:rPr>
              <w:t>in advance of</w:t>
            </w:r>
            <w:r w:rsidRPr="0061388F">
              <w:rPr>
                <w:sz w:val="21"/>
                <w:szCs w:val="21"/>
              </w:rPr>
              <w:t xml:space="preserve"> becoming a COVID-19 case provides an opportunity to discuss these medicines for those less able to do so using telehealth</w:t>
            </w:r>
          </w:p>
          <w:p w:rsidRPr="0061388F" w:rsidR="00CF4E35" w:rsidP="00006FD9" w:rsidRDefault="00CF4E35" w14:paraId="3AC7F729" w14:textId="121EA7AC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 xml:space="preserve">Utilise interpreter services where required.  Include </w:t>
            </w:r>
            <w:proofErr w:type="spellStart"/>
            <w:r w:rsidRPr="0061388F">
              <w:rPr>
                <w:sz w:val="21"/>
                <w:szCs w:val="21"/>
              </w:rPr>
              <w:t>whānau</w:t>
            </w:r>
            <w:proofErr w:type="spellEnd"/>
            <w:r w:rsidRPr="0061388F">
              <w:rPr>
                <w:sz w:val="21"/>
                <w:szCs w:val="21"/>
              </w:rPr>
              <w:t xml:space="preserve"> and others as appropriate </w:t>
            </w:r>
          </w:p>
          <w:p w:rsidRPr="0061388F" w:rsidR="00CF4E35" w:rsidP="00006FD9" w:rsidRDefault="00CF4E35" w14:paraId="2461C247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Reinforce the importance of not sharing these medicines with family and friends as it may be harmful to them</w:t>
            </w:r>
          </w:p>
        </w:tc>
        <w:tc>
          <w:tcPr>
            <w:tcW w:w="3699" w:type="dxa"/>
            <w:gridSpan w:val="2"/>
            <w:shd w:val="clear" w:color="auto" w:fill="D8F9FC"/>
          </w:tcPr>
          <w:p w:rsidRPr="0061388F" w:rsidR="00CF4E35" w:rsidP="00006FD9" w:rsidRDefault="00CF4E35" w14:paraId="5566E439" w14:textId="77777777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Medicine may be delivered if required</w:t>
            </w:r>
          </w:p>
        </w:tc>
      </w:tr>
      <w:tr w:rsidRPr="0061388F" w:rsidR="00CF4E35" w:rsidTr="00352179" w14:paraId="078CC364" w14:textId="77777777">
        <w:trPr>
          <w:gridAfter w:val="1"/>
          <w:wAfter w:w="1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0C818F"/>
            <w:vAlign w:val="center"/>
          </w:tcPr>
          <w:p w:rsidRPr="0061388F" w:rsidR="00CF4E35" w:rsidP="00006FD9" w:rsidRDefault="00CF4E35" w14:paraId="43207363" w14:textId="77777777">
            <w:pPr>
              <w:rPr>
                <w:sz w:val="21"/>
                <w:szCs w:val="21"/>
              </w:rPr>
            </w:pPr>
            <w:r w:rsidRPr="0061388F">
              <w:rPr>
                <w:sz w:val="21"/>
                <w:szCs w:val="21"/>
              </w:rPr>
              <w:t>Funding</w:t>
            </w:r>
          </w:p>
        </w:tc>
        <w:tc>
          <w:tcPr>
            <w:tcW w:w="13982" w:type="dxa"/>
            <w:gridSpan w:val="7"/>
            <w:shd w:val="clear" w:color="auto" w:fill="F0FCFE"/>
            <w:vAlign w:val="center"/>
          </w:tcPr>
          <w:p w:rsidRPr="00FC2F65" w:rsidR="00CF4E35" w:rsidP="00FC2F65" w:rsidRDefault="00A00D44" w14:paraId="4EF77D3F" w14:textId="206E2123">
            <w:pPr>
              <w:pStyle w:val="ListParagraph"/>
              <w:numPr>
                <w:ilvl w:val="0"/>
                <w:numId w:val="8"/>
              </w:numPr>
              <w:ind w:left="159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C2F65">
              <w:rPr>
                <w:sz w:val="21"/>
                <w:szCs w:val="21"/>
              </w:rPr>
              <w:t>An extension of existing funding rates which were previously agreed for general practice and pharmacy encounters relating to COVID-19</w:t>
            </w:r>
            <w:r w:rsidRPr="00B636AD" w:rsidR="009D55FD">
              <w:rPr>
                <w:vertAlign w:val="superscript"/>
              </w:rPr>
              <w:footnoteReference w:id="9"/>
            </w:r>
          </w:p>
        </w:tc>
      </w:tr>
    </w:tbl>
    <w:p w:rsidR="005815AB" w:rsidP="6AF9BF9E" w:rsidRDefault="005815AB" w14:paraId="2F5506FD" w14:textId="77777777">
      <w:pPr>
        <w:rPr>
          <w:i/>
          <w:iCs/>
        </w:rPr>
        <w:sectPr w:rsidR="005815AB" w:rsidSect="00977BEC">
          <w:headerReference w:type="default" r:id="rId31"/>
          <w:footerReference w:type="default" r:id="rId32"/>
          <w:pgSz w:w="16838" w:h="11906" w:orient="landscape" w:code="9"/>
          <w:pgMar w:top="567" w:right="720" w:bottom="232" w:left="720" w:header="340" w:footer="0" w:gutter="0"/>
          <w:cols w:space="708"/>
          <w:docGrid w:linePitch="360"/>
        </w:sectPr>
      </w:pPr>
    </w:p>
    <w:p w:rsidRPr="00152AEF" w:rsidR="006C4E2B" w:rsidP="006C4E2B" w:rsidRDefault="00A170C5" w14:paraId="0BF51EF9" w14:textId="5E972D60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 xml:space="preserve">FAQ: </w:t>
      </w:r>
      <w:r w:rsidRPr="00152AEF" w:rsidR="006C4E2B">
        <w:rPr>
          <w:rFonts w:ascii="Arial" w:hAnsi="Arial" w:cs="Arial"/>
        </w:rPr>
        <w:t>Advance Prescriptions for Oral COVID-19 Antiviral Medicines</w:t>
      </w:r>
    </w:p>
    <w:p w:rsidRPr="00E76626" w:rsidR="00E466A5" w:rsidP="00E76626" w:rsidRDefault="00E466A5" w14:paraId="2EDE322F" w14:textId="77777777">
      <w:pPr>
        <w:pStyle w:val="Style1"/>
      </w:pPr>
      <w:r w:rsidRPr="00E76626">
        <w:t>How is a ‘probable’ COVID-19 case defined?</w:t>
      </w:r>
    </w:p>
    <w:p w:rsidR="00E466A5" w:rsidP="00694684" w:rsidRDefault="00D56642" w14:paraId="1D381369" w14:textId="60D0C995">
      <w:r>
        <w:t xml:space="preserve">The </w:t>
      </w:r>
      <w:r w:rsidR="00E466A5">
        <w:t xml:space="preserve">COVID-19 </w:t>
      </w:r>
      <w:hyperlink w:history="1" w:anchor=":~:text=Confirmed%20case,a%20validated%20NAAT%20(PCR)." r:id="rId33">
        <w:r w:rsidRPr="00F07357" w:rsidR="00E466A5">
          <w:rPr>
            <w:rStyle w:val="Hyperlink"/>
          </w:rPr>
          <w:t>case definitions</w:t>
        </w:r>
      </w:hyperlink>
      <w:r w:rsidR="00E466A5">
        <w:t xml:space="preserve"> </w:t>
      </w:r>
      <w:r>
        <w:t xml:space="preserve">below </w:t>
      </w:r>
      <w:r w:rsidR="00E466A5">
        <w:t xml:space="preserve">can </w:t>
      </w:r>
      <w:r>
        <w:t xml:space="preserve">also </w:t>
      </w:r>
      <w:r w:rsidR="00E466A5">
        <w:t xml:space="preserve">be found on the </w:t>
      </w:r>
      <w:r w:rsidRPr="00AE7E9E">
        <w:t>Ministry of Health website</w:t>
      </w:r>
      <w:r w:rsidR="00AE7E9E">
        <w:t>.</w:t>
      </w:r>
    </w:p>
    <w:p w:rsidRPr="00694684" w:rsidR="00E466A5" w:rsidP="00E76626" w:rsidRDefault="00E466A5" w14:paraId="215E7C6F" w14:textId="44D2342B">
      <w:pPr>
        <w:pStyle w:val="Style1"/>
      </w:pPr>
      <w:r w:rsidRPr="00875078">
        <w:t>How does the pharmacist confirm COVID status?</w:t>
      </w:r>
    </w:p>
    <w:p w:rsidR="00E466A5" w:rsidP="00293C50" w:rsidRDefault="00E466A5" w14:paraId="40D87C2D" w14:textId="677F2912">
      <w:r w:rsidRPr="0003522A">
        <w:t>CCCM holds details of self-reported cases.  If the patient has not yet self</w:t>
      </w:r>
      <w:r>
        <w:t>-</w:t>
      </w:r>
      <w:r w:rsidRPr="0003522A">
        <w:t>reported a positive</w:t>
      </w:r>
      <w:r>
        <w:t xml:space="preserve"> result</w:t>
      </w:r>
      <w:r w:rsidRPr="0003522A">
        <w:t xml:space="preserve">, </w:t>
      </w:r>
      <w:proofErr w:type="gramStart"/>
      <w:r w:rsidRPr="0003522A">
        <w:t>encourage</w:t>
      </w:r>
      <w:proofErr w:type="gramEnd"/>
      <w:r w:rsidRPr="0003522A">
        <w:t xml:space="preserve"> or assist </w:t>
      </w:r>
      <w:r w:rsidR="00F71018">
        <w:t>them</w:t>
      </w:r>
      <w:r w:rsidRPr="0003522A">
        <w:t xml:space="preserve"> to do so</w:t>
      </w:r>
      <w:r>
        <w:t>.</w:t>
      </w:r>
      <w:r w:rsidR="00883563">
        <w:t xml:space="preserve"> </w:t>
      </w:r>
      <w:r w:rsidR="00883563">
        <w:rPr>
          <w:rFonts w:eastAsiaTheme="minorEastAsia"/>
        </w:rPr>
        <w:t>If the patient is unable, or refuses</w:t>
      </w:r>
      <w:r w:rsidR="00AE7E9E">
        <w:rPr>
          <w:rFonts w:eastAsiaTheme="minorEastAsia"/>
        </w:rPr>
        <w:t>,</w:t>
      </w:r>
      <w:r w:rsidR="00883563">
        <w:rPr>
          <w:rFonts w:eastAsiaTheme="minorEastAsia"/>
        </w:rPr>
        <w:t xml:space="preserve"> to log their positive RAT result in My COVID Record the pharmacist must create a case in CCCM. Refer to the CCCM training material on how to achieve this</w:t>
      </w:r>
      <w:r w:rsidR="00A223C3">
        <w:rPr>
          <w:rFonts w:eastAsiaTheme="minorEastAsia"/>
        </w:rPr>
        <w:t xml:space="preserve"> (see </w:t>
      </w:r>
      <w:hyperlink w:history="1" r:id="rId34">
        <w:r w:rsidRPr="00385DD6" w:rsidR="00A223C3">
          <w:rPr>
            <w:rStyle w:val="Hyperlink"/>
          </w:rPr>
          <w:t xml:space="preserve">Te </w:t>
        </w:r>
        <w:proofErr w:type="spellStart"/>
        <w:r w:rsidRPr="00385DD6" w:rsidR="00A223C3">
          <w:rPr>
            <w:rStyle w:val="Hyperlink"/>
          </w:rPr>
          <w:t>Whatu</w:t>
        </w:r>
        <w:proofErr w:type="spellEnd"/>
        <w:r w:rsidRPr="00385DD6" w:rsidR="00A223C3">
          <w:rPr>
            <w:rStyle w:val="Hyperlink"/>
          </w:rPr>
          <w:t xml:space="preserve"> Ora /Pharmaceutical Society of New Zealand pharmacist training material</w:t>
        </w:r>
      </w:hyperlink>
      <w:r w:rsidR="00A223C3">
        <w:t>)</w:t>
      </w:r>
      <w:r w:rsidR="00883563">
        <w:rPr>
          <w:rFonts w:eastAsiaTheme="minorEastAsia"/>
        </w:rPr>
        <w:t>.</w:t>
      </w:r>
    </w:p>
    <w:p w:rsidRPr="00875078" w:rsidR="00E466A5" w:rsidP="00E76626" w:rsidRDefault="00E466A5" w14:paraId="4C20999F" w14:textId="1724C631">
      <w:pPr>
        <w:pStyle w:val="Style1"/>
      </w:pPr>
      <w:r w:rsidRPr="006211BE">
        <w:t>Is there a list of pharmacies supplying these medicines</w:t>
      </w:r>
      <w:r>
        <w:t>?</w:t>
      </w:r>
    </w:p>
    <w:p w:rsidR="00E466A5" w:rsidP="0003522A" w:rsidRDefault="00B306B0" w14:paraId="19B24959" w14:textId="6EBEEEC9">
      <w:hyperlink w:history="1" r:id="rId35">
        <w:proofErr w:type="spellStart"/>
        <w:r w:rsidRPr="00C606E2" w:rsidR="00E466A5">
          <w:rPr>
            <w:rStyle w:val="Hyperlink"/>
          </w:rPr>
          <w:t>Healthpoint</w:t>
        </w:r>
        <w:proofErr w:type="spellEnd"/>
      </w:hyperlink>
      <w:r w:rsidR="00E466A5">
        <w:t xml:space="preserve"> has a list of </w:t>
      </w:r>
      <w:hyperlink w:history="1" r:id="rId36">
        <w:r w:rsidRPr="00164D79" w:rsidR="00E466A5">
          <w:rPr>
            <w:rStyle w:val="Hyperlink"/>
          </w:rPr>
          <w:t>supplying pharmacies</w:t>
        </w:r>
      </w:hyperlink>
      <w:r w:rsidR="00E466A5">
        <w:t>.</w:t>
      </w:r>
      <w:r w:rsidR="00F24B7F">
        <w:t xml:space="preserve"> (</w:t>
      </w:r>
      <w:r w:rsidR="00C20D3B">
        <w:t xml:space="preserve">To search use: </w:t>
      </w:r>
      <w:r w:rsidR="00F24B7F">
        <w:rPr>
          <w:sz w:val="21"/>
          <w:szCs w:val="21"/>
        </w:rPr>
        <w:t>By Service, select ‘Pharmacy’; Service Area, select ‘COVID-19 antiviral medicines (if you have a prescription from your doctor or nurse)’</w:t>
      </w:r>
    </w:p>
    <w:p w:rsidRPr="006211BE" w:rsidR="00E466A5" w:rsidP="00D11E8D" w:rsidRDefault="00E466A5" w14:paraId="67B493FA" w14:textId="1457731B">
      <w:pPr>
        <w:pStyle w:val="Style1"/>
        <w:ind w:left="357" w:hanging="357"/>
      </w:pPr>
      <w:r w:rsidRPr="00B0493E">
        <w:t xml:space="preserve">What </w:t>
      </w:r>
      <w:r>
        <w:t>sh</w:t>
      </w:r>
      <w:r w:rsidRPr="00B0493E">
        <w:t xml:space="preserve">ould </w:t>
      </w:r>
      <w:r>
        <w:t xml:space="preserve">the </w:t>
      </w:r>
      <w:r w:rsidR="002D49AB">
        <w:t>pharmacist</w:t>
      </w:r>
      <w:r w:rsidRPr="00B0493E">
        <w:t xml:space="preserve"> do if they can’t get hold of the prescriber?</w:t>
      </w:r>
    </w:p>
    <w:p w:rsidR="00E466A5" w:rsidP="00293C50" w:rsidRDefault="00E466A5" w14:paraId="159DC3F3" w14:textId="05701B50">
      <w:r w:rsidRPr="009E2460">
        <w:t xml:space="preserve">Referral back to prescriber may be necessary if clinical situation has changed since </w:t>
      </w:r>
      <w:r w:rsidR="003D1D91">
        <w:t xml:space="preserve">the advance </w:t>
      </w:r>
      <w:r w:rsidRPr="009E2460">
        <w:t xml:space="preserve">prescription </w:t>
      </w:r>
      <w:r w:rsidR="003D1D91">
        <w:t xml:space="preserve">was </w:t>
      </w:r>
      <w:r w:rsidRPr="009E2460">
        <w:t xml:space="preserve">issued.  </w:t>
      </w:r>
    </w:p>
    <w:p w:rsidR="00A94609" w:rsidP="006E6D7E" w:rsidRDefault="003D1D91" w14:paraId="551A1C4C" w14:textId="6C969B07">
      <w:r>
        <w:t>If the prescriber is not available</w:t>
      </w:r>
      <w:r w:rsidR="00EB2A1A">
        <w:t>,</w:t>
      </w:r>
      <w:r w:rsidR="00A94609">
        <w:t xml:space="preserve"> the pharmacist can</w:t>
      </w:r>
      <w:r w:rsidR="006E6D7E">
        <w:t xml:space="preserve"> </w:t>
      </w:r>
      <w:r w:rsidR="00A94609">
        <w:t>c</w:t>
      </w:r>
      <w:r w:rsidRPr="009E2460" w:rsidR="00E466A5">
        <w:t>ontact</w:t>
      </w:r>
      <w:r w:rsidR="00E466A5">
        <w:t xml:space="preserve"> the</w:t>
      </w:r>
      <w:r w:rsidRPr="009E2460" w:rsidR="00E466A5">
        <w:t xml:space="preserve"> local COVID Hub</w:t>
      </w:r>
      <w:r w:rsidR="00605A36">
        <w:t xml:space="preserve"> or the </w:t>
      </w:r>
      <w:proofErr w:type="spellStart"/>
      <w:r w:rsidR="00605A36">
        <w:t>Whakarongarau</w:t>
      </w:r>
      <w:proofErr w:type="spellEnd"/>
      <w:r w:rsidR="00605A36">
        <w:t xml:space="preserve"> Clinical support line</w:t>
      </w:r>
      <w:r w:rsidR="006E6D7E">
        <w:t>.</w:t>
      </w:r>
    </w:p>
    <w:p w:rsidRPr="00B0493E" w:rsidR="00E466A5" w:rsidP="00E76626" w:rsidRDefault="00E466A5" w14:paraId="38745BA3" w14:textId="67BF5DA3">
      <w:pPr>
        <w:pStyle w:val="Style1"/>
      </w:pPr>
      <w:r w:rsidRPr="008445C5">
        <w:t>What if the person is out of town when they get COVID</w:t>
      </w:r>
      <w:r w:rsidR="00F71018">
        <w:t>-19</w:t>
      </w:r>
      <w:r w:rsidRPr="008445C5">
        <w:t>?</w:t>
      </w:r>
    </w:p>
    <w:p w:rsidR="00E466A5" w:rsidP="00F02974" w:rsidRDefault="00E466A5" w14:paraId="62EC3B27" w14:textId="77777777">
      <w:r>
        <w:t xml:space="preserve">The prescriber should include any domestic travel plans when considering which pharmacy to issue the prescription to. </w:t>
      </w:r>
    </w:p>
    <w:p w:rsidR="00664FC3" w:rsidP="00F02974" w:rsidRDefault="00E466A5" w14:paraId="6C0A56C1" w14:textId="726A2952">
      <w:r w:rsidRPr="00C641C5">
        <w:t xml:space="preserve">If the prescription has been put ‘on hold’ by a pharmacy in </w:t>
      </w:r>
      <w:r w:rsidR="00D77977">
        <w:t>the New Zealand electronic Prescription Service (</w:t>
      </w:r>
      <w:proofErr w:type="spellStart"/>
      <w:r w:rsidRPr="00C641C5">
        <w:t>NZePS</w:t>
      </w:r>
      <w:proofErr w:type="spellEnd"/>
      <w:r w:rsidR="00D77977">
        <w:t>)</w:t>
      </w:r>
      <w:r w:rsidR="005C1EBA">
        <w:t>,</w:t>
      </w:r>
      <w:r w:rsidRPr="00C641C5">
        <w:t xml:space="preserve"> only that pharmacy can dispense it. It the same challenge </w:t>
      </w:r>
      <w:r w:rsidR="00F71018">
        <w:t xml:space="preserve">if </w:t>
      </w:r>
      <w:r w:rsidRPr="00C641C5">
        <w:t>the ‘on hold’ pharmacy is closed after-hours</w:t>
      </w:r>
      <w:r w:rsidR="00F71018">
        <w:t xml:space="preserve"> and/or</w:t>
      </w:r>
      <w:r w:rsidRPr="00C641C5">
        <w:t xml:space="preserve"> </w:t>
      </w:r>
      <w:r w:rsidRPr="00C641C5" w:rsidR="00F71018">
        <w:t>weeken</w:t>
      </w:r>
      <w:r w:rsidR="00F71018">
        <w:t>d</w:t>
      </w:r>
      <w:r w:rsidRPr="00C641C5" w:rsidR="00F71018">
        <w:t>s</w:t>
      </w:r>
      <w:r w:rsidRPr="00C641C5">
        <w:t xml:space="preserve"> etc</w:t>
      </w:r>
      <w:r w:rsidR="00F71018">
        <w:t>.</w:t>
      </w:r>
      <w:r w:rsidRPr="00C641C5">
        <w:t xml:space="preserve"> when the person </w:t>
      </w:r>
      <w:r w:rsidR="00F71018">
        <w:t>becomes</w:t>
      </w:r>
      <w:r w:rsidRPr="00C641C5">
        <w:t xml:space="preserve"> COVID-19 positive.</w:t>
      </w:r>
    </w:p>
    <w:p w:rsidR="00E466A5" w:rsidP="00F02974" w:rsidRDefault="00B41109" w14:paraId="1BA63730" w14:textId="708CFA55">
      <w:r w:rsidR="708E4D23">
        <w:rPr/>
        <w:t>On</w:t>
      </w:r>
      <w:r w:rsidR="1F31038E">
        <w:rPr/>
        <w:t xml:space="preserve"> 27</w:t>
      </w:r>
      <w:r w:rsidR="043A2CAE">
        <w:rPr/>
        <w:t xml:space="preserve"> July </w:t>
      </w:r>
      <w:r w:rsidR="181624AC">
        <w:rPr/>
        <w:t>2022</w:t>
      </w:r>
      <w:r w:rsidR="043A2CAE">
        <w:rPr/>
        <w:t xml:space="preserve">, the </w:t>
      </w:r>
      <w:r w:rsidR="181624AC">
        <w:rPr/>
        <w:t>oral COVID-19 antiviral medicine</w:t>
      </w:r>
      <w:r w:rsidR="708E4D23">
        <w:rPr/>
        <w:t>s</w:t>
      </w:r>
      <w:r w:rsidR="043A2CAE">
        <w:rPr/>
        <w:t xml:space="preserve"> </w:t>
      </w:r>
      <w:r w:rsidR="5F81089E">
        <w:rPr/>
        <w:t>were</w:t>
      </w:r>
      <w:r w:rsidR="043A2CAE">
        <w:rPr/>
        <w:t xml:space="preserve"> reclassified as </w:t>
      </w:r>
      <w:r w:rsidR="5F81089E">
        <w:rPr/>
        <w:t>‘restricted (’</w:t>
      </w:r>
      <w:r w:rsidR="043A2CAE">
        <w:rPr/>
        <w:t>pharmacy only</w:t>
      </w:r>
      <w:r w:rsidR="5F81089E">
        <w:rPr/>
        <w:t>’) medicines</w:t>
      </w:r>
      <w:r w:rsidR="63CF56D9">
        <w:rPr/>
        <w:t xml:space="preserve">. </w:t>
      </w:r>
      <w:r w:rsidR="63CF56D9">
        <w:rPr/>
        <w:t xml:space="preserve">This </w:t>
      </w:r>
      <w:r w:rsidR="043A2CAE">
        <w:rPr/>
        <w:t>means</w:t>
      </w:r>
      <w:r w:rsidR="043A2CAE">
        <w:rPr/>
        <w:t xml:space="preserve"> an alternative is to </w:t>
      </w:r>
      <w:r w:rsidR="043A2CAE">
        <w:rPr/>
        <w:t>obtain a pharmacist-initiated supply from a participating pharmacy (i</w:t>
      </w:r>
      <w:r w:rsidR="043A2CAE">
        <w:rPr/>
        <w:t>.</w:t>
      </w:r>
      <w:r w:rsidR="043A2CAE">
        <w:rPr/>
        <w:t>e</w:t>
      </w:r>
      <w:r w:rsidR="043A2CAE">
        <w:rPr/>
        <w:t>.</w:t>
      </w:r>
      <w:r w:rsidR="043A2CAE">
        <w:rPr/>
        <w:t xml:space="preserve">, </w:t>
      </w:r>
      <w:r w:rsidR="16E072ED">
        <w:rPr/>
        <w:t xml:space="preserve">there is </w:t>
      </w:r>
      <w:r w:rsidR="043A2CAE">
        <w:rPr/>
        <w:t>no need for an advance prescription)</w:t>
      </w:r>
      <w:r w:rsidR="043A2CAE">
        <w:rPr/>
        <w:t>.</w:t>
      </w:r>
    </w:p>
    <w:p w:rsidRPr="009E2460" w:rsidR="00F71018" w:rsidP="53A05F8C" w:rsidRDefault="00F71018" w14:paraId="4F5D7EAA" w14:textId="5EB80BF2">
      <w:pPr>
        <w:rPr>
          <w:sz w:val="22"/>
          <w:szCs w:val="22"/>
        </w:rPr>
      </w:pPr>
      <w:r w:rsidR="6907A060">
        <w:rPr/>
        <w:t>Healthpoint</w:t>
      </w:r>
      <w:r w:rsidR="6907A060">
        <w:rPr/>
        <w:t xml:space="preserve"> has a </w:t>
      </w:r>
      <w:hyperlink r:id="R33d847bccdbf462d">
        <w:r w:rsidRPr="53A05F8C" w:rsidR="6907A060">
          <w:rPr>
            <w:rStyle w:val="Hyperlink"/>
          </w:rPr>
          <w:t>list of pharmacies</w:t>
        </w:r>
      </w:hyperlink>
      <w:r w:rsidR="6907A060">
        <w:rPr/>
        <w:t xml:space="preserve"> that are supplying COVID-19 antiviral medicines without need for a prescription from an authorised prescriber.</w:t>
      </w:r>
      <w:r w:rsidRPr="53A05F8C" w:rsidR="45F41CDD">
        <w:rPr>
          <w:sz w:val="22"/>
          <w:szCs w:val="22"/>
        </w:rPr>
        <w:t xml:space="preserve"> To search use: </w:t>
      </w:r>
      <w:r w:rsidRPr="53A05F8C" w:rsidR="45F41CDD">
        <w:rPr>
          <w:sz w:val="22"/>
          <w:szCs w:val="22"/>
        </w:rPr>
        <w:t>By Service, select ‘Pharmacy’; Service Area, select ‘COVID-19 antiviral medicines (if you have a prescription from your doctor or nurse)’</w:t>
      </w:r>
    </w:p>
    <w:p w:rsidRPr="008445C5" w:rsidR="00E466A5" w:rsidP="00E76626" w:rsidRDefault="00E466A5" w14:paraId="529FF51E" w14:textId="58983B41">
      <w:pPr>
        <w:pStyle w:val="Style1"/>
      </w:pPr>
      <w:r>
        <w:lastRenderedPageBreak/>
        <w:t>H</w:t>
      </w:r>
      <w:r w:rsidRPr="00B52411">
        <w:t xml:space="preserve">ow will </w:t>
      </w:r>
      <w:r w:rsidR="005B09C9">
        <w:t xml:space="preserve">the pharmacist </w:t>
      </w:r>
      <w:r w:rsidRPr="00B52411">
        <w:t xml:space="preserve">check possible </w:t>
      </w:r>
      <w:r w:rsidR="005B09C9">
        <w:t xml:space="preserve">medicine </w:t>
      </w:r>
      <w:r w:rsidRPr="00B52411">
        <w:t xml:space="preserve">interactions for a patient that does not usually </w:t>
      </w:r>
      <w:r w:rsidR="005B09C9">
        <w:t>have their medicines dispensed from</w:t>
      </w:r>
      <w:r w:rsidR="00457202">
        <w:t xml:space="preserve"> that pharmacy</w:t>
      </w:r>
      <w:r w:rsidRPr="00B52411">
        <w:t>?</w:t>
      </w:r>
    </w:p>
    <w:p w:rsidRPr="00C641C5" w:rsidR="00E466A5" w:rsidP="00F02974" w:rsidRDefault="00E466A5" w14:paraId="5D8B6114" w14:textId="63261F7A">
      <w:r>
        <w:t>T</w:t>
      </w:r>
      <w:r w:rsidRPr="00077D9B">
        <w:t xml:space="preserve">his is the case with any prescribing or supply from a practitioner who is not the patient’s usual GP, or even the usual GP. It is incumbent on the dispensing pharmacist to assure themselves that there is not a possibility of a significant </w:t>
      </w:r>
      <w:r w:rsidR="00457202">
        <w:t>medicine</w:t>
      </w:r>
      <w:r w:rsidRPr="00077D9B">
        <w:t xml:space="preserve"> interaction. Pharmacists </w:t>
      </w:r>
      <w:r>
        <w:t xml:space="preserve">should use usual </w:t>
      </w:r>
      <w:r w:rsidRPr="00077D9B">
        <w:t>process</w:t>
      </w:r>
      <w:r>
        <w:t>es to</w:t>
      </w:r>
      <w:r w:rsidRPr="00077D9B">
        <w:t xml:space="preserve"> confirm current medications.</w:t>
      </w:r>
      <w:r w:rsidR="00480DFA">
        <w:t xml:space="preserve"> A patient’s medicines list is typically available through the </w:t>
      </w:r>
      <w:r w:rsidR="00480DFA">
        <w:rPr>
          <w:rFonts w:eastAsiaTheme="minorEastAsia"/>
        </w:rPr>
        <w:t>COVID Care in the Community Module (CCCM)</w:t>
      </w:r>
      <w:r w:rsidR="00761A13">
        <w:rPr>
          <w:rFonts w:eastAsiaTheme="minorEastAsia"/>
        </w:rPr>
        <w:t xml:space="preserve"> and/or the regional </w:t>
      </w:r>
      <w:r w:rsidRPr="00360DEA" w:rsidR="00360DEA">
        <w:rPr>
          <w:rFonts w:eastAsiaTheme="minorEastAsia"/>
        </w:rPr>
        <w:t>clinical information sharing services</w:t>
      </w:r>
      <w:r w:rsidR="00360DEA">
        <w:rPr>
          <w:rFonts w:eastAsiaTheme="minorEastAsia"/>
        </w:rPr>
        <w:t xml:space="preserve"> (</w:t>
      </w:r>
      <w:proofErr w:type="spellStart"/>
      <w:r w:rsidR="00360DEA">
        <w:rPr>
          <w:rFonts w:eastAsiaTheme="minorEastAsia"/>
        </w:rPr>
        <w:t>eg</w:t>
      </w:r>
      <w:proofErr w:type="spellEnd"/>
      <w:r w:rsidR="00360DEA">
        <w:rPr>
          <w:rFonts w:eastAsiaTheme="minorEastAsia"/>
        </w:rPr>
        <w:t xml:space="preserve">, </w:t>
      </w:r>
      <w:proofErr w:type="spellStart"/>
      <w:r w:rsidR="00360DEA">
        <w:rPr>
          <w:rFonts w:eastAsiaTheme="minorEastAsia"/>
        </w:rPr>
        <w:t>TestSafe</w:t>
      </w:r>
      <w:proofErr w:type="spellEnd"/>
      <w:r w:rsidR="00360DEA">
        <w:rPr>
          <w:rFonts w:eastAsiaTheme="minorEastAsia"/>
        </w:rPr>
        <w:t xml:space="preserve">, </w:t>
      </w:r>
      <w:proofErr w:type="spellStart"/>
      <w:r w:rsidR="00360DEA">
        <w:rPr>
          <w:rFonts w:eastAsiaTheme="minorEastAsia"/>
        </w:rPr>
        <w:t>HealthOne</w:t>
      </w:r>
      <w:proofErr w:type="spellEnd"/>
      <w:r w:rsidR="00360DEA">
        <w:rPr>
          <w:rFonts w:eastAsiaTheme="minorEastAsia"/>
        </w:rPr>
        <w:t xml:space="preserve">, </w:t>
      </w:r>
      <w:proofErr w:type="spellStart"/>
      <w:r w:rsidR="00360DEA">
        <w:rPr>
          <w:rFonts w:eastAsiaTheme="minorEastAsia"/>
        </w:rPr>
        <w:t>reCare</w:t>
      </w:r>
      <w:proofErr w:type="spellEnd"/>
      <w:r w:rsidR="00360DEA">
        <w:rPr>
          <w:rFonts w:eastAsiaTheme="minorEastAsia"/>
        </w:rPr>
        <w:t>)</w:t>
      </w:r>
      <w:r w:rsidR="009968AE">
        <w:rPr>
          <w:rFonts w:eastAsiaTheme="minorEastAsia"/>
        </w:rPr>
        <w:t>.</w:t>
      </w:r>
    </w:p>
    <w:p w:rsidR="00E466A5" w:rsidP="00E76626" w:rsidRDefault="00E466A5" w14:paraId="47182CA8" w14:textId="77777777">
      <w:pPr>
        <w:pStyle w:val="Style1"/>
      </w:pPr>
      <w:r>
        <w:t>M</w:t>
      </w:r>
      <w:r w:rsidRPr="003B68C7">
        <w:t>ed</w:t>
      </w:r>
      <w:r>
        <w:t>icines may have been prescribed</w:t>
      </w:r>
      <w:r w:rsidRPr="003B68C7">
        <w:t xml:space="preserve"> by </w:t>
      </w:r>
      <w:r>
        <w:t>secondary care practitioners without the GP knowing.  H</w:t>
      </w:r>
      <w:r w:rsidRPr="003B68C7">
        <w:t xml:space="preserve">ow can </w:t>
      </w:r>
      <w:r>
        <w:t xml:space="preserve">the </w:t>
      </w:r>
      <w:r w:rsidRPr="003B68C7">
        <w:t xml:space="preserve">GP check for </w:t>
      </w:r>
      <w:r>
        <w:t>in</w:t>
      </w:r>
      <w:r w:rsidRPr="003B68C7">
        <w:t>teractions?</w:t>
      </w:r>
    </w:p>
    <w:p w:rsidR="005876B9" w:rsidP="00F02974" w:rsidRDefault="00E466A5" w14:paraId="11752201" w14:textId="4CF37190">
      <w:r>
        <w:t>T</w:t>
      </w:r>
      <w:r w:rsidRPr="004159D3">
        <w:t xml:space="preserve">his is a </w:t>
      </w:r>
      <w:r>
        <w:t xml:space="preserve">potential </w:t>
      </w:r>
      <w:r w:rsidRPr="004159D3">
        <w:t xml:space="preserve">problem with all prescribing. </w:t>
      </w:r>
      <w:r w:rsidR="001F56CA">
        <w:t xml:space="preserve">Secondary care clinicians should </w:t>
      </w:r>
      <w:r w:rsidR="00A84398">
        <w:t>inform the patient’s GP that an advance prescription has been issued</w:t>
      </w:r>
      <w:r w:rsidR="009802C4">
        <w:t xml:space="preserve">, </w:t>
      </w:r>
      <w:r w:rsidRPr="004159D3">
        <w:t>and prescribers and dispensers should routinely ask about new medications.</w:t>
      </w:r>
    </w:p>
    <w:p w:rsidRPr="00C641C5" w:rsidR="00C104EB" w:rsidP="00C104EB" w:rsidRDefault="00951D0F" w14:paraId="2A5C4AB6" w14:textId="1F1E9D2A">
      <w:r>
        <w:rPr>
          <w:rFonts w:eastAsiaTheme="minorEastAsia"/>
        </w:rPr>
        <w:t xml:space="preserve">If the </w:t>
      </w:r>
      <w:r w:rsidR="00914EC7">
        <w:rPr>
          <w:rFonts w:eastAsiaTheme="minorEastAsia"/>
        </w:rPr>
        <w:t>hospital</w:t>
      </w:r>
      <w:r w:rsidR="005C1EBA">
        <w:rPr>
          <w:rFonts w:eastAsiaTheme="minorEastAsia"/>
        </w:rPr>
        <w:t>-</w:t>
      </w:r>
      <w:r w:rsidR="00914EC7">
        <w:rPr>
          <w:rFonts w:eastAsiaTheme="minorEastAsia"/>
        </w:rPr>
        <w:t>generate</w:t>
      </w:r>
      <w:r w:rsidR="005C1EBA">
        <w:rPr>
          <w:rFonts w:eastAsiaTheme="minorEastAsia"/>
        </w:rPr>
        <w:t>d</w:t>
      </w:r>
      <w:r w:rsidR="00914EC7">
        <w:rPr>
          <w:rFonts w:eastAsiaTheme="minorEastAsia"/>
        </w:rPr>
        <w:t xml:space="preserve"> prescription was dispensed by a community pharmacy</w:t>
      </w:r>
      <w:r w:rsidR="00C104EB">
        <w:rPr>
          <w:rFonts w:eastAsiaTheme="minorEastAsia"/>
        </w:rPr>
        <w:t xml:space="preserve"> the medicine(s) are also captured in </w:t>
      </w:r>
      <w:r w:rsidR="00152719">
        <w:rPr>
          <w:rFonts w:eastAsiaTheme="minorEastAsia"/>
        </w:rPr>
        <w:t xml:space="preserve">the </w:t>
      </w:r>
      <w:r w:rsidR="00152719">
        <w:t>New Zealand electronic Prescription Service (</w:t>
      </w:r>
      <w:proofErr w:type="spellStart"/>
      <w:r w:rsidRPr="00C641C5" w:rsidR="00152719">
        <w:t>NZePS</w:t>
      </w:r>
      <w:proofErr w:type="spellEnd"/>
      <w:r w:rsidR="00152719">
        <w:t>)</w:t>
      </w:r>
      <w:r w:rsidR="008A7971">
        <w:t xml:space="preserve"> and will usually be</w:t>
      </w:r>
      <w:r w:rsidR="00C104EB">
        <w:t xml:space="preserve"> available through the </w:t>
      </w:r>
      <w:r w:rsidR="00C104EB">
        <w:rPr>
          <w:rFonts w:eastAsiaTheme="minorEastAsia"/>
        </w:rPr>
        <w:t xml:space="preserve">COVID Care in the Community Module (CCCM) and/or the regional </w:t>
      </w:r>
      <w:r w:rsidRPr="00360DEA" w:rsidR="00C104EB">
        <w:rPr>
          <w:rFonts w:eastAsiaTheme="minorEastAsia"/>
        </w:rPr>
        <w:t>clinical information sharing services</w:t>
      </w:r>
      <w:r w:rsidR="00C104EB">
        <w:rPr>
          <w:rFonts w:eastAsiaTheme="minorEastAsia"/>
        </w:rPr>
        <w:t xml:space="preserve"> (</w:t>
      </w:r>
      <w:proofErr w:type="spellStart"/>
      <w:r w:rsidR="00C104EB">
        <w:rPr>
          <w:rFonts w:eastAsiaTheme="minorEastAsia"/>
        </w:rPr>
        <w:t>eg</w:t>
      </w:r>
      <w:proofErr w:type="spellEnd"/>
      <w:r w:rsidR="00C104EB">
        <w:rPr>
          <w:rFonts w:eastAsiaTheme="minorEastAsia"/>
        </w:rPr>
        <w:t xml:space="preserve">, </w:t>
      </w:r>
      <w:proofErr w:type="spellStart"/>
      <w:r w:rsidR="00C104EB">
        <w:rPr>
          <w:rFonts w:eastAsiaTheme="minorEastAsia"/>
        </w:rPr>
        <w:t>TestSafe</w:t>
      </w:r>
      <w:proofErr w:type="spellEnd"/>
      <w:r w:rsidR="00C104EB">
        <w:rPr>
          <w:rFonts w:eastAsiaTheme="minorEastAsia"/>
        </w:rPr>
        <w:t xml:space="preserve">, </w:t>
      </w:r>
      <w:proofErr w:type="spellStart"/>
      <w:r w:rsidR="00C104EB">
        <w:rPr>
          <w:rFonts w:eastAsiaTheme="minorEastAsia"/>
        </w:rPr>
        <w:t>HealthOne</w:t>
      </w:r>
      <w:proofErr w:type="spellEnd"/>
      <w:r w:rsidR="00C104EB">
        <w:rPr>
          <w:rFonts w:eastAsiaTheme="minorEastAsia"/>
        </w:rPr>
        <w:t xml:space="preserve">, </w:t>
      </w:r>
      <w:proofErr w:type="spellStart"/>
      <w:r w:rsidR="00C104EB">
        <w:rPr>
          <w:rFonts w:eastAsiaTheme="minorEastAsia"/>
        </w:rPr>
        <w:t>reCare</w:t>
      </w:r>
      <w:proofErr w:type="spellEnd"/>
      <w:r w:rsidR="00C104EB">
        <w:rPr>
          <w:rFonts w:eastAsiaTheme="minorEastAsia"/>
        </w:rPr>
        <w:t>).</w:t>
      </w:r>
    </w:p>
    <w:p w:rsidR="00E466A5" w:rsidP="00E76626" w:rsidRDefault="00E466A5" w14:paraId="1DFF582A" w14:textId="7ADA9419">
      <w:pPr>
        <w:pStyle w:val="Style1"/>
      </w:pPr>
      <w:r>
        <w:t>H</w:t>
      </w:r>
      <w:r w:rsidRPr="00F810B0">
        <w:t xml:space="preserve">ow </w:t>
      </w:r>
      <w:r>
        <w:t xml:space="preserve">should the pharmacist </w:t>
      </w:r>
      <w:r w:rsidRPr="00F810B0">
        <w:t>check</w:t>
      </w:r>
      <w:r>
        <w:t xml:space="preserve"> for </w:t>
      </w:r>
      <w:r w:rsidRPr="00F810B0">
        <w:t>interactions for new med</w:t>
      </w:r>
      <w:r>
        <w:t>icine</w:t>
      </w:r>
      <w:r w:rsidRPr="00F810B0">
        <w:t>s prescribed between prescription and dispensing</w:t>
      </w:r>
      <w:r>
        <w:t>?</w:t>
      </w:r>
    </w:p>
    <w:p w:rsidRPr="00A934F0" w:rsidR="00E466A5" w:rsidP="53A05F8C" w:rsidRDefault="00E466A5" w14:paraId="67E60F28" w14:textId="14AC1FC2">
      <w:pPr>
        <w:spacing w:after="0" w:line="240" w:lineRule="auto"/>
        <w:rPr>
          <w:rFonts w:cs="Calibri" w:cstheme="minorAscii"/>
        </w:rPr>
      </w:pPr>
      <w:r w:rsidRPr="53A05F8C" w:rsidR="043A2CAE">
        <w:rPr>
          <w:rFonts w:cs="Calibri" w:cstheme="minorAscii"/>
        </w:rPr>
        <w:t>The pharmacist who is dispensing an advance prescription should repeat a clinical, lab</w:t>
      </w:r>
      <w:r w:rsidRPr="53A05F8C" w:rsidR="0109BFDA">
        <w:rPr>
          <w:rFonts w:cs="Calibri" w:cstheme="minorAscii"/>
        </w:rPr>
        <w:t>oratory</w:t>
      </w:r>
      <w:r w:rsidRPr="53A05F8C" w:rsidR="0184B3C5">
        <w:rPr>
          <w:rFonts w:cs="Calibri" w:cstheme="minorAscii"/>
        </w:rPr>
        <w:t xml:space="preserve"> test</w:t>
      </w:r>
      <w:r w:rsidRPr="53A05F8C" w:rsidR="043A2CAE">
        <w:rPr>
          <w:rFonts w:cs="Calibri" w:cstheme="minorAscii"/>
        </w:rPr>
        <w:t xml:space="preserve"> (where required)</w:t>
      </w:r>
      <w:r w:rsidRPr="53A05F8C" w:rsidR="6907A060">
        <w:rPr>
          <w:rFonts w:cs="Calibri" w:cstheme="minorAscii"/>
        </w:rPr>
        <w:t>,</w:t>
      </w:r>
      <w:r w:rsidRPr="53A05F8C" w:rsidR="043A2CAE">
        <w:rPr>
          <w:rFonts w:cs="Calibri" w:cstheme="minorAscii"/>
        </w:rPr>
        <w:t xml:space="preserve"> and </w:t>
      </w:r>
      <w:r w:rsidRPr="53A05F8C" w:rsidR="385C3766">
        <w:rPr>
          <w:rFonts w:cs="Calibri" w:cstheme="minorAscii"/>
        </w:rPr>
        <w:t xml:space="preserve">medicine </w:t>
      </w:r>
      <w:r w:rsidRPr="53A05F8C" w:rsidR="385C3766">
        <w:rPr>
          <w:rFonts w:cs="Calibri" w:cstheme="minorAscii"/>
        </w:rPr>
        <w:t>review</w:t>
      </w:r>
      <w:r w:rsidRPr="53A05F8C" w:rsidR="043A2CAE">
        <w:rPr>
          <w:rFonts w:cs="Calibri" w:cstheme="minorAscii"/>
        </w:rPr>
        <w:t xml:space="preserve"> prior to dispensing the medicine.</w:t>
      </w:r>
      <w:r w:rsidRPr="53A05F8C" w:rsidR="0184B3C5">
        <w:rPr>
          <w:rFonts w:cs="Calibri" w:cstheme="minorAscii"/>
        </w:rPr>
        <w:t xml:space="preserve"> Guidance on </w:t>
      </w:r>
      <w:r w:rsidRPr="53A05F8C" w:rsidR="55407B3D">
        <w:rPr>
          <w:rFonts w:cs="Calibri" w:cstheme="minorAscii"/>
        </w:rPr>
        <w:t xml:space="preserve">the management of interactions between </w:t>
      </w:r>
      <w:r w:rsidRPr="53A05F8C" w:rsidR="77BD4C95">
        <w:rPr>
          <w:rFonts w:cs="Calibri" w:cstheme="minorAscii"/>
        </w:rPr>
        <w:t>Paxlovid</w:t>
      </w:r>
      <w:r w:rsidRPr="53A05F8C" w:rsidR="55407B3D">
        <w:rPr>
          <w:rFonts w:cs="Calibri" w:cstheme="minorAscii"/>
        </w:rPr>
        <w:t xml:space="preserve"> and other medicines is available on</w:t>
      </w:r>
      <w:r w:rsidRPr="53A05F8C" w:rsidR="52FA5212">
        <w:rPr>
          <w:rFonts w:cs="Calibri" w:cstheme="minorAscii"/>
          <w:color w:val="5D5D5D"/>
        </w:rPr>
        <w:t xml:space="preserve"> </w:t>
      </w:r>
      <w:r w:rsidRPr="53A05F8C" w:rsidR="52FA5212">
        <w:rPr>
          <w:rFonts w:cs="Calibri" w:cstheme="minorAscii"/>
        </w:rPr>
        <w:t>the</w:t>
      </w:r>
      <w:r w:rsidRPr="53A05F8C" w:rsidR="2EE20B48">
        <w:rPr>
          <w:rFonts w:cs="Calibri" w:cstheme="minorAscii"/>
          <w:color w:val="5D5D5D"/>
        </w:rPr>
        <w:t xml:space="preserve"> </w:t>
      </w:r>
      <w:hyperlink r:id="R48ff45f524754544">
        <w:r w:rsidRPr="53A05F8C" w:rsidR="52FA5212">
          <w:rPr>
            <w:rStyle w:val="Hyperlink"/>
          </w:rPr>
          <w:t>University of Liverpool’s COVID-19 interaction checker</w:t>
        </w:r>
      </w:hyperlink>
      <w:r w:rsidRPr="53A05F8C" w:rsidR="385C3766">
        <w:rPr>
          <w:rFonts w:cs="Calibri" w:cstheme="minorAscii"/>
        </w:rPr>
        <w:t>,</w:t>
      </w:r>
      <w:r w:rsidRPr="53A05F8C" w:rsidR="52FA5212">
        <w:rPr>
          <w:rFonts w:cs="Calibri" w:cstheme="minorAscii"/>
        </w:rPr>
        <w:t xml:space="preserve"> and then the</w:t>
      </w:r>
      <w:r w:rsidRPr="53A05F8C" w:rsidR="5066A497">
        <w:rPr>
          <w:rFonts w:cs="Calibri" w:cstheme="minorAscii"/>
        </w:rPr>
        <w:t xml:space="preserve"> </w:t>
      </w:r>
      <w:hyperlink r:id="R81a32f766b154ef2">
        <w:r w:rsidRPr="53A05F8C" w:rsidR="52FA5212">
          <w:rPr>
            <w:rStyle w:val="Hyperlink"/>
          </w:rPr>
          <w:t>Ontario Science Brief</w:t>
        </w:r>
      </w:hyperlink>
      <w:r w:rsidRPr="53A05F8C" w:rsidR="5066A497">
        <w:rPr>
          <w:rFonts w:cs="Calibri" w:cstheme="minorAscii"/>
        </w:rPr>
        <w:t xml:space="preserve"> </w:t>
      </w:r>
      <w:r w:rsidRPr="53A05F8C" w:rsidR="52FA5212">
        <w:rPr>
          <w:rFonts w:cs="Calibri" w:cstheme="minorAscii"/>
        </w:rPr>
        <w:t>should be consulted for specific advice on management of interactions.</w:t>
      </w:r>
    </w:p>
    <w:p w:rsidR="00E466A5" w:rsidP="00E76626" w:rsidRDefault="00E466A5" w14:paraId="7FE071CE" w14:textId="77777777">
      <w:pPr>
        <w:pStyle w:val="Style1"/>
      </w:pPr>
      <w:r>
        <w:t>Can patients request an advance prescription to carry with them while they travel overseas?</w:t>
      </w:r>
    </w:p>
    <w:p w:rsidR="00E466A5" w:rsidP="00F02974" w:rsidRDefault="00E466A5" w14:paraId="607AEAD6" w14:textId="30147FAC">
      <w:r>
        <w:t>No.  A</w:t>
      </w:r>
      <w:r w:rsidRPr="008C7132">
        <w:t xml:space="preserve">dvance prescriptions are not appropriate for people who </w:t>
      </w:r>
      <w:r>
        <w:t>wish</w:t>
      </w:r>
      <w:r w:rsidRPr="008C7132">
        <w:t xml:space="preserve"> to access COVID-</w:t>
      </w:r>
      <w:r w:rsidRPr="008C7132" w:rsidR="001F7804">
        <w:t xml:space="preserve">19 </w:t>
      </w:r>
      <w:r w:rsidR="001F7804">
        <w:t>antiviral</w:t>
      </w:r>
      <w:r w:rsidR="0080339C">
        <w:t xml:space="preserve"> medicines</w:t>
      </w:r>
      <w:r w:rsidRPr="008C7132">
        <w:t xml:space="preserve"> to take with them on overseas travel</w:t>
      </w:r>
      <w:r>
        <w:t xml:space="preserve">.  The </w:t>
      </w:r>
      <w:r w:rsidR="00D17324">
        <w:t>oral COVID</w:t>
      </w:r>
      <w:r w:rsidR="00684AEE">
        <w:t>-</w:t>
      </w:r>
      <w:r w:rsidR="0080339C">
        <w:t>19</w:t>
      </w:r>
      <w:r w:rsidR="00D17324">
        <w:t xml:space="preserve"> antiviral medicines</w:t>
      </w:r>
      <w:r>
        <w:t xml:space="preserve"> can only be dispensed if the person has been diagnosed as a confirmed or probable </w:t>
      </w:r>
      <w:r w:rsidR="00684AEE">
        <w:t xml:space="preserve">COVID-19 </w:t>
      </w:r>
      <w:r>
        <w:t>case.</w:t>
      </w:r>
    </w:p>
    <w:p w:rsidR="00E466A5" w:rsidP="009B58BD" w:rsidRDefault="00E466A5" w14:paraId="66900F72" w14:textId="67B0A46D">
      <w:pPr>
        <w:pStyle w:val="Style1"/>
        <w:ind w:left="397" w:hanging="397"/>
      </w:pPr>
      <w:r w:rsidRPr="002C1F96">
        <w:t>Are pharmacists expected to c</w:t>
      </w:r>
      <w:r w:rsidR="00E9018C">
        <w:t>heck</w:t>
      </w:r>
      <w:r w:rsidRPr="002C1F96">
        <w:t xml:space="preserve"> liver dysfunction for a restricted medicine </w:t>
      </w:r>
      <w:r w:rsidR="00904B7F">
        <w:t xml:space="preserve">supply of </w:t>
      </w:r>
      <w:proofErr w:type="spellStart"/>
      <w:r w:rsidR="00904B7F">
        <w:t>Paxlovid</w:t>
      </w:r>
      <w:proofErr w:type="spellEnd"/>
      <w:r w:rsidRPr="002C1F96">
        <w:t>?</w:t>
      </w:r>
    </w:p>
    <w:p w:rsidR="00E466A5" w:rsidP="00F02974" w:rsidRDefault="00E466A5" w14:paraId="3FAD8459" w14:textId="49656594">
      <w:r w:rsidRPr="00613733">
        <w:t>A pharmacist will need to have access to current lab</w:t>
      </w:r>
      <w:r w:rsidR="00912C35">
        <w:t>oratory</w:t>
      </w:r>
      <w:r w:rsidRPr="00613733">
        <w:t xml:space="preserve"> results in order </w:t>
      </w:r>
      <w:r w:rsidR="00912C35">
        <w:t xml:space="preserve">assess liver function before dispensing </w:t>
      </w:r>
      <w:proofErr w:type="spellStart"/>
      <w:r w:rsidRPr="00613733">
        <w:t>Paxlovid</w:t>
      </w:r>
      <w:proofErr w:type="spellEnd"/>
      <w:r w:rsidRPr="00613733">
        <w:t xml:space="preserve">. </w:t>
      </w:r>
      <w:r w:rsidR="003733E3">
        <w:t xml:space="preserve">Further guidance is provided in the </w:t>
      </w:r>
      <w:hyperlink w:history="1" r:id="rId40">
        <w:r w:rsidRPr="00385DD6" w:rsidR="00385DD6">
          <w:rPr>
            <w:rStyle w:val="Hyperlink"/>
          </w:rPr>
          <w:t xml:space="preserve">Te </w:t>
        </w:r>
        <w:proofErr w:type="spellStart"/>
        <w:r w:rsidRPr="00385DD6" w:rsidR="00385DD6">
          <w:rPr>
            <w:rStyle w:val="Hyperlink"/>
          </w:rPr>
          <w:t>Whatu</w:t>
        </w:r>
        <w:proofErr w:type="spellEnd"/>
        <w:r w:rsidRPr="00385DD6" w:rsidR="00385DD6">
          <w:rPr>
            <w:rStyle w:val="Hyperlink"/>
          </w:rPr>
          <w:t xml:space="preserve"> Ora /Pharmaceutical Society of New Zealand pharmacist training material</w:t>
        </w:r>
      </w:hyperlink>
      <w:r w:rsidR="005F0920">
        <w:t xml:space="preserve">. </w:t>
      </w:r>
      <w:r w:rsidRPr="00613733">
        <w:t>If the</w:t>
      </w:r>
      <w:r w:rsidR="005F0920">
        <w:t xml:space="preserve"> pharmacist has any </w:t>
      </w:r>
      <w:r w:rsidRPr="00613733">
        <w:t xml:space="preserve">concern about liver </w:t>
      </w:r>
      <w:proofErr w:type="gramStart"/>
      <w:r w:rsidRPr="00613733">
        <w:t>function</w:t>
      </w:r>
      <w:proofErr w:type="gramEnd"/>
      <w:r w:rsidRPr="00613733">
        <w:t xml:space="preserve"> they should discuss </w:t>
      </w:r>
      <w:r w:rsidR="006537BC">
        <w:t xml:space="preserve">this </w:t>
      </w:r>
      <w:r w:rsidRPr="00613733">
        <w:t>with the prescriber</w:t>
      </w:r>
      <w:r>
        <w:t>.</w:t>
      </w:r>
      <w:r w:rsidR="00916CCE">
        <w:t xml:space="preserve"> See question 4 for advice if the prescriber is not available.</w:t>
      </w:r>
    </w:p>
    <w:p w:rsidRPr="002C1F96" w:rsidR="00E466A5" w:rsidP="009B58BD" w:rsidRDefault="00E466A5" w14:paraId="7EBB0E70" w14:textId="77777777">
      <w:pPr>
        <w:pStyle w:val="Style1"/>
        <w:ind w:left="397" w:hanging="397"/>
      </w:pPr>
      <w:r>
        <w:lastRenderedPageBreak/>
        <w:t>Who can issue an advanced prescription?</w:t>
      </w:r>
    </w:p>
    <w:p w:rsidRPr="00613733" w:rsidR="00E466A5" w:rsidP="00293C50" w:rsidRDefault="00E466A5" w14:paraId="6925E329" w14:textId="41EE038D">
      <w:r w:rsidR="043A2CAE">
        <w:rPr/>
        <w:t xml:space="preserve">Any </w:t>
      </w:r>
      <w:r w:rsidR="6A715410">
        <w:rPr/>
        <w:t xml:space="preserve">authorised </w:t>
      </w:r>
      <w:r w:rsidR="043A2CAE">
        <w:rPr/>
        <w:t xml:space="preserve">prescriber within their </w:t>
      </w:r>
      <w:r w:rsidR="6A715410">
        <w:rPr/>
        <w:t>area of practice</w:t>
      </w:r>
      <w:r w:rsidR="5C014A56">
        <w:rPr/>
        <w:t>, including p</w:t>
      </w:r>
      <w:r w:rsidR="043A2CAE">
        <w:rPr/>
        <w:t>harmacist</w:t>
      </w:r>
      <w:r w:rsidR="5C014A56">
        <w:rPr/>
        <w:t xml:space="preserve"> prescriber</w:t>
      </w:r>
      <w:r w:rsidR="043A2CAE">
        <w:rPr/>
        <w:t xml:space="preserve">, </w:t>
      </w:r>
      <w:r w:rsidR="5C014A56">
        <w:rPr/>
        <w:t>n</w:t>
      </w:r>
      <w:r w:rsidR="043A2CAE">
        <w:rPr/>
        <w:t xml:space="preserve">urse </w:t>
      </w:r>
      <w:r w:rsidR="5C014A56">
        <w:rPr/>
        <w:t>p</w:t>
      </w:r>
      <w:r w:rsidR="043A2CAE">
        <w:rPr/>
        <w:t xml:space="preserve">ractitioner, </w:t>
      </w:r>
      <w:r w:rsidR="5C014A56">
        <w:rPr/>
        <w:t>medical d</w:t>
      </w:r>
      <w:r w:rsidR="043A2CAE">
        <w:rPr/>
        <w:t xml:space="preserve">octor, or designated </w:t>
      </w:r>
      <w:r w:rsidR="064D111E">
        <w:rPr/>
        <w:t>(r</w:t>
      </w:r>
      <w:r w:rsidR="043A2CAE">
        <w:rPr/>
        <w:t>egistered</w:t>
      </w:r>
      <w:r w:rsidR="064D111E">
        <w:rPr/>
        <w:t>)</w:t>
      </w:r>
      <w:r w:rsidR="043A2CAE">
        <w:rPr/>
        <w:t xml:space="preserve"> </w:t>
      </w:r>
      <w:r w:rsidR="064D111E">
        <w:rPr/>
        <w:t>n</w:t>
      </w:r>
      <w:r w:rsidR="043A2CAE">
        <w:rPr/>
        <w:t xml:space="preserve">urse </w:t>
      </w:r>
      <w:r w:rsidR="064D111E">
        <w:rPr/>
        <w:t>p</w:t>
      </w:r>
      <w:r w:rsidR="043A2CAE">
        <w:rPr/>
        <w:t>rescriber</w:t>
      </w:r>
      <w:r w:rsidR="38BAEE21">
        <w:rPr/>
        <w:t>, may prescribe the oral COVID-19 antiviral medicine</w:t>
      </w:r>
      <w:r w:rsidR="38BAEE21">
        <w:rPr/>
        <w:t xml:space="preserve"> </w:t>
      </w:r>
      <w:r w:rsidR="38BAEE21">
        <w:rPr/>
        <w:t>Paxlovid</w:t>
      </w:r>
      <w:r w:rsidR="043A2CAE">
        <w:rPr/>
        <w:t>.</w:t>
      </w:r>
    </w:p>
    <w:p w:rsidR="00E466A5" w:rsidP="0013660E" w:rsidRDefault="00E466A5" w14:paraId="6D887B20" w14:textId="78A4ED76">
      <w:pPr>
        <w:pStyle w:val="Style1"/>
        <w:ind w:left="397" w:hanging="397"/>
      </w:pPr>
      <w:r>
        <w:t xml:space="preserve">Is a </w:t>
      </w:r>
      <w:r w:rsidR="00FE2F0F">
        <w:t>general p</w:t>
      </w:r>
      <w:r w:rsidRPr="006C49AF">
        <w:t xml:space="preserve">ractice </w:t>
      </w:r>
      <w:r>
        <w:t xml:space="preserve">expected </w:t>
      </w:r>
      <w:r w:rsidRPr="006C49AF">
        <w:t>to identify all the</w:t>
      </w:r>
      <w:r>
        <w:t>ir</w:t>
      </w:r>
      <w:r w:rsidRPr="006C49AF">
        <w:t xml:space="preserve"> potential</w:t>
      </w:r>
      <w:r>
        <w:t>ly</w:t>
      </w:r>
      <w:r w:rsidRPr="006C49AF">
        <w:t xml:space="preserve"> eligible</w:t>
      </w:r>
      <w:r>
        <w:t xml:space="preserve"> patients?</w:t>
      </w:r>
    </w:p>
    <w:p w:rsidRPr="009E2460" w:rsidR="00E466A5" w:rsidP="00C40C75" w:rsidRDefault="00E466A5" w14:paraId="27E875A9" w14:textId="7460BB51">
      <w:r>
        <w:t>T</w:t>
      </w:r>
      <w:r w:rsidRPr="0030544B">
        <w:t>here is no expectation that practices must proactively offer advance prescriptions to their patients who are most at risk.</w:t>
      </w:r>
      <w:r w:rsidR="00B677D9">
        <w:t xml:space="preserve"> </w:t>
      </w:r>
      <w:r w:rsidR="00D51F80">
        <w:t>P</w:t>
      </w:r>
      <w:r w:rsidRPr="0030544B">
        <w:t xml:space="preserve">ractitioners are not obligated to offer an advance prescription unless they have determined that it is clinically appropriate to do so. As with any prescription, the </w:t>
      </w:r>
      <w:r w:rsidR="00B047AA">
        <w:t>practitioner</w:t>
      </w:r>
      <w:r w:rsidRPr="0030544B">
        <w:t xml:space="preserve"> is still required to conduct a clinical, lab</w:t>
      </w:r>
      <w:r w:rsidR="00B047AA">
        <w:t>oratory test</w:t>
      </w:r>
      <w:r w:rsidRPr="0030544B">
        <w:t xml:space="preserve"> (as required), and medicines review prior to prescribing or dispensing </w:t>
      </w:r>
      <w:r w:rsidR="00E76DD9">
        <w:t xml:space="preserve">oral COVID-19 antiviral </w:t>
      </w:r>
      <w:r w:rsidRPr="0030544B">
        <w:t>medicines</w:t>
      </w:r>
      <w:r>
        <w:t>.</w:t>
      </w:r>
    </w:p>
    <w:p w:rsidR="00E466A5" w:rsidP="00637122" w:rsidRDefault="00E466A5" w14:paraId="1BF691C3" w14:textId="64485A5E">
      <w:pPr>
        <w:pStyle w:val="Style1"/>
        <w:ind w:left="397" w:hanging="397"/>
      </w:pPr>
      <w:r>
        <w:t xml:space="preserve">What if a patient is seeking </w:t>
      </w:r>
      <w:proofErr w:type="spellStart"/>
      <w:r w:rsidR="00637122">
        <w:t>m</w:t>
      </w:r>
      <w:r>
        <w:t>olnupiravir</w:t>
      </w:r>
      <w:proofErr w:type="spellEnd"/>
      <w:r>
        <w:t xml:space="preserve"> privately?</w:t>
      </w:r>
    </w:p>
    <w:p w:rsidR="00E466A5" w:rsidP="00293C50" w:rsidRDefault="00E466A5" w14:paraId="5D42B69C" w14:textId="42B8C16F">
      <w:r>
        <w:t xml:space="preserve">If a patient is seeking privately funded </w:t>
      </w:r>
      <w:proofErr w:type="spellStart"/>
      <w:r w:rsidR="00637122">
        <w:t>m</w:t>
      </w:r>
      <w:r>
        <w:t>olnupiravir</w:t>
      </w:r>
      <w:proofErr w:type="spellEnd"/>
      <w:r>
        <w:t xml:space="preserve">, the prescription </w:t>
      </w:r>
      <w:r w:rsidR="00F613EC">
        <w:t>must</w:t>
      </w:r>
      <w:r>
        <w:t xml:space="preserve"> be endorsed </w:t>
      </w:r>
      <w:r w:rsidRPr="009E2460">
        <w:t>‘</w:t>
      </w:r>
      <w:proofErr w:type="gramStart"/>
      <w:r w:rsidRPr="009E2460">
        <w:t>Non-funded</w:t>
      </w:r>
      <w:proofErr w:type="gramEnd"/>
      <w:r w:rsidRPr="009E2460">
        <w:t>’</w:t>
      </w:r>
      <w:r>
        <w:t>.</w:t>
      </w:r>
      <w:r w:rsidR="00637122">
        <w:t xml:space="preserve"> The patient will have to pay the full cost of the medicine</w:t>
      </w:r>
      <w:r w:rsidR="00463449">
        <w:t xml:space="preserve"> supply.</w:t>
      </w:r>
    </w:p>
    <w:p w:rsidRPr="00593BAF" w:rsidR="00593BAF" w:rsidP="008C4510" w:rsidRDefault="00463449" w14:paraId="4A5E7A7D" w14:textId="7BCD0E89">
      <w:r>
        <w:t xml:space="preserve">Note: No privately funded </w:t>
      </w:r>
      <w:proofErr w:type="spellStart"/>
      <w:r>
        <w:t>Paxlovid</w:t>
      </w:r>
      <w:proofErr w:type="spellEnd"/>
      <w:r>
        <w:t xml:space="preserve"> is available in New Zealand</w:t>
      </w:r>
      <w:r w:rsidR="00445F63">
        <w:t xml:space="preserve">. All the </w:t>
      </w:r>
      <w:proofErr w:type="spellStart"/>
      <w:r w:rsidR="00445F63">
        <w:t>Paxlovid</w:t>
      </w:r>
      <w:proofErr w:type="spellEnd"/>
      <w:r w:rsidR="00445F63">
        <w:t xml:space="preserve"> in New Zealand is </w:t>
      </w:r>
      <w:r w:rsidR="00F613EC">
        <w:t>publicly</w:t>
      </w:r>
      <w:r w:rsidR="00445F63">
        <w:t xml:space="preserve"> </w:t>
      </w:r>
      <w:r w:rsidR="00B555B9">
        <w:t>funded,</w:t>
      </w:r>
      <w:r w:rsidR="00445F63">
        <w:t xml:space="preserve"> and people must meet the </w:t>
      </w:r>
      <w:proofErr w:type="spellStart"/>
      <w:r w:rsidR="00445F63">
        <w:t>Pharmac</w:t>
      </w:r>
      <w:proofErr w:type="spellEnd"/>
      <w:r w:rsidR="00445F63">
        <w:t xml:space="preserve"> eligibility criteria</w:t>
      </w:r>
      <w:r w:rsidR="00F613EC">
        <w:t xml:space="preserve"> to receive </w:t>
      </w:r>
      <w:proofErr w:type="spellStart"/>
      <w:r w:rsidR="00F613EC">
        <w:t>Paxlovid</w:t>
      </w:r>
      <w:proofErr w:type="spellEnd"/>
      <w:r w:rsidR="00F613EC">
        <w:t>.</w:t>
      </w:r>
    </w:p>
    <w:sectPr w:rsidRPr="00593BAF" w:rsidR="00593BAF" w:rsidSect="003F3AA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185" w:rsidP="007B4D88" w:rsidRDefault="008C7185" w14:paraId="674C8465" w14:textId="77777777">
      <w:pPr>
        <w:spacing w:after="0" w:line="240" w:lineRule="auto"/>
      </w:pPr>
      <w:r>
        <w:separator/>
      </w:r>
    </w:p>
  </w:endnote>
  <w:endnote w:type="continuationSeparator" w:id="0">
    <w:p w:rsidR="008C7185" w:rsidP="007B4D88" w:rsidRDefault="008C7185" w14:paraId="308BDF75" w14:textId="77777777">
      <w:pPr>
        <w:spacing w:after="0" w:line="240" w:lineRule="auto"/>
      </w:pPr>
      <w:r>
        <w:continuationSeparator/>
      </w:r>
    </w:p>
  </w:endnote>
  <w:endnote w:type="continuationNotice" w:id="1">
    <w:p w:rsidR="008C7185" w:rsidRDefault="008C7185" w14:paraId="3A0DB3A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87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269B" w:rsidRDefault="0086269B" w14:paraId="4465604B" w14:textId="3187BA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269B" w:rsidRDefault="0086269B" w14:paraId="0C150B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911821"/>
      <w:docPartObj>
        <w:docPartGallery w:val="Page Numbers (Bottom of Page)"/>
        <w:docPartUnique/>
      </w:docPartObj>
    </w:sdtPr>
    <w:sdtEndPr/>
    <w:sdtContent>
      <w:sdt>
        <w:sdtPr>
          <w:id w:val="1118726259"/>
          <w:docPartObj>
            <w:docPartGallery w:val="Page Numbers (Top of Page)"/>
            <w:docPartUnique/>
          </w:docPartObj>
        </w:sdtPr>
        <w:sdtEndPr/>
        <w:sdtContent>
          <w:p w:rsidR="00977BEC" w:rsidRDefault="00977BEC" w14:paraId="2A8EFB40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7BEC" w:rsidRDefault="00977BEC" w14:paraId="4A4996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4D0B72" w:rsidR="008C7185" w:rsidP="00683DC1" w:rsidRDefault="008C7185" w14:paraId="5B0436A3" w14:textId="77777777">
      <w:pPr>
        <w:pStyle w:val="Footer"/>
        <w:rPr>
          <w:b/>
          <w:bCs/>
          <w:color w:val="0C818F"/>
          <w:sz w:val="24"/>
          <w:szCs w:val="24"/>
          <w:lang w:val="mi-NZ"/>
        </w:rPr>
      </w:pPr>
      <w:proofErr w:type="spellStart"/>
      <w:r w:rsidRPr="004D0B72">
        <w:rPr>
          <w:b/>
          <w:bCs/>
          <w:color w:val="0C818F"/>
          <w:sz w:val="24"/>
          <w:szCs w:val="24"/>
          <w:lang w:val="mi-NZ"/>
        </w:rPr>
        <w:t>Notes</w:t>
      </w:r>
      <w:proofErr w:type="spellEnd"/>
    </w:p>
  </w:footnote>
  <w:footnote w:type="continuationSeparator" w:id="0">
    <w:p w:rsidR="008C7185" w:rsidP="007B4D88" w:rsidRDefault="008C7185" w14:paraId="5F807707" w14:textId="77777777">
      <w:pPr>
        <w:spacing w:after="0" w:line="240" w:lineRule="auto"/>
      </w:pPr>
      <w:r>
        <w:continuationSeparator/>
      </w:r>
    </w:p>
  </w:footnote>
  <w:footnote w:type="continuationNotice" w:id="1">
    <w:p w:rsidR="008C7185" w:rsidRDefault="008C7185" w14:paraId="1EC79E76" w14:textId="77777777">
      <w:pPr>
        <w:spacing w:after="0" w:line="240" w:lineRule="auto"/>
      </w:pPr>
    </w:p>
  </w:footnote>
  <w:footnote w:id="2">
    <w:p w:rsidRPr="00E645D0" w:rsidR="002566D8" w:rsidP="004B4ADE" w:rsidRDefault="002566D8" w14:paraId="5CCEFA09" w14:textId="196013D5">
      <w:pPr>
        <w:spacing w:after="0"/>
        <w:ind w:left="142" w:hanging="142"/>
        <w:rPr>
          <w:sz w:val="20"/>
          <w:szCs w:val="20"/>
        </w:rPr>
      </w:pPr>
      <w:r w:rsidRPr="00E645D0">
        <w:rPr>
          <w:rStyle w:val="FootnoteReference"/>
          <w:sz w:val="20"/>
          <w:szCs w:val="20"/>
        </w:rPr>
        <w:footnoteRef/>
      </w:r>
      <w:r w:rsidRPr="00E645D0">
        <w:rPr>
          <w:sz w:val="20"/>
          <w:szCs w:val="20"/>
        </w:rPr>
        <w:t xml:space="preserve"> Any authorised prescriber within their area of practice i.e. pharmacist prescriber, nurse practitioner, medical doctor, or designated (registered) nurse prescriber </w:t>
      </w:r>
    </w:p>
  </w:footnote>
  <w:footnote w:id="3">
    <w:p w:rsidRPr="00E645D0" w:rsidR="00DC1056" w:rsidP="004B4ADE" w:rsidRDefault="00DC1056" w14:paraId="7543FC96" w14:textId="3182B4B8">
      <w:pPr>
        <w:spacing w:after="0"/>
        <w:ind w:left="142" w:hanging="142"/>
        <w:rPr>
          <w:sz w:val="20"/>
          <w:szCs w:val="20"/>
        </w:rPr>
      </w:pPr>
      <w:r w:rsidRPr="00E645D0">
        <w:rPr>
          <w:rStyle w:val="FootnoteReference"/>
          <w:sz w:val="20"/>
          <w:szCs w:val="20"/>
        </w:rPr>
        <w:footnoteRef/>
      </w:r>
      <w:r w:rsidRPr="00E645D0">
        <w:rPr>
          <w:sz w:val="20"/>
          <w:szCs w:val="20"/>
        </w:rPr>
        <w:t xml:space="preserve"> All Pharmac eligibility criteria must be met EXCEPT for the requirement relating to having a current COVID-19 infection (must be determined to be COVID-19 </w:t>
      </w:r>
      <w:hyperlink w:history="1" w:anchor=":~:text=Case%20definitions,-Confirmed%20case&amp;text=A%20case%20that%20has%20laboratory,a%20validated%20NAAT%20(PCR)." r:id="rId1">
        <w:r w:rsidRPr="00E645D0">
          <w:rPr>
            <w:rStyle w:val="Hyperlink"/>
            <w:color w:val="auto"/>
            <w:sz w:val="20"/>
            <w:szCs w:val="20"/>
          </w:rPr>
          <w:t>case</w:t>
        </w:r>
      </w:hyperlink>
      <w:r w:rsidRPr="00E645D0">
        <w:rPr>
          <w:sz w:val="20"/>
          <w:szCs w:val="20"/>
        </w:rPr>
        <w:t xml:space="preserve"> for prescription to be dispensed)</w:t>
      </w:r>
      <w:r w:rsidR="00262773">
        <w:rPr>
          <w:sz w:val="20"/>
          <w:szCs w:val="20"/>
        </w:rPr>
        <w:t>.</w:t>
      </w:r>
      <w:r w:rsidRPr="00E645D0">
        <w:rPr>
          <w:sz w:val="20"/>
          <w:szCs w:val="20"/>
        </w:rPr>
        <w:t xml:space="preserve"> </w:t>
      </w:r>
      <w:r w:rsidRPr="00E645D0" w:rsidR="00502A2F">
        <w:rPr>
          <w:sz w:val="20"/>
          <w:szCs w:val="20"/>
        </w:rPr>
        <w:t>There is no requirement to prescribe COVID-19 antivirals in advance if this is not clinically appropriate</w:t>
      </w:r>
    </w:p>
  </w:footnote>
  <w:footnote w:id="4">
    <w:p w:rsidRPr="00E645D0" w:rsidR="00770382" w:rsidP="004B4ADE" w:rsidRDefault="00770382" w14:paraId="1BC837D3" w14:textId="25B4D9A1">
      <w:pPr>
        <w:pStyle w:val="FootnoteText"/>
        <w:ind w:left="142" w:hanging="142"/>
        <w:rPr>
          <w:lang w:val="mi-NZ"/>
        </w:rPr>
      </w:pPr>
      <w:r w:rsidRPr="00E645D0">
        <w:rPr>
          <w:rStyle w:val="FootnoteReference"/>
          <w:sz w:val="20"/>
        </w:rPr>
        <w:footnoteRef/>
      </w:r>
      <w:r w:rsidRPr="00E645D0">
        <w:t xml:space="preserve"> (</w:t>
      </w:r>
      <w:r w:rsidR="00B70B84">
        <w:t xml:space="preserve">See list in </w:t>
      </w:r>
      <w:hyperlink w:history="1" r:id="rId2">
        <w:r w:rsidRPr="00B70B84" w:rsidR="00B70B84">
          <w:rPr>
            <w:rStyle w:val="Hyperlink"/>
          </w:rPr>
          <w:t>H</w:t>
        </w:r>
        <w:r w:rsidRPr="00B70B84">
          <w:rPr>
            <w:rStyle w:val="Hyperlink"/>
          </w:rPr>
          <w:t>ealthpoint</w:t>
        </w:r>
      </w:hyperlink>
      <w:r w:rsidRPr="00E645D0">
        <w:t>. To search: By Service, select ‘Pharmacy’; Service Area, select ‘COVID-19 antiviral medicines (if you have a prescription from your doctor or nurse</w:t>
      </w:r>
      <w:r w:rsidR="00475D90">
        <w:t>)</w:t>
      </w:r>
      <w:r w:rsidR="0026061F">
        <w:t>’</w:t>
      </w:r>
    </w:p>
  </w:footnote>
  <w:footnote w:id="5">
    <w:p w:rsidRPr="00E645D0" w:rsidR="00653BBF" w:rsidP="004B4ADE" w:rsidRDefault="00653BBF" w14:paraId="28FFAD0A" w14:textId="24302CD7">
      <w:pPr>
        <w:spacing w:after="0"/>
        <w:ind w:left="142" w:hanging="142"/>
        <w:rPr>
          <w:sz w:val="20"/>
          <w:szCs w:val="20"/>
        </w:rPr>
      </w:pPr>
      <w:r w:rsidRPr="00E645D0">
        <w:rPr>
          <w:rStyle w:val="FootnoteReference"/>
          <w:sz w:val="20"/>
          <w:szCs w:val="20"/>
        </w:rPr>
        <w:footnoteRef/>
      </w:r>
      <w:r w:rsidRPr="00E645D0">
        <w:rPr>
          <w:sz w:val="20"/>
          <w:szCs w:val="20"/>
        </w:rPr>
        <w:t xml:space="preserve"> </w:t>
      </w:r>
      <w:r w:rsidRPr="00E645D0" w:rsidR="00F47903">
        <w:rPr>
          <w:sz w:val="20"/>
          <w:szCs w:val="20"/>
        </w:rPr>
        <w:t xml:space="preserve">Electronic prescriptions preferred. </w:t>
      </w:r>
      <w:r w:rsidRPr="00E645D0" w:rsidR="00CC43B4">
        <w:rPr>
          <w:sz w:val="20"/>
          <w:szCs w:val="20"/>
        </w:rPr>
        <w:t xml:space="preserve">Advance prescription remains valid for 90 days </w:t>
      </w:r>
    </w:p>
  </w:footnote>
  <w:footnote w:id="6">
    <w:p w:rsidRPr="00E645D0" w:rsidR="00F440DD" w:rsidP="004B4ADE" w:rsidRDefault="00F440DD" w14:paraId="16FDBADA" w14:textId="76882B47">
      <w:pPr>
        <w:pStyle w:val="FootnoteText"/>
        <w:ind w:left="142" w:hanging="142"/>
        <w:rPr>
          <w:lang w:val="mi-NZ"/>
        </w:rPr>
      </w:pPr>
      <w:r w:rsidRPr="00E645D0">
        <w:rPr>
          <w:rStyle w:val="FootnoteReference"/>
          <w:sz w:val="20"/>
        </w:rPr>
        <w:footnoteRef/>
      </w:r>
      <w:r w:rsidRPr="00E645D0">
        <w:t xml:space="preserve"> Ensure all eligibility criteria are met before dispensing</w:t>
      </w:r>
      <w:r w:rsidR="007C350C">
        <w:t>,</w:t>
      </w:r>
      <w:r w:rsidRPr="00E645D0">
        <w:t xml:space="preserve"> </w:t>
      </w:r>
      <w:r w:rsidRPr="007C350C">
        <w:rPr>
          <w:b/>
          <w:bCs/>
        </w:rPr>
        <w:t xml:space="preserve">including being  a </w:t>
      </w:r>
      <w:r w:rsidRPr="007C350C">
        <w:rPr>
          <w:rStyle w:val="Hyperlink"/>
          <w:b/>
          <w:bCs/>
        </w:rPr>
        <w:t xml:space="preserve">COVID-19 </w:t>
      </w:r>
      <w:hyperlink w:history="1" w:anchor=":~:text=Case%20definitions,-Confirmed%20case&amp;text=A%20case%20that%20has%20laboratory,a%20validated%20NAAT%20(PCR)." r:id="rId3">
        <w:r w:rsidRPr="007C350C">
          <w:rPr>
            <w:rStyle w:val="Hyperlink"/>
            <w:b/>
            <w:bCs/>
          </w:rPr>
          <w:t>case</w:t>
        </w:r>
      </w:hyperlink>
    </w:p>
  </w:footnote>
  <w:footnote w:id="7">
    <w:p w:rsidRPr="00E645D0" w:rsidR="00642F9A" w:rsidP="004B4ADE" w:rsidRDefault="00642F9A" w14:paraId="5F9073B9" w14:textId="4D1A11E7">
      <w:pPr>
        <w:spacing w:after="0"/>
        <w:ind w:left="142" w:hanging="142"/>
        <w:rPr>
          <w:sz w:val="20"/>
          <w:szCs w:val="20"/>
        </w:rPr>
      </w:pPr>
      <w:r w:rsidRPr="00E645D0">
        <w:rPr>
          <w:rStyle w:val="FootnoteReference"/>
          <w:sz w:val="20"/>
          <w:szCs w:val="20"/>
        </w:rPr>
        <w:footnoteRef/>
      </w:r>
      <w:r w:rsidRPr="00E645D0">
        <w:rPr>
          <w:sz w:val="20"/>
          <w:szCs w:val="20"/>
        </w:rPr>
        <w:t xml:space="preserve"> If the patient has not yet self-reported a positive </w:t>
      </w:r>
      <w:r w:rsidR="009B4F29">
        <w:rPr>
          <w:sz w:val="20"/>
          <w:szCs w:val="20"/>
        </w:rPr>
        <w:t xml:space="preserve">test result </w:t>
      </w:r>
      <w:r w:rsidRPr="00E645D0">
        <w:rPr>
          <w:sz w:val="20"/>
          <w:szCs w:val="20"/>
        </w:rPr>
        <w:t>on My Covid Record, encourage or assist them to do so.  If the patient is unable, or refuses, to log their positive RAT result in My COVID Record, the pharmacist must create a case in CCCM. Refer to the CCCM training material</w:t>
      </w:r>
      <w:r w:rsidR="009B4F29">
        <w:rPr>
          <w:sz w:val="20"/>
          <w:szCs w:val="20"/>
        </w:rPr>
        <w:t xml:space="preserve"> for instructions</w:t>
      </w:r>
    </w:p>
  </w:footnote>
  <w:footnote w:id="8">
    <w:p w:rsidRPr="00E645D0" w:rsidR="00C61AD6" w:rsidP="004B4ADE" w:rsidRDefault="00C61AD6" w14:paraId="0C2F86A2" w14:textId="4A16E0D6">
      <w:pPr>
        <w:pStyle w:val="FootnoteText"/>
        <w:ind w:left="142" w:hanging="142"/>
        <w:rPr>
          <w:lang w:val="mi-NZ"/>
        </w:rPr>
      </w:pPr>
      <w:r w:rsidRPr="00E645D0">
        <w:rPr>
          <w:rStyle w:val="FootnoteReference"/>
          <w:sz w:val="20"/>
        </w:rPr>
        <w:footnoteRef/>
      </w:r>
      <w:r w:rsidRPr="00E645D0">
        <w:t xml:space="preserve"> Contact local COVID Hub for support if prescriber unavailable</w:t>
      </w:r>
    </w:p>
  </w:footnote>
  <w:footnote w:id="9">
    <w:p w:rsidRPr="00E645D0" w:rsidR="009D55FD" w:rsidP="004B4ADE" w:rsidRDefault="009D55FD" w14:paraId="23B4188F" w14:textId="20A3999C">
      <w:pPr>
        <w:spacing w:after="0"/>
        <w:ind w:left="142" w:hanging="142"/>
        <w:rPr>
          <w:sz w:val="20"/>
          <w:szCs w:val="20"/>
        </w:rPr>
      </w:pPr>
      <w:r w:rsidRPr="00E645D0">
        <w:rPr>
          <w:rStyle w:val="FootnoteReference"/>
          <w:sz w:val="20"/>
          <w:szCs w:val="20"/>
        </w:rPr>
        <w:footnoteRef/>
      </w:r>
      <w:r w:rsidRPr="00E645D0">
        <w:rPr>
          <w:sz w:val="20"/>
          <w:szCs w:val="20"/>
        </w:rPr>
        <w:t xml:space="preserve"> Funding applies regardless of the mode of consultation or the type of prescriber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3A05F8C" w:rsidP="53A05F8C" w:rsidRDefault="53A05F8C" w14:paraId="5BC9E914" w14:textId="0D7CE451">
    <w:pPr>
      <w:pStyle w:val="Header"/>
      <w:tabs>
        <w:tab w:val="clear" w:leader="none" w:pos="9026"/>
        <w:tab w:val="left" w:leader="none" w:pos="7320"/>
      </w:tabs>
      <w:rPr>
        <w:sz w:val="16"/>
        <w:szCs w:val="16"/>
      </w:rPr>
    </w:pPr>
  </w:p>
  <w:p w:rsidR="007B4D88" w:rsidP="001D353B" w:rsidRDefault="00AC35CD" w14:paraId="5777EDB7" w14:textId="1994CAAC">
    <w:pPr>
      <w:pStyle w:val="Header"/>
      <w:tabs>
        <w:tab w:val="clear" w:pos="9026"/>
        <w:tab w:val="left" w:pos="7320"/>
      </w:tabs>
      <w:rPr>
        <w:sz w:val="16"/>
        <w:szCs w:val="16"/>
      </w:rPr>
    </w:pPr>
    <w:r w:rsidRPr="003F4C7C">
      <w:rPr>
        <w:noProof/>
      </w:rPr>
      <w:drawing>
        <wp:anchor distT="0" distB="0" distL="0" distR="0" simplePos="0" relativeHeight="251660288" behindDoc="1" locked="0" layoutInCell="1" allowOverlap="1" wp14:anchorId="5102FDAB" wp14:editId="54C6AC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53A05F8C" w:rsidR="53A05F8C">
      <w:rPr>
        <w:sz w:val="16"/>
        <w:szCs w:val="16"/>
      </w:rPr>
      <w:t>27 February 2023</w:t>
    </w:r>
    <w:r w:rsidR="00A45E88">
      <w:rPr>
        <w:sz w:val="16"/>
        <w:szCs w:val="16"/>
      </w:rPr>
      <w:tab/>
    </w:r>
    <w:r w:rsidR="004E7DE1">
      <w:rPr>
        <w:noProof/>
      </w:rPr>
      <w:drawing>
        <wp:inline distT="0" distB="0" distL="0" distR="0" wp14:anchorId="0F013FE8" wp14:editId="3DFD61A7">
          <wp:extent cx="1440000" cy="317401"/>
          <wp:effectExtent l="0" t="0" r="0" b="6985"/>
          <wp:docPr id="6" name="Picture 6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53B">
      <w:rPr>
        <w:sz w:val="16"/>
        <w:szCs w:val="16"/>
      </w:rPr>
      <w:tab/>
    </w:r>
  </w:p>
  <w:p w:rsidR="004F410B" w:rsidP="004E7DE1" w:rsidRDefault="004F410B" w14:paraId="44A74DB5" w14:textId="7A1E3ECD">
    <w:pPr>
      <w:pStyle w:val="Header"/>
      <w:rPr>
        <w:sz w:val="16"/>
        <w:szCs w:val="16"/>
      </w:rPr>
    </w:pPr>
    <w:r>
      <w:rPr>
        <w:sz w:val="16"/>
        <w:szCs w:val="16"/>
      </w:rPr>
      <w:t xml:space="preserve">Review date: </w:t>
    </w:r>
    <w:r w:rsidR="00204ABC">
      <w:rPr>
        <w:sz w:val="16"/>
        <w:szCs w:val="16"/>
      </w:rPr>
      <w:t>2</w:t>
    </w:r>
    <w:r w:rsidR="00C712C0">
      <w:rPr>
        <w:sz w:val="16"/>
        <w:szCs w:val="16"/>
      </w:rPr>
      <w:t>6 April 2023</w:t>
    </w:r>
  </w:p>
  <w:p w:rsidRPr="001F72F1" w:rsidR="00657ADB" w:rsidP="004E7DE1" w:rsidRDefault="00657ADB" w14:paraId="18CBABA3" w14:textId="77777777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7C57" w:rsidP="006624D4" w:rsidRDefault="00012596" w14:paraId="2BE8682B" w14:textId="4743C9A2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81D09" wp14:editId="2E9DF5D2">
          <wp:simplePos x="0" y="0"/>
          <wp:positionH relativeFrom="column">
            <wp:posOffset>8543242</wp:posOffset>
          </wp:positionH>
          <wp:positionV relativeFrom="paragraph">
            <wp:posOffset>30869</wp:posOffset>
          </wp:positionV>
          <wp:extent cx="1439545" cy="316865"/>
          <wp:effectExtent l="0" t="0" r="8255" b="6985"/>
          <wp:wrapNone/>
          <wp:docPr id="7" name="Picture 7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D05">
      <w:rPr>
        <w:sz w:val="16"/>
        <w:szCs w:val="16"/>
      </w:rPr>
      <w:t>16 January 2023</w:t>
    </w:r>
  </w:p>
  <w:p w:rsidR="00977BEC" w:rsidP="006624D4" w:rsidRDefault="00977BEC" w14:paraId="4CE1AD5D" w14:textId="43DD9E66">
    <w:pPr>
      <w:pStyle w:val="Header"/>
      <w:rPr>
        <w:sz w:val="16"/>
        <w:szCs w:val="16"/>
      </w:rPr>
    </w:pPr>
    <w:r>
      <w:rPr>
        <w:sz w:val="16"/>
        <w:szCs w:val="16"/>
      </w:rPr>
      <w:t xml:space="preserve">Review date: </w:t>
    </w:r>
    <w:r w:rsidR="00603F33">
      <w:rPr>
        <w:sz w:val="16"/>
        <w:szCs w:val="16"/>
      </w:rPr>
      <w:t>1</w:t>
    </w:r>
    <w:r w:rsidR="004670D3">
      <w:rPr>
        <w:sz w:val="16"/>
        <w:szCs w:val="16"/>
      </w:rPr>
      <w:t>6 April 2023</w:t>
    </w:r>
    <w:r>
      <w:rPr>
        <w:sz w:val="16"/>
        <w:szCs w:val="16"/>
      </w:rPr>
      <w:t xml:space="preserve"> </w:t>
    </w:r>
  </w:p>
  <w:p w:rsidRPr="001F72F1" w:rsidR="00FC5902" w:rsidP="006624D4" w:rsidRDefault="00FC5902" w14:paraId="0EF89AA5" w14:textId="77777777">
    <w:pPr>
      <w:pStyle w:val="Header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Kx1n4Fx" int2:invalidationBookmarkName="" int2:hashCode="c/1lt/hKiPmC3P" int2:id="0VxBaecF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5B6"/>
    <w:multiLevelType w:val="hybridMultilevel"/>
    <w:tmpl w:val="E38297D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9617C5"/>
    <w:multiLevelType w:val="hybridMultilevel"/>
    <w:tmpl w:val="36E449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0F7C"/>
    <w:multiLevelType w:val="hybridMultilevel"/>
    <w:tmpl w:val="978448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D5E"/>
    <w:multiLevelType w:val="hybridMultilevel"/>
    <w:tmpl w:val="E35860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26B9"/>
    <w:multiLevelType w:val="hybridMultilevel"/>
    <w:tmpl w:val="8CC6F9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BDA"/>
    <w:multiLevelType w:val="hybridMultilevel"/>
    <w:tmpl w:val="E9B8C4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7F1484"/>
    <w:multiLevelType w:val="hybridMultilevel"/>
    <w:tmpl w:val="6E1CA898"/>
    <w:lvl w:ilvl="0" w:tplc="14090001">
      <w:start w:val="1"/>
      <w:numFmt w:val="bullet"/>
      <w:lvlText w:val=""/>
      <w:lvlJc w:val="left"/>
      <w:pPr>
        <w:ind w:left="663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7" w15:restartNumberingAfterBreak="0">
    <w:nsid w:val="1CF5172A"/>
    <w:multiLevelType w:val="hybridMultilevel"/>
    <w:tmpl w:val="B66276C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7D0A0D"/>
    <w:multiLevelType w:val="hybridMultilevel"/>
    <w:tmpl w:val="ABF68826"/>
    <w:lvl w:ilvl="0" w:tplc="D4E01ED0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C2F"/>
    <w:multiLevelType w:val="hybridMultilevel"/>
    <w:tmpl w:val="1C146E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D4C"/>
    <w:multiLevelType w:val="hybridMultilevel"/>
    <w:tmpl w:val="C7385BDC"/>
    <w:lvl w:ilvl="0" w:tplc="8A2090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392777"/>
    <w:multiLevelType w:val="hybridMultilevel"/>
    <w:tmpl w:val="56C097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50FC"/>
    <w:multiLevelType w:val="hybridMultilevel"/>
    <w:tmpl w:val="18B8AD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C0F"/>
    <w:multiLevelType w:val="hybridMultilevel"/>
    <w:tmpl w:val="7D5A84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308"/>
    <w:multiLevelType w:val="hybridMultilevel"/>
    <w:tmpl w:val="A050B5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06B1"/>
    <w:multiLevelType w:val="hybridMultilevel"/>
    <w:tmpl w:val="0B0C265E"/>
    <w:lvl w:ilvl="0" w:tplc="38545B0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E4E82"/>
    <w:multiLevelType w:val="hybridMultilevel"/>
    <w:tmpl w:val="0A6882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11600"/>
    <w:multiLevelType w:val="hybridMultilevel"/>
    <w:tmpl w:val="6EF29E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391720"/>
    <w:multiLevelType w:val="hybridMultilevel"/>
    <w:tmpl w:val="78A4AD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6372"/>
    <w:multiLevelType w:val="multilevel"/>
    <w:tmpl w:val="CEE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A1E6F70"/>
    <w:multiLevelType w:val="hybridMultilevel"/>
    <w:tmpl w:val="CCF6B95A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B103F6B"/>
    <w:multiLevelType w:val="hybridMultilevel"/>
    <w:tmpl w:val="47423F8C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5B9A7E97"/>
    <w:multiLevelType w:val="hybridMultilevel"/>
    <w:tmpl w:val="8F28815C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E1F0A3B"/>
    <w:multiLevelType w:val="hybridMultilevel"/>
    <w:tmpl w:val="6824C6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97203"/>
    <w:multiLevelType w:val="hybridMultilevel"/>
    <w:tmpl w:val="1D489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F7467"/>
    <w:multiLevelType w:val="hybridMultilevel"/>
    <w:tmpl w:val="EB56BF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1B48"/>
    <w:multiLevelType w:val="hybridMultilevel"/>
    <w:tmpl w:val="A976BC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079E"/>
    <w:multiLevelType w:val="hybridMultilevel"/>
    <w:tmpl w:val="09E05B9A"/>
    <w:lvl w:ilvl="0" w:tplc="AB0A0F40">
      <w:start w:val="1"/>
      <w:numFmt w:val="decimal"/>
      <w:pStyle w:val="Style1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072DCA"/>
    <w:multiLevelType w:val="multilevel"/>
    <w:tmpl w:val="C7E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23"/>
  </w:num>
  <w:num w:numId="10">
    <w:abstractNumId w:val="21"/>
  </w:num>
  <w:num w:numId="11">
    <w:abstractNumId w:val="4"/>
  </w:num>
  <w:num w:numId="12">
    <w:abstractNumId w:val="14"/>
  </w:num>
  <w:num w:numId="13">
    <w:abstractNumId w:val="16"/>
  </w:num>
  <w:num w:numId="14">
    <w:abstractNumId w:val="25"/>
  </w:num>
  <w:num w:numId="15">
    <w:abstractNumId w:val="26"/>
  </w:num>
  <w:num w:numId="16">
    <w:abstractNumId w:val="13"/>
  </w:num>
  <w:num w:numId="17">
    <w:abstractNumId w:val="9"/>
  </w:num>
  <w:num w:numId="18">
    <w:abstractNumId w:val="2"/>
  </w:num>
  <w:num w:numId="19">
    <w:abstractNumId w:val="3"/>
  </w:num>
  <w:num w:numId="20">
    <w:abstractNumId w:val="17"/>
  </w:num>
  <w:num w:numId="21">
    <w:abstractNumId w:val="1"/>
  </w:num>
  <w:num w:numId="22">
    <w:abstractNumId w:val="19"/>
  </w:num>
  <w:num w:numId="23">
    <w:abstractNumId w:val="28"/>
  </w:num>
  <w:num w:numId="24">
    <w:abstractNumId w:val="7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5"/>
  </w:num>
  <w:num w:numId="28">
    <w:abstractNumId w:val="15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8"/>
  </w:num>
  <w:num w:numId="38">
    <w:abstractNumId w:val="6"/>
  </w:num>
  <w:num w:numId="39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9"/>
    <w:rsid w:val="00001C18"/>
    <w:rsid w:val="00002D5B"/>
    <w:rsid w:val="00006FD9"/>
    <w:rsid w:val="00010E13"/>
    <w:rsid w:val="00012596"/>
    <w:rsid w:val="0001652F"/>
    <w:rsid w:val="00021859"/>
    <w:rsid w:val="00022378"/>
    <w:rsid w:val="00027140"/>
    <w:rsid w:val="000278AC"/>
    <w:rsid w:val="0003339F"/>
    <w:rsid w:val="0003522A"/>
    <w:rsid w:val="00036FEF"/>
    <w:rsid w:val="000515DF"/>
    <w:rsid w:val="00051736"/>
    <w:rsid w:val="0005490B"/>
    <w:rsid w:val="00057921"/>
    <w:rsid w:val="00061C22"/>
    <w:rsid w:val="000708E7"/>
    <w:rsid w:val="00070BEA"/>
    <w:rsid w:val="000710EE"/>
    <w:rsid w:val="0007347A"/>
    <w:rsid w:val="000736D3"/>
    <w:rsid w:val="00075957"/>
    <w:rsid w:val="0007749D"/>
    <w:rsid w:val="00077D9B"/>
    <w:rsid w:val="00081656"/>
    <w:rsid w:val="000845E5"/>
    <w:rsid w:val="000858B5"/>
    <w:rsid w:val="000A14AA"/>
    <w:rsid w:val="000B2330"/>
    <w:rsid w:val="000B6688"/>
    <w:rsid w:val="000C3C0E"/>
    <w:rsid w:val="000C4114"/>
    <w:rsid w:val="000C5CE6"/>
    <w:rsid w:val="000D1C04"/>
    <w:rsid w:val="000E1773"/>
    <w:rsid w:val="000E5BDC"/>
    <w:rsid w:val="000F06FE"/>
    <w:rsid w:val="000F0A27"/>
    <w:rsid w:val="000F26D9"/>
    <w:rsid w:val="000F38FE"/>
    <w:rsid w:val="000F4712"/>
    <w:rsid w:val="0010023B"/>
    <w:rsid w:val="00100926"/>
    <w:rsid w:val="0010185B"/>
    <w:rsid w:val="00101FFB"/>
    <w:rsid w:val="001026D6"/>
    <w:rsid w:val="00103120"/>
    <w:rsid w:val="001034F7"/>
    <w:rsid w:val="001038C1"/>
    <w:rsid w:val="00103CA2"/>
    <w:rsid w:val="00105223"/>
    <w:rsid w:val="0011249C"/>
    <w:rsid w:val="00112E11"/>
    <w:rsid w:val="00113A39"/>
    <w:rsid w:val="0011479C"/>
    <w:rsid w:val="001157D9"/>
    <w:rsid w:val="001177BC"/>
    <w:rsid w:val="00117CC7"/>
    <w:rsid w:val="00121F80"/>
    <w:rsid w:val="0012220C"/>
    <w:rsid w:val="00124492"/>
    <w:rsid w:val="00125493"/>
    <w:rsid w:val="00126999"/>
    <w:rsid w:val="0013084F"/>
    <w:rsid w:val="001315DF"/>
    <w:rsid w:val="00131C0D"/>
    <w:rsid w:val="0013660E"/>
    <w:rsid w:val="00141020"/>
    <w:rsid w:val="00152719"/>
    <w:rsid w:val="00152B8B"/>
    <w:rsid w:val="001546DB"/>
    <w:rsid w:val="00160276"/>
    <w:rsid w:val="00164D79"/>
    <w:rsid w:val="00170F55"/>
    <w:rsid w:val="001817D5"/>
    <w:rsid w:val="00186CF5"/>
    <w:rsid w:val="0018723A"/>
    <w:rsid w:val="00187ADB"/>
    <w:rsid w:val="00193023"/>
    <w:rsid w:val="00193E1F"/>
    <w:rsid w:val="00194D13"/>
    <w:rsid w:val="001960D9"/>
    <w:rsid w:val="00196105"/>
    <w:rsid w:val="001A33FD"/>
    <w:rsid w:val="001A3922"/>
    <w:rsid w:val="001A6B9D"/>
    <w:rsid w:val="001A7E05"/>
    <w:rsid w:val="001B1431"/>
    <w:rsid w:val="001B359B"/>
    <w:rsid w:val="001B6E9A"/>
    <w:rsid w:val="001B7163"/>
    <w:rsid w:val="001C3CF9"/>
    <w:rsid w:val="001C4E21"/>
    <w:rsid w:val="001D353B"/>
    <w:rsid w:val="001D6915"/>
    <w:rsid w:val="001E10E4"/>
    <w:rsid w:val="001E6D62"/>
    <w:rsid w:val="001F0491"/>
    <w:rsid w:val="001F3069"/>
    <w:rsid w:val="001F3465"/>
    <w:rsid w:val="001F38A5"/>
    <w:rsid w:val="001F56CA"/>
    <w:rsid w:val="001F72F1"/>
    <w:rsid w:val="001F7804"/>
    <w:rsid w:val="00204ABC"/>
    <w:rsid w:val="00205DF7"/>
    <w:rsid w:val="00214293"/>
    <w:rsid w:val="00220A40"/>
    <w:rsid w:val="002226E2"/>
    <w:rsid w:val="00222E8C"/>
    <w:rsid w:val="0022713C"/>
    <w:rsid w:val="0022753A"/>
    <w:rsid w:val="002333BE"/>
    <w:rsid w:val="002364EE"/>
    <w:rsid w:val="00244D0B"/>
    <w:rsid w:val="00246EDE"/>
    <w:rsid w:val="00247BB5"/>
    <w:rsid w:val="00252EED"/>
    <w:rsid w:val="002566D8"/>
    <w:rsid w:val="0026061F"/>
    <w:rsid w:val="00261577"/>
    <w:rsid w:val="002615D8"/>
    <w:rsid w:val="00262773"/>
    <w:rsid w:val="00264354"/>
    <w:rsid w:val="0026473C"/>
    <w:rsid w:val="00266DD1"/>
    <w:rsid w:val="00276C5D"/>
    <w:rsid w:val="00281A7E"/>
    <w:rsid w:val="00293C50"/>
    <w:rsid w:val="00295A9E"/>
    <w:rsid w:val="002A1950"/>
    <w:rsid w:val="002B1D9F"/>
    <w:rsid w:val="002B218C"/>
    <w:rsid w:val="002B4942"/>
    <w:rsid w:val="002B627F"/>
    <w:rsid w:val="002C0670"/>
    <w:rsid w:val="002C1F32"/>
    <w:rsid w:val="002C1F96"/>
    <w:rsid w:val="002C36EE"/>
    <w:rsid w:val="002D437A"/>
    <w:rsid w:val="002D49AB"/>
    <w:rsid w:val="002D56B6"/>
    <w:rsid w:val="002D5EAE"/>
    <w:rsid w:val="002E14BD"/>
    <w:rsid w:val="002E1EBA"/>
    <w:rsid w:val="002E3B85"/>
    <w:rsid w:val="002E40E5"/>
    <w:rsid w:val="002E4777"/>
    <w:rsid w:val="002F0310"/>
    <w:rsid w:val="003008E7"/>
    <w:rsid w:val="00300A05"/>
    <w:rsid w:val="00304952"/>
    <w:rsid w:val="0030544B"/>
    <w:rsid w:val="00306C99"/>
    <w:rsid w:val="003076DD"/>
    <w:rsid w:val="0030E024"/>
    <w:rsid w:val="003126C3"/>
    <w:rsid w:val="00314543"/>
    <w:rsid w:val="0031589B"/>
    <w:rsid w:val="0032350B"/>
    <w:rsid w:val="0032484B"/>
    <w:rsid w:val="00325170"/>
    <w:rsid w:val="00327A8B"/>
    <w:rsid w:val="00327EE0"/>
    <w:rsid w:val="00330D61"/>
    <w:rsid w:val="003317FD"/>
    <w:rsid w:val="00337913"/>
    <w:rsid w:val="00341B39"/>
    <w:rsid w:val="00344B29"/>
    <w:rsid w:val="003462B6"/>
    <w:rsid w:val="003472BA"/>
    <w:rsid w:val="003519EF"/>
    <w:rsid w:val="00352179"/>
    <w:rsid w:val="00354B2B"/>
    <w:rsid w:val="00355823"/>
    <w:rsid w:val="003568BD"/>
    <w:rsid w:val="00360DEA"/>
    <w:rsid w:val="00362C97"/>
    <w:rsid w:val="00362EC9"/>
    <w:rsid w:val="00365110"/>
    <w:rsid w:val="00367171"/>
    <w:rsid w:val="003733E3"/>
    <w:rsid w:val="00373D4D"/>
    <w:rsid w:val="00385DD6"/>
    <w:rsid w:val="00387A69"/>
    <w:rsid w:val="00394721"/>
    <w:rsid w:val="00395323"/>
    <w:rsid w:val="003A310C"/>
    <w:rsid w:val="003A3729"/>
    <w:rsid w:val="003A39BA"/>
    <w:rsid w:val="003A6EFA"/>
    <w:rsid w:val="003B3370"/>
    <w:rsid w:val="003B68C7"/>
    <w:rsid w:val="003C37F4"/>
    <w:rsid w:val="003C4106"/>
    <w:rsid w:val="003C4F69"/>
    <w:rsid w:val="003C7335"/>
    <w:rsid w:val="003D02D7"/>
    <w:rsid w:val="003D1ACD"/>
    <w:rsid w:val="003D1D91"/>
    <w:rsid w:val="003D26CB"/>
    <w:rsid w:val="003D330C"/>
    <w:rsid w:val="003D4BDF"/>
    <w:rsid w:val="003D59BB"/>
    <w:rsid w:val="003D7F6B"/>
    <w:rsid w:val="003E1CBC"/>
    <w:rsid w:val="003E2933"/>
    <w:rsid w:val="003E52B5"/>
    <w:rsid w:val="003E571A"/>
    <w:rsid w:val="003E7153"/>
    <w:rsid w:val="003F0CBC"/>
    <w:rsid w:val="003F11C4"/>
    <w:rsid w:val="003F3AA3"/>
    <w:rsid w:val="003F5665"/>
    <w:rsid w:val="003F691F"/>
    <w:rsid w:val="00403367"/>
    <w:rsid w:val="00403A59"/>
    <w:rsid w:val="00405684"/>
    <w:rsid w:val="00406636"/>
    <w:rsid w:val="00406E2F"/>
    <w:rsid w:val="004159D3"/>
    <w:rsid w:val="00417CD4"/>
    <w:rsid w:val="00423D91"/>
    <w:rsid w:val="00424C95"/>
    <w:rsid w:val="0042522B"/>
    <w:rsid w:val="00427216"/>
    <w:rsid w:val="00435E5E"/>
    <w:rsid w:val="00441905"/>
    <w:rsid w:val="00445F5D"/>
    <w:rsid w:val="00445F63"/>
    <w:rsid w:val="004474EF"/>
    <w:rsid w:val="00447DC0"/>
    <w:rsid w:val="00452474"/>
    <w:rsid w:val="00454B9C"/>
    <w:rsid w:val="00457202"/>
    <w:rsid w:val="00463449"/>
    <w:rsid w:val="00463B79"/>
    <w:rsid w:val="00464987"/>
    <w:rsid w:val="004656DD"/>
    <w:rsid w:val="00466593"/>
    <w:rsid w:val="004670D3"/>
    <w:rsid w:val="0047043E"/>
    <w:rsid w:val="00475D90"/>
    <w:rsid w:val="00476459"/>
    <w:rsid w:val="004777D6"/>
    <w:rsid w:val="004805A4"/>
    <w:rsid w:val="00480BC7"/>
    <w:rsid w:val="00480DFA"/>
    <w:rsid w:val="00483128"/>
    <w:rsid w:val="00487B49"/>
    <w:rsid w:val="00490983"/>
    <w:rsid w:val="00491C80"/>
    <w:rsid w:val="004924B5"/>
    <w:rsid w:val="004A134E"/>
    <w:rsid w:val="004A3217"/>
    <w:rsid w:val="004A34C0"/>
    <w:rsid w:val="004A375E"/>
    <w:rsid w:val="004A3825"/>
    <w:rsid w:val="004A43F4"/>
    <w:rsid w:val="004A48BF"/>
    <w:rsid w:val="004A5448"/>
    <w:rsid w:val="004A765A"/>
    <w:rsid w:val="004B3AAE"/>
    <w:rsid w:val="004B4AB5"/>
    <w:rsid w:val="004B4ADE"/>
    <w:rsid w:val="004B791C"/>
    <w:rsid w:val="004C2155"/>
    <w:rsid w:val="004C2845"/>
    <w:rsid w:val="004D0B72"/>
    <w:rsid w:val="004E1D13"/>
    <w:rsid w:val="004E2E06"/>
    <w:rsid w:val="004E6E25"/>
    <w:rsid w:val="004E7DE1"/>
    <w:rsid w:val="004F410B"/>
    <w:rsid w:val="004F5798"/>
    <w:rsid w:val="004F7651"/>
    <w:rsid w:val="005010FD"/>
    <w:rsid w:val="0050224B"/>
    <w:rsid w:val="00502A2F"/>
    <w:rsid w:val="00505F6A"/>
    <w:rsid w:val="00512432"/>
    <w:rsid w:val="00512653"/>
    <w:rsid w:val="00513926"/>
    <w:rsid w:val="005253AB"/>
    <w:rsid w:val="0054161F"/>
    <w:rsid w:val="005455E1"/>
    <w:rsid w:val="00545FB5"/>
    <w:rsid w:val="00551699"/>
    <w:rsid w:val="005530A1"/>
    <w:rsid w:val="00557B29"/>
    <w:rsid w:val="0056678E"/>
    <w:rsid w:val="00567B9B"/>
    <w:rsid w:val="00572C24"/>
    <w:rsid w:val="00573732"/>
    <w:rsid w:val="005800FD"/>
    <w:rsid w:val="005815AB"/>
    <w:rsid w:val="00584397"/>
    <w:rsid w:val="005854C8"/>
    <w:rsid w:val="005876B9"/>
    <w:rsid w:val="00593BAF"/>
    <w:rsid w:val="0059549A"/>
    <w:rsid w:val="005960BD"/>
    <w:rsid w:val="005A2520"/>
    <w:rsid w:val="005A2FB7"/>
    <w:rsid w:val="005A460F"/>
    <w:rsid w:val="005B09B2"/>
    <w:rsid w:val="005B09C9"/>
    <w:rsid w:val="005B0FDB"/>
    <w:rsid w:val="005B187B"/>
    <w:rsid w:val="005B3865"/>
    <w:rsid w:val="005B41A7"/>
    <w:rsid w:val="005B59B4"/>
    <w:rsid w:val="005B71EF"/>
    <w:rsid w:val="005B781A"/>
    <w:rsid w:val="005C1EBA"/>
    <w:rsid w:val="005C36F5"/>
    <w:rsid w:val="005C3B1B"/>
    <w:rsid w:val="005C6B6B"/>
    <w:rsid w:val="005C6D39"/>
    <w:rsid w:val="005D17E8"/>
    <w:rsid w:val="005D1B18"/>
    <w:rsid w:val="005D69ED"/>
    <w:rsid w:val="005E0A7D"/>
    <w:rsid w:val="005E30F5"/>
    <w:rsid w:val="005E472C"/>
    <w:rsid w:val="005E5A1E"/>
    <w:rsid w:val="005E5C71"/>
    <w:rsid w:val="005F0911"/>
    <w:rsid w:val="005F0920"/>
    <w:rsid w:val="005F0B93"/>
    <w:rsid w:val="005F209B"/>
    <w:rsid w:val="005F3455"/>
    <w:rsid w:val="005F368F"/>
    <w:rsid w:val="005F3ED0"/>
    <w:rsid w:val="005F545F"/>
    <w:rsid w:val="005F6648"/>
    <w:rsid w:val="00603F33"/>
    <w:rsid w:val="00605A36"/>
    <w:rsid w:val="00613733"/>
    <w:rsid w:val="0061388F"/>
    <w:rsid w:val="006153F4"/>
    <w:rsid w:val="00620004"/>
    <w:rsid w:val="006211BE"/>
    <w:rsid w:val="00622104"/>
    <w:rsid w:val="006323FC"/>
    <w:rsid w:val="006366AC"/>
    <w:rsid w:val="006368AB"/>
    <w:rsid w:val="00637122"/>
    <w:rsid w:val="00640685"/>
    <w:rsid w:val="00641F16"/>
    <w:rsid w:val="00642F9A"/>
    <w:rsid w:val="00643A7D"/>
    <w:rsid w:val="00644D02"/>
    <w:rsid w:val="006476FF"/>
    <w:rsid w:val="0065068B"/>
    <w:rsid w:val="0065128D"/>
    <w:rsid w:val="006537BC"/>
    <w:rsid w:val="00653BBF"/>
    <w:rsid w:val="00657ADB"/>
    <w:rsid w:val="006602BF"/>
    <w:rsid w:val="006624D4"/>
    <w:rsid w:val="006635A6"/>
    <w:rsid w:val="00663995"/>
    <w:rsid w:val="00664FC3"/>
    <w:rsid w:val="00665C96"/>
    <w:rsid w:val="00666C8E"/>
    <w:rsid w:val="00666E86"/>
    <w:rsid w:val="00667BF5"/>
    <w:rsid w:val="00672266"/>
    <w:rsid w:val="00675A32"/>
    <w:rsid w:val="00677CF2"/>
    <w:rsid w:val="006803F5"/>
    <w:rsid w:val="006821A8"/>
    <w:rsid w:val="00682648"/>
    <w:rsid w:val="00683DC1"/>
    <w:rsid w:val="00684AEE"/>
    <w:rsid w:val="006855C5"/>
    <w:rsid w:val="00686907"/>
    <w:rsid w:val="0068705D"/>
    <w:rsid w:val="00690849"/>
    <w:rsid w:val="00694684"/>
    <w:rsid w:val="0069792E"/>
    <w:rsid w:val="006A0F37"/>
    <w:rsid w:val="006A1316"/>
    <w:rsid w:val="006A13A7"/>
    <w:rsid w:val="006A6AB1"/>
    <w:rsid w:val="006B1637"/>
    <w:rsid w:val="006B387E"/>
    <w:rsid w:val="006B641E"/>
    <w:rsid w:val="006B7B02"/>
    <w:rsid w:val="006C0E18"/>
    <w:rsid w:val="006C1011"/>
    <w:rsid w:val="006C2174"/>
    <w:rsid w:val="006C386C"/>
    <w:rsid w:val="006C49AF"/>
    <w:rsid w:val="006C4E2B"/>
    <w:rsid w:val="006D409A"/>
    <w:rsid w:val="006D6889"/>
    <w:rsid w:val="006E09B7"/>
    <w:rsid w:val="006E1F18"/>
    <w:rsid w:val="006E55E0"/>
    <w:rsid w:val="006E6D7E"/>
    <w:rsid w:val="006F12B3"/>
    <w:rsid w:val="006F2BF8"/>
    <w:rsid w:val="006F4262"/>
    <w:rsid w:val="00701268"/>
    <w:rsid w:val="007050A8"/>
    <w:rsid w:val="00706AAF"/>
    <w:rsid w:val="00706EA2"/>
    <w:rsid w:val="007116DA"/>
    <w:rsid w:val="0071577F"/>
    <w:rsid w:val="00715AC1"/>
    <w:rsid w:val="00733A94"/>
    <w:rsid w:val="007355A8"/>
    <w:rsid w:val="007363D7"/>
    <w:rsid w:val="0073785E"/>
    <w:rsid w:val="007411C3"/>
    <w:rsid w:val="00743C3C"/>
    <w:rsid w:val="00745D5C"/>
    <w:rsid w:val="00752A8C"/>
    <w:rsid w:val="0076074F"/>
    <w:rsid w:val="00761A13"/>
    <w:rsid w:val="00762512"/>
    <w:rsid w:val="00765626"/>
    <w:rsid w:val="00770382"/>
    <w:rsid w:val="0077344D"/>
    <w:rsid w:val="007734AB"/>
    <w:rsid w:val="00774F91"/>
    <w:rsid w:val="007811EE"/>
    <w:rsid w:val="0078363F"/>
    <w:rsid w:val="007840DA"/>
    <w:rsid w:val="00787B54"/>
    <w:rsid w:val="007919AA"/>
    <w:rsid w:val="007921BD"/>
    <w:rsid w:val="00794F4C"/>
    <w:rsid w:val="0079598C"/>
    <w:rsid w:val="007974E3"/>
    <w:rsid w:val="00797EE6"/>
    <w:rsid w:val="007A0E38"/>
    <w:rsid w:val="007A2545"/>
    <w:rsid w:val="007B2223"/>
    <w:rsid w:val="007B4D88"/>
    <w:rsid w:val="007C075D"/>
    <w:rsid w:val="007C350C"/>
    <w:rsid w:val="007D5462"/>
    <w:rsid w:val="007D6429"/>
    <w:rsid w:val="007F0A10"/>
    <w:rsid w:val="007F18DF"/>
    <w:rsid w:val="007F376A"/>
    <w:rsid w:val="007F5174"/>
    <w:rsid w:val="007F6A8D"/>
    <w:rsid w:val="00802396"/>
    <w:rsid w:val="0080339C"/>
    <w:rsid w:val="00805616"/>
    <w:rsid w:val="0080738A"/>
    <w:rsid w:val="00814C8D"/>
    <w:rsid w:val="00815C88"/>
    <w:rsid w:val="00816826"/>
    <w:rsid w:val="008210F7"/>
    <w:rsid w:val="00822A88"/>
    <w:rsid w:val="00833586"/>
    <w:rsid w:val="00834A5D"/>
    <w:rsid w:val="00836D98"/>
    <w:rsid w:val="00837A43"/>
    <w:rsid w:val="008412B7"/>
    <w:rsid w:val="0084266E"/>
    <w:rsid w:val="008445C5"/>
    <w:rsid w:val="00844D8E"/>
    <w:rsid w:val="008518EA"/>
    <w:rsid w:val="00851F62"/>
    <w:rsid w:val="008538CE"/>
    <w:rsid w:val="0085474E"/>
    <w:rsid w:val="00854857"/>
    <w:rsid w:val="00854EB4"/>
    <w:rsid w:val="0086065B"/>
    <w:rsid w:val="008616E9"/>
    <w:rsid w:val="008617ED"/>
    <w:rsid w:val="0086269B"/>
    <w:rsid w:val="00863E5D"/>
    <w:rsid w:val="008656E1"/>
    <w:rsid w:val="008710D6"/>
    <w:rsid w:val="00875078"/>
    <w:rsid w:val="00877289"/>
    <w:rsid w:val="008818A5"/>
    <w:rsid w:val="00883563"/>
    <w:rsid w:val="00890CC4"/>
    <w:rsid w:val="00895126"/>
    <w:rsid w:val="008A5F57"/>
    <w:rsid w:val="008A7971"/>
    <w:rsid w:val="008B1C71"/>
    <w:rsid w:val="008B7DF3"/>
    <w:rsid w:val="008C3A75"/>
    <w:rsid w:val="008C3D8D"/>
    <w:rsid w:val="008C4510"/>
    <w:rsid w:val="008C7132"/>
    <w:rsid w:val="008C7185"/>
    <w:rsid w:val="008D4400"/>
    <w:rsid w:val="008D4C47"/>
    <w:rsid w:val="008D6C22"/>
    <w:rsid w:val="008E31DE"/>
    <w:rsid w:val="008E57C2"/>
    <w:rsid w:val="008F0D1D"/>
    <w:rsid w:val="008F5A3C"/>
    <w:rsid w:val="00902965"/>
    <w:rsid w:val="00904B7F"/>
    <w:rsid w:val="0090563D"/>
    <w:rsid w:val="00906F3B"/>
    <w:rsid w:val="00912C35"/>
    <w:rsid w:val="00914EC7"/>
    <w:rsid w:val="00915A33"/>
    <w:rsid w:val="00916CCE"/>
    <w:rsid w:val="0092187B"/>
    <w:rsid w:val="00921C25"/>
    <w:rsid w:val="00924FF6"/>
    <w:rsid w:val="009312A3"/>
    <w:rsid w:val="00931494"/>
    <w:rsid w:val="00931B1D"/>
    <w:rsid w:val="00936AB3"/>
    <w:rsid w:val="00940003"/>
    <w:rsid w:val="009402F5"/>
    <w:rsid w:val="00941F87"/>
    <w:rsid w:val="00942EB9"/>
    <w:rsid w:val="009462C2"/>
    <w:rsid w:val="00946FDD"/>
    <w:rsid w:val="009502BF"/>
    <w:rsid w:val="00950723"/>
    <w:rsid w:val="00951D0F"/>
    <w:rsid w:val="00955563"/>
    <w:rsid w:val="00956C1C"/>
    <w:rsid w:val="00963B8A"/>
    <w:rsid w:val="00965D6A"/>
    <w:rsid w:val="0096751F"/>
    <w:rsid w:val="00970242"/>
    <w:rsid w:val="00971B23"/>
    <w:rsid w:val="00972D99"/>
    <w:rsid w:val="00975C25"/>
    <w:rsid w:val="00977BEC"/>
    <w:rsid w:val="009802C4"/>
    <w:rsid w:val="00980A04"/>
    <w:rsid w:val="009815C8"/>
    <w:rsid w:val="0098250D"/>
    <w:rsid w:val="00984976"/>
    <w:rsid w:val="009907EC"/>
    <w:rsid w:val="009926CA"/>
    <w:rsid w:val="00995D5F"/>
    <w:rsid w:val="009968AE"/>
    <w:rsid w:val="009A2CF4"/>
    <w:rsid w:val="009A392D"/>
    <w:rsid w:val="009A4072"/>
    <w:rsid w:val="009B4F29"/>
    <w:rsid w:val="009B58BD"/>
    <w:rsid w:val="009B5A77"/>
    <w:rsid w:val="009C2525"/>
    <w:rsid w:val="009C3AE3"/>
    <w:rsid w:val="009C7478"/>
    <w:rsid w:val="009D29D6"/>
    <w:rsid w:val="009D32B2"/>
    <w:rsid w:val="009D4F0C"/>
    <w:rsid w:val="009D55FD"/>
    <w:rsid w:val="009D594B"/>
    <w:rsid w:val="009D5E64"/>
    <w:rsid w:val="009D7480"/>
    <w:rsid w:val="009E1FED"/>
    <w:rsid w:val="009F2429"/>
    <w:rsid w:val="009F5C74"/>
    <w:rsid w:val="00A00D44"/>
    <w:rsid w:val="00A012BD"/>
    <w:rsid w:val="00A01427"/>
    <w:rsid w:val="00A01FBF"/>
    <w:rsid w:val="00A03EDF"/>
    <w:rsid w:val="00A0581C"/>
    <w:rsid w:val="00A0615D"/>
    <w:rsid w:val="00A139F9"/>
    <w:rsid w:val="00A14CC9"/>
    <w:rsid w:val="00A160DC"/>
    <w:rsid w:val="00A168DE"/>
    <w:rsid w:val="00A16A12"/>
    <w:rsid w:val="00A170C5"/>
    <w:rsid w:val="00A203C0"/>
    <w:rsid w:val="00A223C3"/>
    <w:rsid w:val="00A2731D"/>
    <w:rsid w:val="00A351BE"/>
    <w:rsid w:val="00A352F2"/>
    <w:rsid w:val="00A36BA6"/>
    <w:rsid w:val="00A37B83"/>
    <w:rsid w:val="00A42BE0"/>
    <w:rsid w:val="00A45E88"/>
    <w:rsid w:val="00A46EB2"/>
    <w:rsid w:val="00A470B7"/>
    <w:rsid w:val="00A52854"/>
    <w:rsid w:val="00A6185B"/>
    <w:rsid w:val="00A6219C"/>
    <w:rsid w:val="00A63516"/>
    <w:rsid w:val="00A635A5"/>
    <w:rsid w:val="00A63F76"/>
    <w:rsid w:val="00A64D17"/>
    <w:rsid w:val="00A6502B"/>
    <w:rsid w:val="00A65A64"/>
    <w:rsid w:val="00A678F8"/>
    <w:rsid w:val="00A74E55"/>
    <w:rsid w:val="00A75895"/>
    <w:rsid w:val="00A81252"/>
    <w:rsid w:val="00A84398"/>
    <w:rsid w:val="00A856A3"/>
    <w:rsid w:val="00A934F0"/>
    <w:rsid w:val="00A935FD"/>
    <w:rsid w:val="00A94609"/>
    <w:rsid w:val="00A973B0"/>
    <w:rsid w:val="00A97C0D"/>
    <w:rsid w:val="00AA00DF"/>
    <w:rsid w:val="00AA408A"/>
    <w:rsid w:val="00AA4C3A"/>
    <w:rsid w:val="00AA7442"/>
    <w:rsid w:val="00AA75FC"/>
    <w:rsid w:val="00AB0D52"/>
    <w:rsid w:val="00AB1C76"/>
    <w:rsid w:val="00AB2F61"/>
    <w:rsid w:val="00AB4E8C"/>
    <w:rsid w:val="00AC2513"/>
    <w:rsid w:val="00AC35CD"/>
    <w:rsid w:val="00AC7872"/>
    <w:rsid w:val="00AD11A0"/>
    <w:rsid w:val="00AE2AAB"/>
    <w:rsid w:val="00AE3275"/>
    <w:rsid w:val="00AE46D4"/>
    <w:rsid w:val="00AE4B67"/>
    <w:rsid w:val="00AE6553"/>
    <w:rsid w:val="00AE6846"/>
    <w:rsid w:val="00AE7E9E"/>
    <w:rsid w:val="00AF38BC"/>
    <w:rsid w:val="00B01D0D"/>
    <w:rsid w:val="00B0284A"/>
    <w:rsid w:val="00B02996"/>
    <w:rsid w:val="00B047AA"/>
    <w:rsid w:val="00B0493E"/>
    <w:rsid w:val="00B0674B"/>
    <w:rsid w:val="00B13FD3"/>
    <w:rsid w:val="00B168CF"/>
    <w:rsid w:val="00B16CF6"/>
    <w:rsid w:val="00B202C9"/>
    <w:rsid w:val="00B21DF6"/>
    <w:rsid w:val="00B222E4"/>
    <w:rsid w:val="00B2265D"/>
    <w:rsid w:val="00B2305C"/>
    <w:rsid w:val="00B25F14"/>
    <w:rsid w:val="00B27330"/>
    <w:rsid w:val="00B306B0"/>
    <w:rsid w:val="00B31DDD"/>
    <w:rsid w:val="00B31F30"/>
    <w:rsid w:val="00B33728"/>
    <w:rsid w:val="00B33FFE"/>
    <w:rsid w:val="00B3509D"/>
    <w:rsid w:val="00B3642C"/>
    <w:rsid w:val="00B36ABA"/>
    <w:rsid w:val="00B41109"/>
    <w:rsid w:val="00B46650"/>
    <w:rsid w:val="00B47553"/>
    <w:rsid w:val="00B52350"/>
    <w:rsid w:val="00B52411"/>
    <w:rsid w:val="00B5420B"/>
    <w:rsid w:val="00B555B9"/>
    <w:rsid w:val="00B558E2"/>
    <w:rsid w:val="00B56D43"/>
    <w:rsid w:val="00B62B5F"/>
    <w:rsid w:val="00B636AD"/>
    <w:rsid w:val="00B65B70"/>
    <w:rsid w:val="00B66A16"/>
    <w:rsid w:val="00B677D9"/>
    <w:rsid w:val="00B709EB"/>
    <w:rsid w:val="00B70B84"/>
    <w:rsid w:val="00B714D7"/>
    <w:rsid w:val="00B72262"/>
    <w:rsid w:val="00B728B5"/>
    <w:rsid w:val="00B759E9"/>
    <w:rsid w:val="00B76C61"/>
    <w:rsid w:val="00B7787F"/>
    <w:rsid w:val="00B80044"/>
    <w:rsid w:val="00B8344A"/>
    <w:rsid w:val="00B91FE6"/>
    <w:rsid w:val="00B92338"/>
    <w:rsid w:val="00B927DA"/>
    <w:rsid w:val="00B92913"/>
    <w:rsid w:val="00B94DE9"/>
    <w:rsid w:val="00B96F83"/>
    <w:rsid w:val="00BA061B"/>
    <w:rsid w:val="00BA3ED8"/>
    <w:rsid w:val="00BB0469"/>
    <w:rsid w:val="00BB71AD"/>
    <w:rsid w:val="00BD11B3"/>
    <w:rsid w:val="00BD560F"/>
    <w:rsid w:val="00BD6352"/>
    <w:rsid w:val="00BE1046"/>
    <w:rsid w:val="00BE19E6"/>
    <w:rsid w:val="00BE5663"/>
    <w:rsid w:val="00BE6763"/>
    <w:rsid w:val="00BF02D5"/>
    <w:rsid w:val="00BF0DEC"/>
    <w:rsid w:val="00BF1474"/>
    <w:rsid w:val="00BF1516"/>
    <w:rsid w:val="00BF1CC3"/>
    <w:rsid w:val="00BF32F0"/>
    <w:rsid w:val="00BF6C47"/>
    <w:rsid w:val="00C0143C"/>
    <w:rsid w:val="00C05EED"/>
    <w:rsid w:val="00C06E12"/>
    <w:rsid w:val="00C104EB"/>
    <w:rsid w:val="00C13C84"/>
    <w:rsid w:val="00C140B8"/>
    <w:rsid w:val="00C15D0A"/>
    <w:rsid w:val="00C20894"/>
    <w:rsid w:val="00C20D3B"/>
    <w:rsid w:val="00C21D0D"/>
    <w:rsid w:val="00C21F82"/>
    <w:rsid w:val="00C31690"/>
    <w:rsid w:val="00C3173E"/>
    <w:rsid w:val="00C33139"/>
    <w:rsid w:val="00C3D8D7"/>
    <w:rsid w:val="00C40C75"/>
    <w:rsid w:val="00C42ABC"/>
    <w:rsid w:val="00C51493"/>
    <w:rsid w:val="00C52ECF"/>
    <w:rsid w:val="00C56436"/>
    <w:rsid w:val="00C57799"/>
    <w:rsid w:val="00C579B3"/>
    <w:rsid w:val="00C606E2"/>
    <w:rsid w:val="00C60A08"/>
    <w:rsid w:val="00C61AD6"/>
    <w:rsid w:val="00C641C5"/>
    <w:rsid w:val="00C7087F"/>
    <w:rsid w:val="00C7126F"/>
    <w:rsid w:val="00C712C0"/>
    <w:rsid w:val="00C727B6"/>
    <w:rsid w:val="00C72CAC"/>
    <w:rsid w:val="00C77C43"/>
    <w:rsid w:val="00C83817"/>
    <w:rsid w:val="00C87C84"/>
    <w:rsid w:val="00CA0432"/>
    <w:rsid w:val="00CA200B"/>
    <w:rsid w:val="00CA25B0"/>
    <w:rsid w:val="00CA342C"/>
    <w:rsid w:val="00CA37A9"/>
    <w:rsid w:val="00CA3F32"/>
    <w:rsid w:val="00CA4700"/>
    <w:rsid w:val="00CA6C94"/>
    <w:rsid w:val="00CB01AE"/>
    <w:rsid w:val="00CB3D07"/>
    <w:rsid w:val="00CB55C0"/>
    <w:rsid w:val="00CB6684"/>
    <w:rsid w:val="00CC0FC5"/>
    <w:rsid w:val="00CC1BEE"/>
    <w:rsid w:val="00CC43B4"/>
    <w:rsid w:val="00CC6724"/>
    <w:rsid w:val="00CD23A3"/>
    <w:rsid w:val="00CD370B"/>
    <w:rsid w:val="00CD3942"/>
    <w:rsid w:val="00CD465A"/>
    <w:rsid w:val="00CD652C"/>
    <w:rsid w:val="00CE2532"/>
    <w:rsid w:val="00CE2CFD"/>
    <w:rsid w:val="00CE7ED6"/>
    <w:rsid w:val="00CF427C"/>
    <w:rsid w:val="00CF4E35"/>
    <w:rsid w:val="00CF6115"/>
    <w:rsid w:val="00D0039F"/>
    <w:rsid w:val="00D004E8"/>
    <w:rsid w:val="00D02BC0"/>
    <w:rsid w:val="00D0EEED"/>
    <w:rsid w:val="00D10AA1"/>
    <w:rsid w:val="00D11E8D"/>
    <w:rsid w:val="00D12502"/>
    <w:rsid w:val="00D143DE"/>
    <w:rsid w:val="00D16370"/>
    <w:rsid w:val="00D16907"/>
    <w:rsid w:val="00D16E6F"/>
    <w:rsid w:val="00D17324"/>
    <w:rsid w:val="00D2073E"/>
    <w:rsid w:val="00D20A51"/>
    <w:rsid w:val="00D220D3"/>
    <w:rsid w:val="00D22C5C"/>
    <w:rsid w:val="00D26CC5"/>
    <w:rsid w:val="00D342AD"/>
    <w:rsid w:val="00D36863"/>
    <w:rsid w:val="00D402B2"/>
    <w:rsid w:val="00D45A99"/>
    <w:rsid w:val="00D50E94"/>
    <w:rsid w:val="00D51D05"/>
    <w:rsid w:val="00D51F80"/>
    <w:rsid w:val="00D53D56"/>
    <w:rsid w:val="00D56642"/>
    <w:rsid w:val="00D568F0"/>
    <w:rsid w:val="00D623AB"/>
    <w:rsid w:val="00D627E7"/>
    <w:rsid w:val="00D66D47"/>
    <w:rsid w:val="00D76494"/>
    <w:rsid w:val="00D77345"/>
    <w:rsid w:val="00D77977"/>
    <w:rsid w:val="00D85622"/>
    <w:rsid w:val="00D87DD8"/>
    <w:rsid w:val="00D90F0B"/>
    <w:rsid w:val="00D949C0"/>
    <w:rsid w:val="00D9725E"/>
    <w:rsid w:val="00DA0795"/>
    <w:rsid w:val="00DA3485"/>
    <w:rsid w:val="00DA3785"/>
    <w:rsid w:val="00DA3D78"/>
    <w:rsid w:val="00DA3E23"/>
    <w:rsid w:val="00DA54CF"/>
    <w:rsid w:val="00DA60A1"/>
    <w:rsid w:val="00DB1DE5"/>
    <w:rsid w:val="00DB2595"/>
    <w:rsid w:val="00DB65C7"/>
    <w:rsid w:val="00DB7478"/>
    <w:rsid w:val="00DC1056"/>
    <w:rsid w:val="00DC1F81"/>
    <w:rsid w:val="00DC3497"/>
    <w:rsid w:val="00DC6BC1"/>
    <w:rsid w:val="00DCB578"/>
    <w:rsid w:val="00DD2830"/>
    <w:rsid w:val="00DD3DAF"/>
    <w:rsid w:val="00DD70B5"/>
    <w:rsid w:val="00DE08AF"/>
    <w:rsid w:val="00DE3ED1"/>
    <w:rsid w:val="00DE3F16"/>
    <w:rsid w:val="00DE426C"/>
    <w:rsid w:val="00DE6343"/>
    <w:rsid w:val="00DF4385"/>
    <w:rsid w:val="00E03184"/>
    <w:rsid w:val="00E04862"/>
    <w:rsid w:val="00E04AB7"/>
    <w:rsid w:val="00E06ADB"/>
    <w:rsid w:val="00E21D3F"/>
    <w:rsid w:val="00E21EA9"/>
    <w:rsid w:val="00E25AE1"/>
    <w:rsid w:val="00E30FC4"/>
    <w:rsid w:val="00E32707"/>
    <w:rsid w:val="00E33533"/>
    <w:rsid w:val="00E36522"/>
    <w:rsid w:val="00E379A7"/>
    <w:rsid w:val="00E37C90"/>
    <w:rsid w:val="00E454A7"/>
    <w:rsid w:val="00E46001"/>
    <w:rsid w:val="00E460C3"/>
    <w:rsid w:val="00E466A5"/>
    <w:rsid w:val="00E4697F"/>
    <w:rsid w:val="00E47C9C"/>
    <w:rsid w:val="00E600BF"/>
    <w:rsid w:val="00E60EAD"/>
    <w:rsid w:val="00E6121D"/>
    <w:rsid w:val="00E634ED"/>
    <w:rsid w:val="00E635BF"/>
    <w:rsid w:val="00E645D0"/>
    <w:rsid w:val="00E6496E"/>
    <w:rsid w:val="00E73E14"/>
    <w:rsid w:val="00E756F6"/>
    <w:rsid w:val="00E76626"/>
    <w:rsid w:val="00E76DD9"/>
    <w:rsid w:val="00E803C1"/>
    <w:rsid w:val="00E8095E"/>
    <w:rsid w:val="00E80CFA"/>
    <w:rsid w:val="00E80FCB"/>
    <w:rsid w:val="00E9018C"/>
    <w:rsid w:val="00E922EC"/>
    <w:rsid w:val="00E92C2A"/>
    <w:rsid w:val="00E943E9"/>
    <w:rsid w:val="00E95D80"/>
    <w:rsid w:val="00E96866"/>
    <w:rsid w:val="00E971C8"/>
    <w:rsid w:val="00EA1D23"/>
    <w:rsid w:val="00EA364A"/>
    <w:rsid w:val="00EA734B"/>
    <w:rsid w:val="00EA7969"/>
    <w:rsid w:val="00EB1ADC"/>
    <w:rsid w:val="00EB2A1A"/>
    <w:rsid w:val="00EB588E"/>
    <w:rsid w:val="00EB65F3"/>
    <w:rsid w:val="00EC2F38"/>
    <w:rsid w:val="00EC44F1"/>
    <w:rsid w:val="00EC4EB0"/>
    <w:rsid w:val="00EC52F3"/>
    <w:rsid w:val="00ECC3B2"/>
    <w:rsid w:val="00ED2EAC"/>
    <w:rsid w:val="00EE51D0"/>
    <w:rsid w:val="00EE62CD"/>
    <w:rsid w:val="00EEAC45"/>
    <w:rsid w:val="00EF2815"/>
    <w:rsid w:val="00F00356"/>
    <w:rsid w:val="00F02974"/>
    <w:rsid w:val="00F06755"/>
    <w:rsid w:val="00F07357"/>
    <w:rsid w:val="00F10980"/>
    <w:rsid w:val="00F128BE"/>
    <w:rsid w:val="00F16B45"/>
    <w:rsid w:val="00F24B7F"/>
    <w:rsid w:val="00F26FA6"/>
    <w:rsid w:val="00F275E3"/>
    <w:rsid w:val="00F32D45"/>
    <w:rsid w:val="00F332D2"/>
    <w:rsid w:val="00F3356F"/>
    <w:rsid w:val="00F33722"/>
    <w:rsid w:val="00F36324"/>
    <w:rsid w:val="00F36A7F"/>
    <w:rsid w:val="00F440DD"/>
    <w:rsid w:val="00F456CB"/>
    <w:rsid w:val="00F47903"/>
    <w:rsid w:val="00F50B03"/>
    <w:rsid w:val="00F51F5D"/>
    <w:rsid w:val="00F5393D"/>
    <w:rsid w:val="00F544A8"/>
    <w:rsid w:val="00F56622"/>
    <w:rsid w:val="00F60764"/>
    <w:rsid w:val="00F613EC"/>
    <w:rsid w:val="00F67312"/>
    <w:rsid w:val="00F71018"/>
    <w:rsid w:val="00F72967"/>
    <w:rsid w:val="00F74EE6"/>
    <w:rsid w:val="00F77FB3"/>
    <w:rsid w:val="00F810B0"/>
    <w:rsid w:val="00F814A0"/>
    <w:rsid w:val="00F82F9B"/>
    <w:rsid w:val="00F83FFC"/>
    <w:rsid w:val="00F8724A"/>
    <w:rsid w:val="00F874DC"/>
    <w:rsid w:val="00F96383"/>
    <w:rsid w:val="00F96DDB"/>
    <w:rsid w:val="00FA6736"/>
    <w:rsid w:val="00FA7D61"/>
    <w:rsid w:val="00FB104F"/>
    <w:rsid w:val="00FB4B66"/>
    <w:rsid w:val="00FB7C57"/>
    <w:rsid w:val="00FC2F65"/>
    <w:rsid w:val="00FC5902"/>
    <w:rsid w:val="00FC5D99"/>
    <w:rsid w:val="00FD1720"/>
    <w:rsid w:val="00FD1E9D"/>
    <w:rsid w:val="00FD4DD9"/>
    <w:rsid w:val="00FD6A6F"/>
    <w:rsid w:val="00FD71F8"/>
    <w:rsid w:val="00FE2F0F"/>
    <w:rsid w:val="00FE4E7B"/>
    <w:rsid w:val="00FF7073"/>
    <w:rsid w:val="00FF7E8F"/>
    <w:rsid w:val="0109BFDA"/>
    <w:rsid w:val="0184B3C5"/>
    <w:rsid w:val="020D4428"/>
    <w:rsid w:val="02A998A5"/>
    <w:rsid w:val="02C99DED"/>
    <w:rsid w:val="03586EF1"/>
    <w:rsid w:val="03AD45FF"/>
    <w:rsid w:val="03FA236B"/>
    <w:rsid w:val="0416D93E"/>
    <w:rsid w:val="043A2CAE"/>
    <w:rsid w:val="04537325"/>
    <w:rsid w:val="056AEE88"/>
    <w:rsid w:val="056EF0A5"/>
    <w:rsid w:val="05FF479C"/>
    <w:rsid w:val="062AA162"/>
    <w:rsid w:val="064D111E"/>
    <w:rsid w:val="068EE6D1"/>
    <w:rsid w:val="06BC1724"/>
    <w:rsid w:val="07AA7D42"/>
    <w:rsid w:val="07BF4E86"/>
    <w:rsid w:val="07DA0A7A"/>
    <w:rsid w:val="083C846E"/>
    <w:rsid w:val="08F245F1"/>
    <w:rsid w:val="090B0399"/>
    <w:rsid w:val="090FFBC7"/>
    <w:rsid w:val="094C73C6"/>
    <w:rsid w:val="096C27E8"/>
    <w:rsid w:val="0971DD6F"/>
    <w:rsid w:val="09C976DD"/>
    <w:rsid w:val="09F7BFF5"/>
    <w:rsid w:val="0A9513A0"/>
    <w:rsid w:val="0A9C8F9D"/>
    <w:rsid w:val="0AC75C02"/>
    <w:rsid w:val="0B019947"/>
    <w:rsid w:val="0B9FC6FF"/>
    <w:rsid w:val="0BB4FDE5"/>
    <w:rsid w:val="0BCBB7BC"/>
    <w:rsid w:val="0C1A3A60"/>
    <w:rsid w:val="0C423FB4"/>
    <w:rsid w:val="0CB92C53"/>
    <w:rsid w:val="0E650EA9"/>
    <w:rsid w:val="0E7CA274"/>
    <w:rsid w:val="0EA71040"/>
    <w:rsid w:val="0F04AE69"/>
    <w:rsid w:val="0F6878DC"/>
    <w:rsid w:val="104E9ACC"/>
    <w:rsid w:val="10567958"/>
    <w:rsid w:val="10DE854D"/>
    <w:rsid w:val="112A2382"/>
    <w:rsid w:val="125A8B37"/>
    <w:rsid w:val="12D81A33"/>
    <w:rsid w:val="12FC3FB1"/>
    <w:rsid w:val="1375BE47"/>
    <w:rsid w:val="13AB3878"/>
    <w:rsid w:val="13DB8466"/>
    <w:rsid w:val="1464B38E"/>
    <w:rsid w:val="14E9E794"/>
    <w:rsid w:val="15151F60"/>
    <w:rsid w:val="1565AB75"/>
    <w:rsid w:val="15C9D37A"/>
    <w:rsid w:val="16E072ED"/>
    <w:rsid w:val="17F3AFB7"/>
    <w:rsid w:val="181624AC"/>
    <w:rsid w:val="188E6DD1"/>
    <w:rsid w:val="18A3B997"/>
    <w:rsid w:val="18FD2331"/>
    <w:rsid w:val="1917DF25"/>
    <w:rsid w:val="191B3212"/>
    <w:rsid w:val="19424CF1"/>
    <w:rsid w:val="196F8E43"/>
    <w:rsid w:val="19A6C531"/>
    <w:rsid w:val="1A03E155"/>
    <w:rsid w:val="1A0F870B"/>
    <w:rsid w:val="1A1886D1"/>
    <w:rsid w:val="1A27D769"/>
    <w:rsid w:val="1A3C2708"/>
    <w:rsid w:val="1AF1B609"/>
    <w:rsid w:val="1B3C03BF"/>
    <w:rsid w:val="1BAD66C6"/>
    <w:rsid w:val="1BB3B226"/>
    <w:rsid w:val="1BDDB839"/>
    <w:rsid w:val="1C27A756"/>
    <w:rsid w:val="1C851066"/>
    <w:rsid w:val="1D3A8C06"/>
    <w:rsid w:val="1D528573"/>
    <w:rsid w:val="1D755623"/>
    <w:rsid w:val="1DA85EDF"/>
    <w:rsid w:val="1DBA6CFB"/>
    <w:rsid w:val="1DCD6E1E"/>
    <w:rsid w:val="1E9FABF2"/>
    <w:rsid w:val="1EE73297"/>
    <w:rsid w:val="1F31038E"/>
    <w:rsid w:val="1FD334C7"/>
    <w:rsid w:val="201F80C9"/>
    <w:rsid w:val="2052505C"/>
    <w:rsid w:val="208E2149"/>
    <w:rsid w:val="20EDA415"/>
    <w:rsid w:val="21A984E9"/>
    <w:rsid w:val="21D977C3"/>
    <w:rsid w:val="222392A8"/>
    <w:rsid w:val="2266EB68"/>
    <w:rsid w:val="232F62FE"/>
    <w:rsid w:val="2382F62B"/>
    <w:rsid w:val="23B3CB93"/>
    <w:rsid w:val="23B62B7F"/>
    <w:rsid w:val="240DE2E2"/>
    <w:rsid w:val="2418756E"/>
    <w:rsid w:val="243ED9B9"/>
    <w:rsid w:val="2486605E"/>
    <w:rsid w:val="249F1E06"/>
    <w:rsid w:val="24E6EA66"/>
    <w:rsid w:val="2518CD2C"/>
    <w:rsid w:val="25CEF451"/>
    <w:rsid w:val="25D74070"/>
    <w:rsid w:val="26BF73A4"/>
    <w:rsid w:val="271BE7FF"/>
    <w:rsid w:val="271C1AD0"/>
    <w:rsid w:val="272B4CC3"/>
    <w:rsid w:val="274A369C"/>
    <w:rsid w:val="2796288F"/>
    <w:rsid w:val="27C8AB1F"/>
    <w:rsid w:val="283039EC"/>
    <w:rsid w:val="283A0E26"/>
    <w:rsid w:val="28647BF2"/>
    <w:rsid w:val="28AE1A16"/>
    <w:rsid w:val="28F48389"/>
    <w:rsid w:val="2905FD9B"/>
    <w:rsid w:val="29458D8A"/>
    <w:rsid w:val="295A1ECE"/>
    <w:rsid w:val="295F2CE8"/>
    <w:rsid w:val="2A3E2005"/>
    <w:rsid w:val="2A55B3D0"/>
    <w:rsid w:val="2ABABD7A"/>
    <w:rsid w:val="2AFC9349"/>
    <w:rsid w:val="2B8E9A75"/>
    <w:rsid w:val="2BBB6526"/>
    <w:rsid w:val="2BBF1934"/>
    <w:rsid w:val="2C79D86A"/>
    <w:rsid w:val="2C9FB902"/>
    <w:rsid w:val="2D303260"/>
    <w:rsid w:val="2D77EC43"/>
    <w:rsid w:val="2EC51255"/>
    <w:rsid w:val="2EE20B48"/>
    <w:rsid w:val="2F0713EC"/>
    <w:rsid w:val="2F1DCDC3"/>
    <w:rsid w:val="2FF43A74"/>
    <w:rsid w:val="2FF809C0"/>
    <w:rsid w:val="300D9F3F"/>
    <w:rsid w:val="301391B1"/>
    <w:rsid w:val="30874E65"/>
    <w:rsid w:val="30B3ED4E"/>
    <w:rsid w:val="30CB4E48"/>
    <w:rsid w:val="3125E1BF"/>
    <w:rsid w:val="318A272E"/>
    <w:rsid w:val="31B724B0"/>
    <w:rsid w:val="32612549"/>
    <w:rsid w:val="32BA8EE3"/>
    <w:rsid w:val="3334CF73"/>
    <w:rsid w:val="334449F0"/>
    <w:rsid w:val="33A88F5F"/>
    <w:rsid w:val="33E7DBCD"/>
    <w:rsid w:val="342458DD"/>
    <w:rsid w:val="3447B423"/>
    <w:rsid w:val="34ABC6C1"/>
    <w:rsid w:val="351AF8AB"/>
    <w:rsid w:val="3555FA2B"/>
    <w:rsid w:val="357CAE64"/>
    <w:rsid w:val="3593683B"/>
    <w:rsid w:val="35DCF2B1"/>
    <w:rsid w:val="366B1482"/>
    <w:rsid w:val="36C50F86"/>
    <w:rsid w:val="36D01E2C"/>
    <w:rsid w:val="370B4364"/>
    <w:rsid w:val="373F5016"/>
    <w:rsid w:val="3742129D"/>
    <w:rsid w:val="37568548"/>
    <w:rsid w:val="37867822"/>
    <w:rsid w:val="37C879B9"/>
    <w:rsid w:val="37CB9AD9"/>
    <w:rsid w:val="37F9E940"/>
    <w:rsid w:val="38031597"/>
    <w:rsid w:val="3850F530"/>
    <w:rsid w:val="385C3766"/>
    <w:rsid w:val="38BAEE21"/>
    <w:rsid w:val="3903BD43"/>
    <w:rsid w:val="39471603"/>
    <w:rsid w:val="395D26DD"/>
    <w:rsid w:val="3A1A5A8B"/>
    <w:rsid w:val="3A4A8036"/>
    <w:rsid w:val="3B1ED183"/>
    <w:rsid w:val="3B668AF9"/>
    <w:rsid w:val="3B81CFE8"/>
    <w:rsid w:val="3C4F3938"/>
    <w:rsid w:val="3D1FCDA0"/>
    <w:rsid w:val="3D539A77"/>
    <w:rsid w:val="3D5C76E6"/>
    <w:rsid w:val="3DD1B0CE"/>
    <w:rsid w:val="3E29101C"/>
    <w:rsid w:val="3E932F48"/>
    <w:rsid w:val="3F9F1C8D"/>
    <w:rsid w:val="3FA97D66"/>
    <w:rsid w:val="3FA9F3AA"/>
    <w:rsid w:val="3FB1FF49"/>
    <w:rsid w:val="40332AC6"/>
    <w:rsid w:val="40782F62"/>
    <w:rsid w:val="411B2277"/>
    <w:rsid w:val="41379276"/>
    <w:rsid w:val="4198585F"/>
    <w:rsid w:val="41F1C1F9"/>
    <w:rsid w:val="42033160"/>
    <w:rsid w:val="42753BFB"/>
    <w:rsid w:val="429E5248"/>
    <w:rsid w:val="42AA6804"/>
    <w:rsid w:val="42C7FBD9"/>
    <w:rsid w:val="42D79439"/>
    <w:rsid w:val="43254ACE"/>
    <w:rsid w:val="439EF9F4"/>
    <w:rsid w:val="44113465"/>
    <w:rsid w:val="44232FF3"/>
    <w:rsid w:val="448342FC"/>
    <w:rsid w:val="45E70BB6"/>
    <w:rsid w:val="45F41CDD"/>
    <w:rsid w:val="4638E75E"/>
    <w:rsid w:val="46D50C32"/>
    <w:rsid w:val="47016291"/>
    <w:rsid w:val="470A88A4"/>
    <w:rsid w:val="473876A1"/>
    <w:rsid w:val="476804E5"/>
    <w:rsid w:val="47D57DEF"/>
    <w:rsid w:val="47D87665"/>
    <w:rsid w:val="486AE333"/>
    <w:rsid w:val="48C44CCD"/>
    <w:rsid w:val="48DF3DC9"/>
    <w:rsid w:val="48E5A00F"/>
    <w:rsid w:val="4A14C73D"/>
    <w:rsid w:val="4A3A593E"/>
    <w:rsid w:val="4A9E4F79"/>
    <w:rsid w:val="4AB584AB"/>
    <w:rsid w:val="4B5294B5"/>
    <w:rsid w:val="4B8C242D"/>
    <w:rsid w:val="4BA0F571"/>
    <w:rsid w:val="4BFB2346"/>
    <w:rsid w:val="4C6A6DB7"/>
    <w:rsid w:val="4C9D1890"/>
    <w:rsid w:val="4CCECD70"/>
    <w:rsid w:val="4CD9DC16"/>
    <w:rsid w:val="4CE4C289"/>
    <w:rsid w:val="4D490E00"/>
    <w:rsid w:val="4D604332"/>
    <w:rsid w:val="4D9DFD38"/>
    <w:rsid w:val="4DA7C9D7"/>
    <w:rsid w:val="4DCA627D"/>
    <w:rsid w:val="4E684F14"/>
    <w:rsid w:val="4EB3B2FA"/>
    <w:rsid w:val="4F20E000"/>
    <w:rsid w:val="4F3560A0"/>
    <w:rsid w:val="5066A497"/>
    <w:rsid w:val="50E05A59"/>
    <w:rsid w:val="50E75211"/>
    <w:rsid w:val="51901765"/>
    <w:rsid w:val="51D2C2D7"/>
    <w:rsid w:val="52048F2B"/>
    <w:rsid w:val="52F71529"/>
    <w:rsid w:val="52FA5212"/>
    <w:rsid w:val="52FBBF0B"/>
    <w:rsid w:val="53A05F8C"/>
    <w:rsid w:val="53ACF2CF"/>
    <w:rsid w:val="53D6A1E5"/>
    <w:rsid w:val="541EB1AA"/>
    <w:rsid w:val="5432CE06"/>
    <w:rsid w:val="5477F7C6"/>
    <w:rsid w:val="548F8B91"/>
    <w:rsid w:val="54B05D02"/>
    <w:rsid w:val="54C09109"/>
    <w:rsid w:val="54CDEFAE"/>
    <w:rsid w:val="55389F99"/>
    <w:rsid w:val="55398C2A"/>
    <w:rsid w:val="55407B3D"/>
    <w:rsid w:val="55C7A9C6"/>
    <w:rsid w:val="55F4AB7D"/>
    <w:rsid w:val="568420EE"/>
    <w:rsid w:val="5694B090"/>
    <w:rsid w:val="56965FF7"/>
    <w:rsid w:val="5701A2B4"/>
    <w:rsid w:val="576A0A21"/>
    <w:rsid w:val="5799CA2A"/>
    <w:rsid w:val="58485D4F"/>
    <w:rsid w:val="58758DA2"/>
    <w:rsid w:val="58E57E42"/>
    <w:rsid w:val="58E6BDD8"/>
    <w:rsid w:val="58E7958D"/>
    <w:rsid w:val="58FEB745"/>
    <w:rsid w:val="592F08B8"/>
    <w:rsid w:val="5A17258D"/>
    <w:rsid w:val="5AB8A736"/>
    <w:rsid w:val="5B08DF9C"/>
    <w:rsid w:val="5B27A8B2"/>
    <w:rsid w:val="5B7FCC3B"/>
    <w:rsid w:val="5C014A56"/>
    <w:rsid w:val="5C74ACD4"/>
    <w:rsid w:val="5C992C0A"/>
    <w:rsid w:val="5CDECA1C"/>
    <w:rsid w:val="5D414410"/>
    <w:rsid w:val="5D44B113"/>
    <w:rsid w:val="5D593D7D"/>
    <w:rsid w:val="5D9C963D"/>
    <w:rsid w:val="5DBFAEB5"/>
    <w:rsid w:val="5DC214CB"/>
    <w:rsid w:val="5DCAA084"/>
    <w:rsid w:val="5DE2344F"/>
    <w:rsid w:val="5E275E0F"/>
    <w:rsid w:val="5E70E78A"/>
    <w:rsid w:val="5EB4D1B4"/>
    <w:rsid w:val="5EB5DE79"/>
    <w:rsid w:val="5EDB0D09"/>
    <w:rsid w:val="5F47E5A5"/>
    <w:rsid w:val="5F500805"/>
    <w:rsid w:val="5F81089E"/>
    <w:rsid w:val="5FBC0B33"/>
    <w:rsid w:val="60A80D63"/>
    <w:rsid w:val="6146FF56"/>
    <w:rsid w:val="61FE86FC"/>
    <w:rsid w:val="62CBD364"/>
    <w:rsid w:val="62E39A00"/>
    <w:rsid w:val="63CF56D9"/>
    <w:rsid w:val="64E7790E"/>
    <w:rsid w:val="64EA6E66"/>
    <w:rsid w:val="661A11E0"/>
    <w:rsid w:val="66239B81"/>
    <w:rsid w:val="66570E32"/>
    <w:rsid w:val="668C0E5D"/>
    <w:rsid w:val="66A055E5"/>
    <w:rsid w:val="66DA4182"/>
    <w:rsid w:val="67F47A2E"/>
    <w:rsid w:val="68387A11"/>
    <w:rsid w:val="685137B9"/>
    <w:rsid w:val="6862E7DD"/>
    <w:rsid w:val="6879A1B4"/>
    <w:rsid w:val="688B6928"/>
    <w:rsid w:val="68F029AC"/>
    <w:rsid w:val="6907A060"/>
    <w:rsid w:val="690D1B47"/>
    <w:rsid w:val="6A0FC13F"/>
    <w:rsid w:val="6A272239"/>
    <w:rsid w:val="6A6224D3"/>
    <w:rsid w:val="6A715410"/>
    <w:rsid w:val="6AB89AB5"/>
    <w:rsid w:val="6AC3389A"/>
    <w:rsid w:val="6AF9BF9E"/>
    <w:rsid w:val="6B434A14"/>
    <w:rsid w:val="6BBCF93A"/>
    <w:rsid w:val="6C522CA7"/>
    <w:rsid w:val="6C87F1A3"/>
    <w:rsid w:val="6CA41F50"/>
    <w:rsid w:val="6CD534B1"/>
    <w:rsid w:val="6D1D20F8"/>
    <w:rsid w:val="6D93A7F5"/>
    <w:rsid w:val="6DD80D7A"/>
    <w:rsid w:val="6E7EB5B3"/>
    <w:rsid w:val="6EA00CE0"/>
    <w:rsid w:val="6ED88255"/>
    <w:rsid w:val="6F7DBD91"/>
    <w:rsid w:val="6F82B5BF"/>
    <w:rsid w:val="7020E377"/>
    <w:rsid w:val="708E4D23"/>
    <w:rsid w:val="70AAD155"/>
    <w:rsid w:val="70E24C13"/>
    <w:rsid w:val="70FDBA39"/>
    <w:rsid w:val="711F6924"/>
    <w:rsid w:val="71292544"/>
    <w:rsid w:val="712EC5AC"/>
    <w:rsid w:val="715EE988"/>
    <w:rsid w:val="71CD8A08"/>
    <w:rsid w:val="71F0D879"/>
    <w:rsid w:val="72E41D44"/>
    <w:rsid w:val="7334383B"/>
    <w:rsid w:val="7340B78F"/>
    <w:rsid w:val="738F677F"/>
    <w:rsid w:val="73E822ED"/>
    <w:rsid w:val="747BC3BE"/>
    <w:rsid w:val="7551A38F"/>
    <w:rsid w:val="767BB498"/>
    <w:rsid w:val="768179DA"/>
    <w:rsid w:val="773CB63D"/>
    <w:rsid w:val="7784E40D"/>
    <w:rsid w:val="779FA001"/>
    <w:rsid w:val="77BD4C95"/>
    <w:rsid w:val="787054D3"/>
    <w:rsid w:val="78857D87"/>
    <w:rsid w:val="78D5914E"/>
    <w:rsid w:val="78E24944"/>
    <w:rsid w:val="78EE9AE7"/>
    <w:rsid w:val="78FAF07E"/>
    <w:rsid w:val="7912094D"/>
    <w:rsid w:val="791A229B"/>
    <w:rsid w:val="7931BD6F"/>
    <w:rsid w:val="79D40353"/>
    <w:rsid w:val="7A1D8CCE"/>
    <w:rsid w:val="7AEBE031"/>
    <w:rsid w:val="7B00B175"/>
    <w:rsid w:val="7B24AB0F"/>
    <w:rsid w:val="7B34BAC4"/>
    <w:rsid w:val="7B69A1FE"/>
    <w:rsid w:val="7BC6CDD1"/>
    <w:rsid w:val="7BF7DC4C"/>
    <w:rsid w:val="7C03D6D1"/>
    <w:rsid w:val="7C23CD73"/>
    <w:rsid w:val="7C23CFCA"/>
    <w:rsid w:val="7C6D6349"/>
    <w:rsid w:val="7CD31255"/>
    <w:rsid w:val="7D3ECDC8"/>
    <w:rsid w:val="7D9C825F"/>
    <w:rsid w:val="7DDDF28C"/>
    <w:rsid w:val="7E11A6EA"/>
    <w:rsid w:val="7E2AA430"/>
    <w:rsid w:val="7E673BD2"/>
    <w:rsid w:val="7E6FC6E7"/>
    <w:rsid w:val="7E835F9E"/>
    <w:rsid w:val="7EC99623"/>
    <w:rsid w:val="7ED1E242"/>
    <w:rsid w:val="7F5801B2"/>
    <w:rsid w:val="7FAB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EED54"/>
  <w15:chartTrackingRefBased/>
  <w15:docId w15:val="{EEC578ED-198F-4BDD-9C2E-69592B4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37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0670"/>
    <w:pPr>
      <w:keepNext/>
      <w:keepLines/>
      <w:tabs>
        <w:tab w:val="center" w:pos="4876"/>
      </w:tabs>
      <w:spacing w:before="200" w:after="120" w:line="264" w:lineRule="auto"/>
      <w:outlineLvl w:val="0"/>
    </w:pPr>
    <w:rPr>
      <w:rFonts w:ascii="Arial Bold" w:hAnsi="Arial Bold" w:cs="Arial" w:eastAsiaTheme="majorEastAsia"/>
      <w:b/>
      <w:bCs/>
      <w:iCs/>
      <w:color w:val="0C818F"/>
      <w:kern w:val="2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35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E9"/>
    <w:pPr>
      <w:ind w:left="720"/>
      <w:contextualSpacing/>
    </w:pPr>
  </w:style>
  <w:style w:type="paragraph" w:styleId="NoSpacing">
    <w:name w:val="No Spacing"/>
    <w:uiPriority w:val="1"/>
    <w:qFormat/>
    <w:rsid w:val="007D64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6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6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63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363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3586"/>
    <w:rPr>
      <w:color w:val="2B579A"/>
      <w:shd w:val="clear" w:color="auto" w:fill="E1DFDD"/>
    </w:rPr>
  </w:style>
  <w:style w:type="table" w:styleId="GridTable5Dark-Accent2">
    <w:name w:val="Grid Table 5 Dark Accent 2"/>
    <w:basedOn w:val="TableNormal"/>
    <w:uiPriority w:val="50"/>
    <w:rsid w:val="003F3AA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AA75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5FC"/>
  </w:style>
  <w:style w:type="paragraph" w:styleId="Header">
    <w:name w:val="header"/>
    <w:basedOn w:val="Normal"/>
    <w:link w:val="HeaderChar"/>
    <w:uiPriority w:val="99"/>
    <w:unhideWhenUsed/>
    <w:rsid w:val="007B4D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4D88"/>
  </w:style>
  <w:style w:type="paragraph" w:styleId="Revision">
    <w:name w:val="Revision"/>
    <w:hidden/>
    <w:uiPriority w:val="99"/>
    <w:semiHidden/>
    <w:rsid w:val="00CF61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6435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46DB"/>
    <w:pPr>
      <w:spacing w:line="264" w:lineRule="auto"/>
    </w:pPr>
    <w:rPr>
      <w:rFonts w:eastAsia="Times New Roman" w:cstheme="minorHAnsi"/>
      <w:b/>
      <w:bCs/>
      <w:color w:val="0C818F"/>
      <w:kern w:val="22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1546DB"/>
    <w:rPr>
      <w:rFonts w:eastAsia="Times New Roman" w:cstheme="minorHAnsi"/>
      <w:b/>
      <w:bCs/>
      <w:color w:val="0C818F"/>
      <w:kern w:val="22"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rsid w:val="002C0670"/>
    <w:rPr>
      <w:rFonts w:ascii="Arial Bold" w:hAnsi="Arial Bold" w:cs="Arial" w:eastAsiaTheme="majorEastAsia"/>
      <w:b/>
      <w:bCs/>
      <w:iCs/>
      <w:color w:val="0C818F"/>
      <w:kern w:val="22"/>
      <w:sz w:val="28"/>
      <w:szCs w:val="28"/>
    </w:rPr>
  </w:style>
  <w:style w:type="table" w:styleId="GridTable5Dark-Accent5">
    <w:name w:val="Grid Table 5 Dark Accent 5"/>
    <w:basedOn w:val="TableNormal"/>
    <w:uiPriority w:val="50"/>
    <w:rsid w:val="00837A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6946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F0735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73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678F8"/>
    <w:rPr>
      <w:b/>
      <w:bCs/>
    </w:rPr>
  </w:style>
  <w:style w:type="paragraph" w:styleId="Style1" w:customStyle="1">
    <w:name w:val="Style1"/>
    <w:basedOn w:val="Heading1"/>
    <w:link w:val="Style1Char"/>
    <w:qFormat/>
    <w:rsid w:val="00F874DC"/>
    <w:pPr>
      <w:numPr>
        <w:numId w:val="29"/>
      </w:numPr>
      <w:spacing w:before="360"/>
    </w:pPr>
  </w:style>
  <w:style w:type="character" w:styleId="Style1Char" w:customStyle="1">
    <w:name w:val="Style1 Char"/>
    <w:basedOn w:val="Heading1Char"/>
    <w:link w:val="Style1"/>
    <w:rsid w:val="00F874DC"/>
    <w:rPr>
      <w:rFonts w:ascii="Arial Bold" w:hAnsi="Arial Bold" w:cs="Arial" w:eastAsiaTheme="majorEastAsia"/>
      <w:b/>
      <w:bCs/>
      <w:iCs/>
      <w:color w:val="0C818F"/>
      <w:kern w:val="2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05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1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37A"/>
    <w:rPr>
      <w:rFonts w:asciiTheme="minorHAnsi" w:hAnsiTheme="minorHAnsi"/>
      <w:sz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psnz.org.nz/Product?Action=View&amp;Product_id=810" TargetMode="External" Id="rId34" /><Relationship Type="http://schemas.microsoft.com/office/2011/relationships/people" Target="people.xml" Id="rId42" /><Relationship Type="http://schemas.openxmlformats.org/officeDocument/2006/relationships/settings" Target="settings.xml" Id="rId7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Id17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Id25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pharmac.govt.nz/news-and-resources/covid19/access-criteria-for-covid-19-medicines/covid-antivirals/" TargetMode="External" Id="rId16" /><Relationship Type="http://schemas.openxmlformats.org/officeDocument/2006/relationships/footer" Target="footer1.xm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harmac.govt.nz/news-and-resources/covid19/access-criteria-for-covid-19-medicines/covid-antivirals/" TargetMode="External" Id="rId24" /><Relationship Type="http://schemas.openxmlformats.org/officeDocument/2006/relationships/footer" Target="footer2.xml" Id="rId32" /><Relationship Type="http://schemas.openxmlformats.org/officeDocument/2006/relationships/hyperlink" Target="https://www.psnz.org.nz/Product?Action=View&amp;Product_id=810" TargetMode="External" Id="rId40" /><Relationship Type="http://schemas.openxmlformats.org/officeDocument/2006/relationships/numbering" Target="numbering.xml" Id="rId5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Id15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Id23" /><Relationship Type="http://schemas.openxmlformats.org/officeDocument/2006/relationships/header" Target="header1.xml" Id="rId28" /><Relationship Type="http://schemas.openxmlformats.org/officeDocument/2006/relationships/hyperlink" Target="https://www.healthpoint.co.nz/pharmacy/?serviceArea=im%3A1382475" TargetMode="External" Id="rId36" /><Relationship Type="http://schemas.openxmlformats.org/officeDocument/2006/relationships/endnotes" Target="endnotes.xml" Id="rId10" /><Relationship Type="http://schemas.openxmlformats.org/officeDocument/2006/relationships/header" Target="header2.xml" Id="rId31" /><Relationship Type="http://schemas.microsoft.com/office/2020/10/relationships/intelligence" Target="intelligence2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rmac.govt.nz/news-and-resources/covid19/access-criteria-for-covid-19-medicines/covid-antivirals/" TargetMode="External" Id="rId14" /><Relationship Type="http://schemas.openxmlformats.org/officeDocument/2006/relationships/hyperlink" Target="https://pharmac.govt.nz/news-and-resources/covid19/access-criteria-for-covid-19-medicines/covid-antivirals/" TargetMode="External" Id="rId22" /><Relationship Type="http://schemas.openxmlformats.org/officeDocument/2006/relationships/hyperlink" Target="https://scanmail.trustwave.com/?c=15517&amp;d=3Jzf4mX8hIfE2ZnHlcvm4RSQmzCrFU8YZCeRlmEilA&amp;u=https%3a%2f%2fwww%2ehealthpoint%2eco%2enz%2fpharmacy%2f%3fserviceArea%3dcovid-19-antiviral-needs-prescription" TargetMode="External" Id="rId30" /><Relationship Type="http://schemas.openxmlformats.org/officeDocument/2006/relationships/hyperlink" Target="https://www.healthpoint.co.nz/pharmacy/near/-41.308944,174.7959712/?addr=74%20Overtoun%20Terrace%2C%20Hataitai%2C%20Wellington%2C%20Wellington&amp;serviceArea=im%3A1382475" TargetMode="External" Id="rId35" /><Relationship Type="http://schemas.openxmlformats.org/officeDocument/2006/relationships/theme" Target="theme/theme1.xml" Id="rId43" /><Relationship Type="http://schemas.openxmlformats.org/officeDocument/2006/relationships/glossaryDocument" Target="glossary/document.xml" Id="Rafb3eeb240834337" /><Relationship Type="http://schemas.openxmlformats.org/officeDocument/2006/relationships/hyperlink" Target="https://pharmac.govt.nz/news-and-resources/covid19/access-criteria-for-covid-19-medicines/covid-antivirals/" TargetMode="External" Id="R3c67c62f56804249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4a46834ec6d049ee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3c6a548a21a44573" /><Relationship Type="http://schemas.openxmlformats.org/officeDocument/2006/relationships/hyperlink" Target="https://www.health.govt.nz/covid-19-novel-coronavirus/covid-19-information-health-professionals/case-definition-and-clinical-testing-guidelines-covid-19" TargetMode="External" Id="R54fc2db895ca42ee" /><Relationship Type="http://schemas.openxmlformats.org/officeDocument/2006/relationships/hyperlink" Target="https://www.healthpoint.co.nz/pharmacy/?serviceArea=im%3A1382475" TargetMode="External" Id="R5ec85c8edced4ff5" /><Relationship Type="http://schemas.openxmlformats.org/officeDocument/2006/relationships/hyperlink" Target="https://www.healthpoint.co.nz/pharmacy/?serviceArea=im%3A1382476" TargetMode="External" Id="R33d847bccdbf462d" /><Relationship Type="http://schemas.openxmlformats.org/officeDocument/2006/relationships/hyperlink" Target="https://www.covid19-druginteractions.org/checker" TargetMode="External" Id="R48ff45f524754544" /><Relationship Type="http://schemas.openxmlformats.org/officeDocument/2006/relationships/hyperlink" Target="https://covid19-sciencetable.ca/sciencebrief/nirmatrelvir-ritonavir-paxlovid-what-prescribers-and-pharmacists-need-to-know-3-0/" TargetMode="External" Id="R81a32f766b154ef2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govt.nz/covid-19-novel-coronavirus/covid-19-information-health-professionals/case-definition-and-clinical-testing-guidelines-covid-19" TargetMode="External"/><Relationship Id="rId2" Type="http://schemas.openxmlformats.org/officeDocument/2006/relationships/hyperlink" Target="https://scanmail.trustwave.com/?c=15517&amp;d=3Jzf4mX8hIfE2ZnHlcvm4RSQmzCrFU8YZCeRlmEilA&amp;u=https%3a%2f%2fwww%2ehealthpoint%2eco%2enz%2fpharmacy%2f%3fserviceArea%3dcovid-19-antiviral-needs-prescription" TargetMode="External"/><Relationship Id="rId1" Type="http://schemas.openxmlformats.org/officeDocument/2006/relationships/hyperlink" Target="https://www.health.govt.nz/covid-19-novel-coronavirus/covid-19-information-health-professionals/case-definition-and-clinical-testing-guidelines-covid-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1b7e-084e-4188-9ac5-c85bed01a72c}"/>
      </w:docPartPr>
      <w:docPartBody>
        <w:p w14:paraId="194B23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A70CB09ACA46BAF2DDEAC9D3B9A4" ma:contentTypeVersion="15" ma:contentTypeDescription="Create a new document." ma:contentTypeScope="" ma:versionID="122a4e3472823013de6dafc8b6d36c4f">
  <xsd:schema xmlns:xsd="http://www.w3.org/2001/XMLSchema" xmlns:xs="http://www.w3.org/2001/XMLSchema" xmlns:p="http://schemas.microsoft.com/office/2006/metadata/properties" xmlns:ns2="4a7dffe4-bcd7-430b-a31d-f78c381eb46b" xmlns:ns3="7114081f-9c9c-425f-8c56-2a32c252cbdf" xmlns:ns4="00a4df5b-51f4-4e7a-b755-8a381a6dfbc5" targetNamespace="http://schemas.microsoft.com/office/2006/metadata/properties" ma:root="true" ma:fieldsID="655f6c6476f7d39e73aa0dc07c184c22" ns2:_="" ns3:_="" ns4:_="">
    <xsd:import namespace="4a7dffe4-bcd7-430b-a31d-f78c381eb46b"/>
    <xsd:import namespace="7114081f-9c9c-425f-8c56-2a32c252cbdf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ffe4-bcd7-430b-a31d-f78c381e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22" nillable="true" ma:displayName="District" ma:format="Dropdown" ma:internalName="Distri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081f-9c9c-425f-8c56-2a32c252c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dcfc7e-c883-4c6a-94a9-1ac0e5177e3c}" ma:internalName="TaxCatchAll" ma:showField="CatchAllData" ma:web="7114081f-9c9c-425f-8c56-2a32c252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District xmlns="4a7dffe4-bcd7-430b-a31d-f78c381eb46b" xsi:nil="true"/>
    <lcf76f155ced4ddcb4097134ff3c332f xmlns="4a7dffe4-bcd7-430b-a31d-f78c381eb46b">
      <Terms xmlns="http://schemas.microsoft.com/office/infopath/2007/PartnerControls"/>
    </lcf76f155ced4ddcb4097134ff3c332f>
    <SharedWithUsers xmlns="7114081f-9c9c-425f-8c56-2a32c252cbdf">
      <UserInfo>
        <DisplayName>Helen Connole</DisplayName>
        <AccountId>366</AccountId>
        <AccountType/>
      </UserInfo>
      <UserInfo>
        <DisplayName>Gareth Frew</DisplayName>
        <AccountId>365</AccountId>
        <AccountType/>
      </UserInfo>
      <UserInfo>
        <DisplayName>Miranda Walker</DisplayName>
        <AccountId>358</AccountId>
        <AccountType/>
      </UserInfo>
      <UserInfo>
        <DisplayName>Dan Bernal</DisplayName>
        <AccountId>391</AccountId>
        <AccountType/>
      </UserInfo>
      <UserInfo>
        <DisplayName>Simone Bell</DisplayName>
        <AccountId>398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948D0D-F58B-4BA3-BCAA-D919E75C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ffe4-bcd7-430b-a31d-f78c381eb46b"/>
    <ds:schemaRef ds:uri="7114081f-9c9c-425f-8c56-2a32c252cbdf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8C04B-6F37-4F2A-BAF2-383C64E3E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36989-89E0-456A-ADFB-FDDE7E4D75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8BDAFF-2274-455E-BC94-53F0C3FCE7A5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a7dffe4-bcd7-430b-a31d-f78c381eb46b"/>
    <ds:schemaRef ds:uri="7114081f-9c9c-425f-8c56-2a32c252cbd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King</dc:creator>
  <cp:keywords/>
  <dc:description/>
  <cp:lastModifiedBy>Jonathan Tudor</cp:lastModifiedBy>
  <cp:revision>4</cp:revision>
  <cp:lastPrinted>2023-02-27T01:42:00Z</cp:lastPrinted>
  <dcterms:created xsi:type="dcterms:W3CDTF">2023-03-10T01:47:00Z</dcterms:created>
  <dcterms:modified xsi:type="dcterms:W3CDTF">2023-03-10T03:28:27Z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0x0101001FB4A70CB09ACA46BAF2DDEAC9D3B9A4</vt:lpwstr>
  </property>
  <property fmtid="{D5CDD505-2E9C-101B-9397-08002B2CF9AE}" pid="3" name="MediaServiceImageTags">
    <vt:lpwstr/>
  </property>
</Properties>
</file>