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4E0AD1D8" w14:textId="77777777" w:rsidTr="0092659B">
        <w:trPr>
          <w:cantSplit/>
        </w:trPr>
        <w:tc>
          <w:tcPr>
            <w:tcW w:w="6663" w:type="dxa"/>
            <w:shd w:val="clear" w:color="auto" w:fill="auto"/>
            <w:vAlign w:val="bottom"/>
          </w:tcPr>
          <w:p w14:paraId="4E0AD1D5" w14:textId="77777777" w:rsidR="008348B7" w:rsidRPr="00DD748F" w:rsidRDefault="009B0074" w:rsidP="009B0074">
            <w:pPr>
              <w:pStyle w:val="Title"/>
            </w:pPr>
            <w:r>
              <w:t>Guide to Mask Use in Health Care Settings*</w:t>
            </w:r>
          </w:p>
        </w:tc>
        <w:tc>
          <w:tcPr>
            <w:tcW w:w="2835" w:type="dxa"/>
            <w:shd w:val="clear" w:color="auto" w:fill="auto"/>
            <w:vAlign w:val="bottom"/>
          </w:tcPr>
          <w:p w14:paraId="4E0AD1D6" w14:textId="77777777" w:rsidR="00CD373C" w:rsidRPr="00DD748F" w:rsidRDefault="00CD373C" w:rsidP="0092659B">
            <w:pPr>
              <w:spacing w:after="120"/>
              <w:jc w:val="right"/>
            </w:pPr>
          </w:p>
          <w:p w14:paraId="4E0AD1D7" w14:textId="77777777" w:rsidR="00423830" w:rsidRPr="00242284" w:rsidRDefault="009B0074" w:rsidP="009B0074">
            <w:pPr>
              <w:spacing w:after="120"/>
              <w:jc w:val="right"/>
              <w:rPr>
                <w:rFonts w:cs="Segoe UI"/>
                <w:color w:val="002B7F"/>
                <w:sz w:val="28"/>
                <w:szCs w:val="28"/>
              </w:rPr>
            </w:pPr>
            <w:r>
              <w:rPr>
                <w:rFonts w:cs="Segoe UI"/>
                <w:sz w:val="28"/>
                <w:szCs w:val="28"/>
              </w:rPr>
              <w:t>August 2021</w:t>
            </w:r>
          </w:p>
        </w:tc>
      </w:tr>
    </w:tbl>
    <w:p w14:paraId="4E0AD1D9" w14:textId="77777777" w:rsidR="008348B7" w:rsidRDefault="008348B7" w:rsidP="00A401D7">
      <w:pPr>
        <w:spacing w:after="360"/>
      </w:pPr>
    </w:p>
    <w:p w14:paraId="4E0AD1DA" w14:textId="77777777" w:rsidR="004E35EB" w:rsidRDefault="009B0074" w:rsidP="004E35EB">
      <w:pPr>
        <w:pStyle w:val="Heading2"/>
      </w:pPr>
      <w:r w:rsidRPr="00AB0FCC">
        <w:t>Purpose</w:t>
      </w:r>
    </w:p>
    <w:p w14:paraId="4E0AD1DB" w14:textId="77777777" w:rsidR="009B0074" w:rsidRDefault="009B0074" w:rsidP="009B0074">
      <w:pPr>
        <w:rPr>
          <w:rFonts w:cs="Segoe UI"/>
          <w:lang w:val="en-US" w:eastAsia="en-NZ"/>
        </w:rPr>
      </w:pPr>
      <w:r w:rsidRPr="00AB0FCC">
        <w:t>To provide information about mask types and appropriate mask use</w:t>
      </w:r>
      <w:r w:rsidRPr="00AB0FCC">
        <w:rPr>
          <w:rFonts w:cs="Segoe UI"/>
          <w:lang w:val="en-US" w:eastAsia="en-NZ"/>
        </w:rPr>
        <w:t>.</w:t>
      </w:r>
    </w:p>
    <w:p w14:paraId="4E0AD1DC" w14:textId="77777777" w:rsidR="009B0074" w:rsidRDefault="009B0074" w:rsidP="009B0074">
      <w:pPr>
        <w:rPr>
          <w:rFonts w:cs="Segoe UI"/>
          <w:lang w:val="en-US" w:eastAsia="en-NZ"/>
        </w:rPr>
      </w:pPr>
    </w:p>
    <w:p w14:paraId="4E0AD1DD" w14:textId="77777777" w:rsidR="004E35EB" w:rsidRDefault="009B0074" w:rsidP="004E35EB">
      <w:pPr>
        <w:pStyle w:val="Heading2"/>
        <w:rPr>
          <w:lang w:val="en-US" w:eastAsia="en-NZ"/>
        </w:rPr>
      </w:pPr>
      <w:r w:rsidRPr="005660B7">
        <w:rPr>
          <w:lang w:val="en-US" w:eastAsia="en-NZ"/>
        </w:rPr>
        <w:t xml:space="preserve">General </w:t>
      </w:r>
      <w:r>
        <w:rPr>
          <w:lang w:val="en-US" w:eastAsia="en-NZ"/>
        </w:rPr>
        <w:t>g</w:t>
      </w:r>
      <w:r w:rsidRPr="005660B7">
        <w:rPr>
          <w:lang w:val="en-US" w:eastAsia="en-NZ"/>
        </w:rPr>
        <w:t>uidance</w:t>
      </w:r>
    </w:p>
    <w:p w14:paraId="4E0AD1DE" w14:textId="77777777" w:rsidR="009B0074" w:rsidRDefault="009B0074" w:rsidP="009B0074">
      <w:r w:rsidRPr="00624227">
        <w:t xml:space="preserve">A risk assessment should be undertaken to determine whether a mask </w:t>
      </w:r>
      <w:r>
        <w:t xml:space="preserve">and what type </w:t>
      </w:r>
      <w:r w:rsidRPr="00624227">
        <w:t xml:space="preserve">is </w:t>
      </w:r>
      <w:r>
        <w:t>required.</w:t>
      </w:r>
    </w:p>
    <w:p w14:paraId="4E0AD1DF" w14:textId="77777777" w:rsidR="009B0074" w:rsidRPr="009B0074" w:rsidRDefault="009B0074" w:rsidP="009B0074"/>
    <w:p w14:paraId="4E0AD1E0" w14:textId="77777777" w:rsidR="009B0074" w:rsidRPr="00255F01" w:rsidRDefault="009B0074" w:rsidP="009B0074">
      <w:pPr>
        <w:pStyle w:val="Heading2"/>
      </w:pPr>
      <w:r w:rsidRPr="00255F01">
        <w:t xml:space="preserve">Masks used for </w:t>
      </w:r>
      <w:r>
        <w:t>i</w:t>
      </w:r>
      <w:r w:rsidRPr="00255F01">
        <w:t xml:space="preserve">nfection </w:t>
      </w:r>
      <w:r>
        <w:t>p</w:t>
      </w:r>
      <w:r w:rsidRPr="00255F01">
        <w:t xml:space="preserve">revention and </w:t>
      </w:r>
      <w:r>
        <w:t>c</w:t>
      </w:r>
      <w:r w:rsidRPr="00255F01">
        <w:t>ontrol requirements</w:t>
      </w:r>
      <w:r w:rsidRPr="009B0074">
        <w:rPr>
          <w:rStyle w:val="FootnoteReference"/>
        </w:rPr>
        <w:footnoteReference w:id="1"/>
      </w:r>
    </w:p>
    <w:p w14:paraId="4E0AD1E1" w14:textId="77777777" w:rsidR="009B0074" w:rsidRPr="00310A82" w:rsidRDefault="009B0074" w:rsidP="009B0074">
      <w:pPr>
        <w:rPr>
          <w:rFonts w:cs="Segoe UI"/>
        </w:rPr>
      </w:pPr>
      <w:r w:rsidRPr="00624227">
        <w:rPr>
          <w:b/>
          <w:bCs/>
        </w:rPr>
        <w:t>Particulate respirators</w:t>
      </w:r>
      <w:r w:rsidRPr="00624227">
        <w:t xml:space="preserve"> are also known as ‘air-purifying respirators’ because they protect by filtering particles out of the air as you breathe</w:t>
      </w:r>
      <w:r w:rsidRPr="00310A82">
        <w:t>.</w:t>
      </w:r>
      <w:r w:rsidRPr="009B0074">
        <w:rPr>
          <w:rStyle w:val="FootnoteReference"/>
        </w:rPr>
        <w:footnoteReference w:id="2"/>
      </w:r>
      <w:r w:rsidRPr="00310A82">
        <w:t xml:space="preserve"> </w:t>
      </w:r>
      <w:r w:rsidRPr="00310A82">
        <w:rPr>
          <w:rFonts w:cs="Segoe UI"/>
        </w:rPr>
        <w:t>To be effective, a tight facial seal covering the nose, mouth and chin is required.</w:t>
      </w:r>
    </w:p>
    <w:p w14:paraId="4E0AD1E2" w14:textId="77777777" w:rsidR="009B0074" w:rsidRPr="00310A82" w:rsidRDefault="009B0074" w:rsidP="009B0074"/>
    <w:p w14:paraId="4E0AD1E3" w14:textId="77777777" w:rsidR="009B0074" w:rsidRDefault="009B0074" w:rsidP="009B0074">
      <w:r w:rsidRPr="00310A82">
        <w:rPr>
          <w:b/>
          <w:iCs/>
        </w:rPr>
        <w:t>Medical masks</w:t>
      </w:r>
      <w:r w:rsidRPr="00310A82">
        <w:t xml:space="preserve"> are defined as surgical or procedure masks that are flat or pleated. They are affixed to the head with straps that go around the ears, or head, or both. Their performance characteristics are tested to a set of standardised test methods</w:t>
      </w:r>
      <w:r>
        <w:t>.</w:t>
      </w:r>
      <w:r w:rsidRPr="009B0074">
        <w:rPr>
          <w:rStyle w:val="FootnoteReference"/>
        </w:rPr>
        <w:footnoteReference w:id="3"/>
      </w:r>
      <w:r w:rsidRPr="00310A82">
        <w:t xml:space="preserve"> The New Zealand Standard complies with the British and European Standard.  </w:t>
      </w:r>
      <w:r w:rsidRPr="00310A82">
        <w:rPr>
          <w:rFonts w:cstheme="minorHAnsi"/>
          <w:color w:val="000000" w:themeColor="text1"/>
        </w:rPr>
        <w:t xml:space="preserve">The mask should fit securely over the nose, </w:t>
      </w:r>
      <w:proofErr w:type="gramStart"/>
      <w:r w:rsidRPr="00310A82">
        <w:rPr>
          <w:rFonts w:cstheme="minorHAnsi"/>
          <w:color w:val="000000" w:themeColor="text1"/>
        </w:rPr>
        <w:t>mouth</w:t>
      </w:r>
      <w:proofErr w:type="gramEnd"/>
      <w:r w:rsidRPr="00310A82">
        <w:rPr>
          <w:rFonts w:cstheme="minorHAnsi"/>
          <w:color w:val="000000" w:themeColor="text1"/>
        </w:rPr>
        <w:t xml:space="preserve"> and chin with no gaps at the side.</w:t>
      </w:r>
    </w:p>
    <w:p w14:paraId="4E0AD1E4" w14:textId="77777777" w:rsidR="009B0074" w:rsidRPr="00684FC7" w:rsidRDefault="009B0074" w:rsidP="009B0074"/>
    <w:tbl>
      <w:tblPr>
        <w:tblStyle w:val="TableGrid"/>
        <w:tblW w:w="9356"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01"/>
        <w:gridCol w:w="1277"/>
        <w:gridCol w:w="1559"/>
        <w:gridCol w:w="4819"/>
      </w:tblGrid>
      <w:tr w:rsidR="004E35EB" w:rsidRPr="009B0074" w14:paraId="4E0AD1E9" w14:textId="77777777" w:rsidTr="004E35EB">
        <w:trPr>
          <w:cantSplit/>
        </w:trPr>
        <w:tc>
          <w:tcPr>
            <w:tcW w:w="1701" w:type="dxa"/>
            <w:tcBorders>
              <w:bottom w:val="single" w:sz="4" w:space="0" w:color="FABF8F"/>
            </w:tcBorders>
            <w:shd w:val="clear" w:color="auto" w:fill="FABF8F" w:themeFill="accent6" w:themeFillTint="99"/>
            <w:vAlign w:val="center"/>
          </w:tcPr>
          <w:p w14:paraId="4E0AD1E5" w14:textId="77777777" w:rsidR="009B0074" w:rsidRPr="009B0074" w:rsidRDefault="009B0074" w:rsidP="004E35EB">
            <w:pPr>
              <w:pStyle w:val="TableText"/>
              <w:keepNext/>
              <w:ind w:right="57"/>
              <w:rPr>
                <w:b/>
              </w:rPr>
            </w:pPr>
            <w:r>
              <w:rPr>
                <w:b/>
              </w:rPr>
              <w:lastRenderedPageBreak/>
              <w:t>Type used</w:t>
            </w:r>
          </w:p>
        </w:tc>
        <w:tc>
          <w:tcPr>
            <w:tcW w:w="1277" w:type="dxa"/>
            <w:tcBorders>
              <w:bottom w:val="single" w:sz="4" w:space="0" w:color="FABF8F"/>
            </w:tcBorders>
            <w:shd w:val="clear" w:color="auto" w:fill="FABF8F" w:themeFill="accent6" w:themeFillTint="99"/>
          </w:tcPr>
          <w:p w14:paraId="4E0AD1E6" w14:textId="77777777" w:rsidR="009B0074" w:rsidRPr="009B0074" w:rsidRDefault="009B0074" w:rsidP="004E35EB">
            <w:pPr>
              <w:pStyle w:val="TableText"/>
              <w:ind w:right="57"/>
              <w:rPr>
                <w:b/>
              </w:rPr>
            </w:pPr>
            <w:r w:rsidRPr="009B0074">
              <w:rPr>
                <w:b/>
              </w:rPr>
              <w:t>By whom</w:t>
            </w:r>
          </w:p>
        </w:tc>
        <w:tc>
          <w:tcPr>
            <w:tcW w:w="1559" w:type="dxa"/>
            <w:tcBorders>
              <w:bottom w:val="single" w:sz="4" w:space="0" w:color="FABF8F"/>
            </w:tcBorders>
            <w:shd w:val="clear" w:color="auto" w:fill="FABF8F" w:themeFill="accent6" w:themeFillTint="99"/>
          </w:tcPr>
          <w:p w14:paraId="4E0AD1E7" w14:textId="77777777" w:rsidR="009B0074" w:rsidRPr="009B0074" w:rsidRDefault="009B0074" w:rsidP="004E35EB">
            <w:pPr>
              <w:pStyle w:val="TableText"/>
              <w:ind w:right="57"/>
              <w:rPr>
                <w:b/>
              </w:rPr>
            </w:pPr>
            <w:r w:rsidRPr="009B0074">
              <w:rPr>
                <w:b/>
              </w:rPr>
              <w:t>Purpose</w:t>
            </w:r>
          </w:p>
        </w:tc>
        <w:tc>
          <w:tcPr>
            <w:tcW w:w="4819" w:type="dxa"/>
            <w:tcBorders>
              <w:bottom w:val="single" w:sz="4" w:space="0" w:color="FABF8F"/>
            </w:tcBorders>
            <w:shd w:val="clear" w:color="auto" w:fill="FABF8F" w:themeFill="accent6" w:themeFillTint="99"/>
          </w:tcPr>
          <w:p w14:paraId="4E0AD1E8" w14:textId="77777777" w:rsidR="009B0074" w:rsidRPr="009B0074" w:rsidRDefault="009B0074" w:rsidP="009B0074">
            <w:pPr>
              <w:pStyle w:val="TableText"/>
              <w:rPr>
                <w:b/>
              </w:rPr>
            </w:pPr>
            <w:r w:rsidRPr="009B0074">
              <w:rPr>
                <w:b/>
              </w:rPr>
              <w:t>Examples</w:t>
            </w:r>
          </w:p>
        </w:tc>
      </w:tr>
      <w:tr w:rsidR="004E35EB" w:rsidRPr="00AB0FCC" w14:paraId="4E0AD1EF" w14:textId="77777777" w:rsidTr="004E35EB">
        <w:trPr>
          <w:cantSplit/>
        </w:trPr>
        <w:tc>
          <w:tcPr>
            <w:tcW w:w="1701" w:type="dxa"/>
            <w:vMerge w:val="restart"/>
            <w:tcBorders>
              <w:top w:val="single" w:sz="4" w:space="0" w:color="FABF8F"/>
              <w:bottom w:val="single" w:sz="4" w:space="0" w:color="FABF8F"/>
            </w:tcBorders>
          </w:tcPr>
          <w:p w14:paraId="4E0AD1EA" w14:textId="77777777" w:rsidR="009B0074" w:rsidRPr="00255F01" w:rsidRDefault="009B0074" w:rsidP="004E35EB">
            <w:pPr>
              <w:pStyle w:val="TableText"/>
              <w:keepNext/>
              <w:ind w:right="57"/>
            </w:pPr>
            <w:r w:rsidRPr="00255F01">
              <w:t xml:space="preserve">Particulate </w:t>
            </w:r>
            <w:r>
              <w:t>r</w:t>
            </w:r>
            <w:r w:rsidRPr="00255F01">
              <w:t>espirators</w:t>
            </w:r>
          </w:p>
          <w:p w14:paraId="4E0AD1EB" w14:textId="77777777" w:rsidR="009B0074" w:rsidRPr="00556850" w:rsidRDefault="009B0074" w:rsidP="004E35EB">
            <w:pPr>
              <w:pStyle w:val="TableText"/>
              <w:keepNext/>
              <w:ind w:right="57"/>
              <w:rPr>
                <w:i/>
                <w:iCs/>
              </w:rPr>
            </w:pPr>
            <w:r w:rsidRPr="00F17B82">
              <w:t>P2</w:t>
            </w:r>
            <w:r w:rsidRPr="00016E5F">
              <w:t xml:space="preserve"> or N95</w:t>
            </w:r>
          </w:p>
        </w:tc>
        <w:tc>
          <w:tcPr>
            <w:tcW w:w="1277" w:type="dxa"/>
            <w:vMerge w:val="restart"/>
            <w:tcBorders>
              <w:top w:val="single" w:sz="4" w:space="0" w:color="FABF8F"/>
              <w:bottom w:val="single" w:sz="4" w:space="0" w:color="FABF8F"/>
            </w:tcBorders>
          </w:tcPr>
          <w:p w14:paraId="4E0AD1EC" w14:textId="77777777" w:rsidR="009B0074" w:rsidRPr="00FE7F15" w:rsidRDefault="009B0074" w:rsidP="004E35EB">
            <w:pPr>
              <w:pStyle w:val="TableText"/>
              <w:ind w:right="57"/>
            </w:pPr>
            <w:r>
              <w:t>Health car</w:t>
            </w:r>
            <w:r w:rsidRPr="00FE7F15">
              <w:t>e worker</w:t>
            </w:r>
          </w:p>
        </w:tc>
        <w:tc>
          <w:tcPr>
            <w:tcW w:w="1559" w:type="dxa"/>
            <w:vMerge w:val="restart"/>
            <w:tcBorders>
              <w:top w:val="single" w:sz="4" w:space="0" w:color="FABF8F"/>
              <w:bottom w:val="single" w:sz="4" w:space="0" w:color="FABF8F"/>
            </w:tcBorders>
          </w:tcPr>
          <w:p w14:paraId="4E0AD1ED" w14:textId="77777777" w:rsidR="009B0074" w:rsidRPr="00FE7F15" w:rsidRDefault="009B0074" w:rsidP="004E35EB">
            <w:pPr>
              <w:pStyle w:val="TableText"/>
              <w:ind w:right="57"/>
            </w:pPr>
            <w:r w:rsidRPr="00FE7F15">
              <w:t>Protects the wearer</w:t>
            </w:r>
          </w:p>
        </w:tc>
        <w:tc>
          <w:tcPr>
            <w:tcW w:w="4819" w:type="dxa"/>
            <w:tcBorders>
              <w:top w:val="single" w:sz="4" w:space="0" w:color="FABF8F"/>
              <w:bottom w:val="single" w:sz="4" w:space="0" w:color="FABF8F"/>
            </w:tcBorders>
          </w:tcPr>
          <w:p w14:paraId="4E0AD1EE" w14:textId="77777777" w:rsidR="009B0074" w:rsidRPr="00AB0FCC" w:rsidRDefault="009B0074" w:rsidP="009B0074">
            <w:pPr>
              <w:pStyle w:val="TableText"/>
            </w:pPr>
            <w:r w:rsidRPr="00AB0FCC">
              <w:t>When providing care for patients</w:t>
            </w:r>
            <w:r>
              <w:t xml:space="preserve"> known or suspected to be infected </w:t>
            </w:r>
            <w:r w:rsidRPr="00AB0FCC">
              <w:t xml:space="preserve">with pathogens transmitted by the airborne route </w:t>
            </w:r>
            <w:r>
              <w:t>–</w:t>
            </w:r>
            <w:r w:rsidRPr="00AB0FCC">
              <w:t xml:space="preserve"> </w:t>
            </w:r>
            <w:r>
              <w:t>a</w:t>
            </w:r>
            <w:r w:rsidRPr="00AB0FCC">
              <w:t xml:space="preserve">irborne </w:t>
            </w:r>
            <w:r>
              <w:t>p</w:t>
            </w:r>
            <w:r w:rsidRPr="00AB0FCC">
              <w:t>recautions.</w:t>
            </w:r>
          </w:p>
        </w:tc>
      </w:tr>
      <w:tr w:rsidR="004E35EB" w:rsidRPr="00556850" w14:paraId="4E0AD1F4" w14:textId="77777777" w:rsidTr="004E35EB">
        <w:trPr>
          <w:cantSplit/>
        </w:trPr>
        <w:tc>
          <w:tcPr>
            <w:tcW w:w="1701" w:type="dxa"/>
            <w:vMerge/>
            <w:tcBorders>
              <w:top w:val="single" w:sz="4" w:space="0" w:color="FABF8F"/>
              <w:bottom w:val="single" w:sz="4" w:space="0" w:color="FABF8F"/>
            </w:tcBorders>
          </w:tcPr>
          <w:p w14:paraId="4E0AD1F0" w14:textId="77777777" w:rsidR="009B0074" w:rsidRPr="00624227" w:rsidRDefault="009B0074" w:rsidP="004E35EB">
            <w:pPr>
              <w:pStyle w:val="TableText"/>
              <w:keepNext/>
              <w:ind w:right="57"/>
              <w:rPr>
                <w:color w:val="FABF8F" w:themeColor="accent6" w:themeTint="99"/>
              </w:rPr>
            </w:pPr>
          </w:p>
        </w:tc>
        <w:tc>
          <w:tcPr>
            <w:tcW w:w="1277" w:type="dxa"/>
            <w:vMerge/>
            <w:tcBorders>
              <w:top w:val="single" w:sz="4" w:space="0" w:color="FABF8F"/>
              <w:bottom w:val="single" w:sz="4" w:space="0" w:color="FABF8F"/>
            </w:tcBorders>
          </w:tcPr>
          <w:p w14:paraId="4E0AD1F1" w14:textId="77777777" w:rsidR="009B0074" w:rsidRPr="00FE7F15" w:rsidRDefault="009B0074" w:rsidP="004E35EB">
            <w:pPr>
              <w:pStyle w:val="TableText"/>
              <w:ind w:right="57"/>
            </w:pPr>
          </w:p>
        </w:tc>
        <w:tc>
          <w:tcPr>
            <w:tcW w:w="1559" w:type="dxa"/>
            <w:vMerge/>
            <w:tcBorders>
              <w:top w:val="single" w:sz="4" w:space="0" w:color="FABF8F"/>
              <w:bottom w:val="single" w:sz="4" w:space="0" w:color="FABF8F"/>
            </w:tcBorders>
          </w:tcPr>
          <w:p w14:paraId="4E0AD1F2" w14:textId="77777777" w:rsidR="009B0074" w:rsidRPr="00FE7F15" w:rsidRDefault="009B0074" w:rsidP="004E35EB">
            <w:pPr>
              <w:pStyle w:val="TableText"/>
              <w:ind w:right="57"/>
            </w:pPr>
          </w:p>
        </w:tc>
        <w:tc>
          <w:tcPr>
            <w:tcW w:w="4819" w:type="dxa"/>
            <w:tcBorders>
              <w:top w:val="single" w:sz="4" w:space="0" w:color="FABF8F"/>
              <w:bottom w:val="single" w:sz="4" w:space="0" w:color="FABF8F"/>
            </w:tcBorders>
          </w:tcPr>
          <w:p w14:paraId="4E0AD1F3" w14:textId="77777777" w:rsidR="009B0074" w:rsidRPr="00FE7F15" w:rsidRDefault="009B0074" w:rsidP="009B0074">
            <w:pPr>
              <w:pStyle w:val="TableText"/>
            </w:pPr>
            <w:r>
              <w:t xml:space="preserve">When present during </w:t>
            </w:r>
            <w:r w:rsidRPr="00FE7F15">
              <w:t xml:space="preserve">an aerosol generating procedure </w:t>
            </w:r>
            <w:r>
              <w:t>performed on a patient with a suspected or confirmed acute respiratory tract infection</w:t>
            </w:r>
            <w:r w:rsidRPr="00FE7F15">
              <w:t xml:space="preserve"> </w:t>
            </w:r>
            <w:r>
              <w:t>– a</w:t>
            </w:r>
            <w:r w:rsidRPr="00FE7F15">
              <w:t xml:space="preserve">irborne </w:t>
            </w:r>
            <w:r>
              <w:t>p</w:t>
            </w:r>
            <w:r w:rsidRPr="00FE7F15">
              <w:t>recautions</w:t>
            </w:r>
            <w:r>
              <w:t>.</w:t>
            </w:r>
          </w:p>
        </w:tc>
      </w:tr>
      <w:tr w:rsidR="009B0074" w:rsidRPr="00556850" w14:paraId="4E0AD1FC" w14:textId="77777777" w:rsidTr="004E35EB">
        <w:trPr>
          <w:cantSplit/>
        </w:trPr>
        <w:tc>
          <w:tcPr>
            <w:tcW w:w="1701" w:type="dxa"/>
            <w:vMerge w:val="restart"/>
            <w:tcBorders>
              <w:top w:val="single" w:sz="4" w:space="0" w:color="FABF8F"/>
              <w:bottom w:val="single" w:sz="4" w:space="0" w:color="FABF8F"/>
            </w:tcBorders>
          </w:tcPr>
          <w:p w14:paraId="4E0AD1F5" w14:textId="77777777" w:rsidR="009B0074" w:rsidRPr="00255F01" w:rsidRDefault="009B0074" w:rsidP="004E35EB">
            <w:pPr>
              <w:pStyle w:val="TableText"/>
              <w:keepNext/>
              <w:ind w:right="57"/>
            </w:pPr>
            <w:r w:rsidRPr="00255F01">
              <w:t xml:space="preserve">Medical </w:t>
            </w:r>
            <w:r>
              <w:t>m</w:t>
            </w:r>
            <w:r w:rsidRPr="00255F01">
              <w:t>ask</w:t>
            </w:r>
            <w:r>
              <w:t>s with splash resistance</w:t>
            </w:r>
          </w:p>
          <w:p w14:paraId="4E0AD1F6" w14:textId="77777777" w:rsidR="009B0074" w:rsidRPr="00624227" w:rsidRDefault="009B0074" w:rsidP="004E35EB">
            <w:pPr>
              <w:pStyle w:val="TableText"/>
              <w:ind w:right="57"/>
              <w:rPr>
                <w:rFonts w:asciiTheme="minorHAnsi" w:hAnsiTheme="minorHAnsi"/>
              </w:rPr>
            </w:pPr>
            <w:r w:rsidRPr="004E35EB">
              <w:rPr>
                <w:i/>
              </w:rPr>
              <w:t>Moderate to high splash resistance</w:t>
            </w:r>
            <w:r w:rsidR="004E35EB">
              <w:rPr>
                <w:i/>
              </w:rPr>
              <w:br/>
            </w:r>
            <w:r w:rsidRPr="00556850">
              <w:t>Level 3</w:t>
            </w:r>
            <w:r w:rsidR="004E35EB">
              <w:br/>
            </w:r>
            <w:r w:rsidRPr="00556850">
              <w:t>Type IIR</w:t>
            </w:r>
          </w:p>
          <w:p w14:paraId="4E0AD1F7" w14:textId="77777777" w:rsidR="009B0074" w:rsidRDefault="009B0074" w:rsidP="004E35EB">
            <w:pPr>
              <w:pStyle w:val="TableText"/>
              <w:ind w:right="57"/>
            </w:pPr>
            <w:r w:rsidRPr="004E35EB">
              <w:rPr>
                <w:i/>
              </w:rPr>
              <w:t>Moderate splash resistance</w:t>
            </w:r>
            <w:r w:rsidR="004E35EB">
              <w:rPr>
                <w:i/>
              </w:rPr>
              <w:br/>
            </w:r>
            <w:r w:rsidRPr="00556850">
              <w:t>Level 2</w:t>
            </w:r>
          </w:p>
          <w:p w14:paraId="4E0AD1F8" w14:textId="77777777" w:rsidR="009B0074" w:rsidRPr="00556850" w:rsidRDefault="009B0074" w:rsidP="004E35EB">
            <w:pPr>
              <w:pStyle w:val="TableText"/>
              <w:ind w:right="57"/>
            </w:pPr>
            <w:r w:rsidRPr="004E35EB">
              <w:rPr>
                <w:i/>
              </w:rPr>
              <w:t>Low splash resistance</w:t>
            </w:r>
            <w:r w:rsidR="004E35EB">
              <w:rPr>
                <w:i/>
              </w:rPr>
              <w:br/>
            </w:r>
            <w:r w:rsidRPr="00556850">
              <w:t>Level 1</w:t>
            </w:r>
          </w:p>
        </w:tc>
        <w:tc>
          <w:tcPr>
            <w:tcW w:w="1277" w:type="dxa"/>
            <w:vMerge w:val="restart"/>
            <w:tcBorders>
              <w:top w:val="single" w:sz="4" w:space="0" w:color="FABF8F"/>
              <w:bottom w:val="single" w:sz="4" w:space="0" w:color="FABF8F"/>
            </w:tcBorders>
          </w:tcPr>
          <w:p w14:paraId="4E0AD1F9" w14:textId="77777777" w:rsidR="009B0074" w:rsidRPr="00FE7F15" w:rsidRDefault="009B0074" w:rsidP="004E35EB">
            <w:pPr>
              <w:pStyle w:val="TableText"/>
              <w:keepNext/>
              <w:ind w:right="57"/>
            </w:pPr>
            <w:r w:rsidRPr="00FE7F15">
              <w:t>Health</w:t>
            </w:r>
            <w:r>
              <w:t xml:space="preserve"> </w:t>
            </w:r>
            <w:r w:rsidRPr="00FE7F15">
              <w:t>care worker</w:t>
            </w:r>
          </w:p>
        </w:tc>
        <w:tc>
          <w:tcPr>
            <w:tcW w:w="1559" w:type="dxa"/>
            <w:tcBorders>
              <w:top w:val="single" w:sz="4" w:space="0" w:color="FABF8F"/>
              <w:bottom w:val="single" w:sz="4" w:space="0" w:color="FABF8F"/>
            </w:tcBorders>
          </w:tcPr>
          <w:p w14:paraId="4E0AD1FA" w14:textId="77777777" w:rsidR="009B0074" w:rsidRPr="00FE7F15" w:rsidRDefault="009B0074" w:rsidP="004E35EB">
            <w:pPr>
              <w:pStyle w:val="TableText"/>
              <w:keepNext/>
              <w:ind w:right="57"/>
            </w:pPr>
            <w:r w:rsidRPr="002257B0">
              <w:t>Protects the wearer</w:t>
            </w:r>
          </w:p>
        </w:tc>
        <w:tc>
          <w:tcPr>
            <w:tcW w:w="4819" w:type="dxa"/>
            <w:tcBorders>
              <w:top w:val="single" w:sz="4" w:space="0" w:color="FABF8F"/>
              <w:bottom w:val="single" w:sz="4" w:space="0" w:color="FABF8F"/>
            </w:tcBorders>
          </w:tcPr>
          <w:p w14:paraId="4E0AD1FB" w14:textId="77777777" w:rsidR="009B0074" w:rsidRPr="00567B3B" w:rsidRDefault="009B0074" w:rsidP="009B0074">
            <w:pPr>
              <w:pStyle w:val="TableText"/>
              <w:keepNext/>
            </w:pPr>
            <w:r>
              <w:t>When providing care for patients with an acute respiratory tract infection and where the risk assessment requires adherence to d</w:t>
            </w:r>
            <w:r w:rsidRPr="00B02741">
              <w:t xml:space="preserve">roplet </w:t>
            </w:r>
            <w:r>
              <w:t>p</w:t>
            </w:r>
            <w:r w:rsidRPr="00B02741">
              <w:t>recautions</w:t>
            </w:r>
            <w:r>
              <w:t>.</w:t>
            </w:r>
          </w:p>
        </w:tc>
      </w:tr>
      <w:tr w:rsidR="009B0074" w:rsidRPr="00556850" w14:paraId="4E0AD201" w14:textId="77777777" w:rsidTr="004E35EB">
        <w:trPr>
          <w:cantSplit/>
        </w:trPr>
        <w:tc>
          <w:tcPr>
            <w:tcW w:w="1701" w:type="dxa"/>
            <w:vMerge/>
            <w:tcBorders>
              <w:top w:val="single" w:sz="4" w:space="0" w:color="FABF8F"/>
              <w:bottom w:val="single" w:sz="4" w:space="0" w:color="FABF8F"/>
            </w:tcBorders>
          </w:tcPr>
          <w:p w14:paraId="4E0AD1FD" w14:textId="77777777" w:rsidR="009B0074" w:rsidRPr="00255F01" w:rsidRDefault="009B0074" w:rsidP="004E35EB">
            <w:pPr>
              <w:pStyle w:val="TableText"/>
              <w:keepNext/>
              <w:ind w:right="57"/>
            </w:pPr>
          </w:p>
        </w:tc>
        <w:tc>
          <w:tcPr>
            <w:tcW w:w="1277" w:type="dxa"/>
            <w:vMerge/>
            <w:tcBorders>
              <w:top w:val="single" w:sz="4" w:space="0" w:color="FABF8F"/>
              <w:bottom w:val="single" w:sz="4" w:space="0" w:color="FABF8F"/>
            </w:tcBorders>
          </w:tcPr>
          <w:p w14:paraId="4E0AD1FE" w14:textId="77777777" w:rsidR="009B0074" w:rsidRPr="00FE7F15" w:rsidRDefault="009B0074" w:rsidP="004E35EB">
            <w:pPr>
              <w:pStyle w:val="TableText"/>
              <w:keepNext/>
              <w:ind w:right="57"/>
            </w:pPr>
          </w:p>
        </w:tc>
        <w:tc>
          <w:tcPr>
            <w:tcW w:w="1559" w:type="dxa"/>
            <w:tcBorders>
              <w:top w:val="single" w:sz="4" w:space="0" w:color="FABF8F"/>
              <w:bottom w:val="single" w:sz="4" w:space="0" w:color="FABF8F"/>
            </w:tcBorders>
          </w:tcPr>
          <w:p w14:paraId="4E0AD1FF" w14:textId="77777777" w:rsidR="009B0074" w:rsidRPr="00FE7F15" w:rsidRDefault="009B0074" w:rsidP="004E35EB">
            <w:pPr>
              <w:pStyle w:val="TableText"/>
              <w:keepNext/>
              <w:ind w:right="57"/>
            </w:pPr>
            <w:r w:rsidRPr="00FE7F15">
              <w:t>Protects the wearer</w:t>
            </w:r>
            <w:r>
              <w:t xml:space="preserve"> </w:t>
            </w:r>
            <w:r w:rsidRPr="009B0074">
              <w:t>(Level 2, 3 or Type IIR)</w:t>
            </w:r>
          </w:p>
        </w:tc>
        <w:tc>
          <w:tcPr>
            <w:tcW w:w="4819" w:type="dxa"/>
            <w:tcBorders>
              <w:top w:val="single" w:sz="4" w:space="0" w:color="FABF8F"/>
              <w:bottom w:val="single" w:sz="4" w:space="0" w:color="FABF8F"/>
            </w:tcBorders>
          </w:tcPr>
          <w:p w14:paraId="4E0AD200" w14:textId="77777777" w:rsidR="009B0074" w:rsidRPr="00FE7F15" w:rsidRDefault="009B0074" w:rsidP="009B0074">
            <w:pPr>
              <w:pStyle w:val="TableText"/>
              <w:keepNext/>
            </w:pPr>
            <w:r w:rsidRPr="00FE7F15">
              <w:t xml:space="preserve">Surgical procedures or major trauma </w:t>
            </w:r>
            <w:r>
              <w:t xml:space="preserve">and procedures </w:t>
            </w:r>
            <w:r w:rsidRPr="00FE7F15">
              <w:t xml:space="preserve">where there is </w:t>
            </w:r>
            <w:r>
              <w:t xml:space="preserve">a moderate to </w:t>
            </w:r>
            <w:r w:rsidRPr="00FE7F15">
              <w:t xml:space="preserve">high risk of exposure to blood and body fluid splash </w:t>
            </w:r>
            <w:r>
              <w:t>– s</w:t>
            </w:r>
            <w:r w:rsidRPr="00FE7F15">
              <w:t xml:space="preserve">tandard </w:t>
            </w:r>
            <w:r>
              <w:t>p</w:t>
            </w:r>
            <w:r w:rsidRPr="00FE7F15">
              <w:t>recautions</w:t>
            </w:r>
            <w:r>
              <w:t>.</w:t>
            </w:r>
          </w:p>
        </w:tc>
      </w:tr>
      <w:tr w:rsidR="009B0074" w:rsidRPr="00556850" w14:paraId="4E0AD206" w14:textId="77777777" w:rsidTr="004E35EB">
        <w:trPr>
          <w:cantSplit/>
        </w:trPr>
        <w:tc>
          <w:tcPr>
            <w:tcW w:w="1701" w:type="dxa"/>
            <w:vMerge/>
            <w:tcBorders>
              <w:top w:val="single" w:sz="4" w:space="0" w:color="FABF8F"/>
              <w:bottom w:val="single" w:sz="4" w:space="0" w:color="FABF8F"/>
            </w:tcBorders>
          </w:tcPr>
          <w:p w14:paraId="4E0AD202" w14:textId="77777777" w:rsidR="009B0074" w:rsidRPr="00624227" w:rsidRDefault="009B0074" w:rsidP="004E35EB">
            <w:pPr>
              <w:pStyle w:val="TableText"/>
              <w:ind w:right="57"/>
              <w:rPr>
                <w:color w:val="FABF8F" w:themeColor="accent6" w:themeTint="99"/>
              </w:rPr>
            </w:pPr>
          </w:p>
        </w:tc>
        <w:tc>
          <w:tcPr>
            <w:tcW w:w="1277" w:type="dxa"/>
            <w:vMerge/>
            <w:tcBorders>
              <w:top w:val="single" w:sz="4" w:space="0" w:color="FABF8F"/>
              <w:bottom w:val="single" w:sz="4" w:space="0" w:color="FABF8F"/>
            </w:tcBorders>
          </w:tcPr>
          <w:p w14:paraId="4E0AD203" w14:textId="77777777" w:rsidR="009B0074" w:rsidRPr="00FE7F15" w:rsidRDefault="009B0074" w:rsidP="004E35EB">
            <w:pPr>
              <w:pStyle w:val="TableText"/>
              <w:ind w:right="57"/>
            </w:pPr>
          </w:p>
        </w:tc>
        <w:tc>
          <w:tcPr>
            <w:tcW w:w="1559" w:type="dxa"/>
            <w:tcBorders>
              <w:top w:val="single" w:sz="4" w:space="0" w:color="FABF8F"/>
              <w:bottom w:val="single" w:sz="4" w:space="0" w:color="FABF8F"/>
            </w:tcBorders>
          </w:tcPr>
          <w:p w14:paraId="4E0AD204" w14:textId="77777777" w:rsidR="009B0074" w:rsidRPr="00123302" w:rsidRDefault="009B0074" w:rsidP="004E35EB">
            <w:pPr>
              <w:pStyle w:val="TableText"/>
              <w:ind w:right="57"/>
              <w:rPr>
                <w:sz w:val="16"/>
                <w:szCs w:val="16"/>
              </w:rPr>
            </w:pPr>
            <w:r w:rsidRPr="00FE7F15">
              <w:t>Protects the wearer</w:t>
            </w:r>
            <w:r>
              <w:t xml:space="preserve"> </w:t>
            </w:r>
            <w:r w:rsidRPr="009B0074">
              <w:t>(Level 1)</w:t>
            </w:r>
          </w:p>
        </w:tc>
        <w:tc>
          <w:tcPr>
            <w:tcW w:w="4819" w:type="dxa"/>
            <w:tcBorders>
              <w:top w:val="single" w:sz="4" w:space="0" w:color="FABF8F"/>
              <w:bottom w:val="single" w:sz="4" w:space="0" w:color="FABF8F"/>
            </w:tcBorders>
          </w:tcPr>
          <w:p w14:paraId="4E0AD205" w14:textId="77777777" w:rsidR="009B0074" w:rsidRPr="00FE7F15" w:rsidRDefault="009B0074" w:rsidP="009B0074">
            <w:pPr>
              <w:pStyle w:val="TableText"/>
            </w:pPr>
            <w:r w:rsidRPr="00FE7F15">
              <w:t xml:space="preserve">Procedures where there is a low risk of blood and body fluid splash </w:t>
            </w:r>
            <w:r>
              <w:t>–</w:t>
            </w:r>
            <w:r w:rsidRPr="00FE7F15">
              <w:t xml:space="preserve"> </w:t>
            </w:r>
            <w:r>
              <w:t>s</w:t>
            </w:r>
            <w:r w:rsidRPr="00FE7F15">
              <w:t xml:space="preserve">tandard </w:t>
            </w:r>
            <w:r>
              <w:t>p</w:t>
            </w:r>
            <w:r w:rsidRPr="00FE7F15">
              <w:t>recautions</w:t>
            </w:r>
            <w:r>
              <w:t>.</w:t>
            </w:r>
          </w:p>
        </w:tc>
      </w:tr>
      <w:tr w:rsidR="009B0074" w:rsidRPr="00556850" w14:paraId="4E0AD20B" w14:textId="77777777" w:rsidTr="004E35EB">
        <w:trPr>
          <w:cantSplit/>
        </w:trPr>
        <w:tc>
          <w:tcPr>
            <w:tcW w:w="1701" w:type="dxa"/>
            <w:vMerge/>
            <w:tcBorders>
              <w:top w:val="single" w:sz="4" w:space="0" w:color="FABF8F"/>
              <w:bottom w:val="single" w:sz="4" w:space="0" w:color="FABF8F"/>
            </w:tcBorders>
          </w:tcPr>
          <w:p w14:paraId="4E0AD207" w14:textId="77777777" w:rsidR="009B0074" w:rsidRPr="00556850" w:rsidRDefault="009B0074" w:rsidP="004E35EB">
            <w:pPr>
              <w:pStyle w:val="TableText"/>
              <w:ind w:right="57"/>
            </w:pPr>
          </w:p>
        </w:tc>
        <w:tc>
          <w:tcPr>
            <w:tcW w:w="1277" w:type="dxa"/>
            <w:vMerge/>
            <w:tcBorders>
              <w:top w:val="single" w:sz="4" w:space="0" w:color="FABF8F"/>
              <w:bottom w:val="single" w:sz="4" w:space="0" w:color="FABF8F"/>
            </w:tcBorders>
          </w:tcPr>
          <w:p w14:paraId="4E0AD208" w14:textId="77777777" w:rsidR="009B0074" w:rsidRPr="00FE7F15" w:rsidRDefault="009B0074" w:rsidP="004E35EB">
            <w:pPr>
              <w:pStyle w:val="TableText"/>
              <w:ind w:right="57"/>
            </w:pPr>
          </w:p>
        </w:tc>
        <w:tc>
          <w:tcPr>
            <w:tcW w:w="1559" w:type="dxa"/>
            <w:tcBorders>
              <w:top w:val="single" w:sz="4" w:space="0" w:color="FABF8F"/>
              <w:bottom w:val="single" w:sz="4" w:space="0" w:color="FABF8F"/>
            </w:tcBorders>
          </w:tcPr>
          <w:p w14:paraId="4E0AD209" w14:textId="77777777" w:rsidR="009B0074" w:rsidRPr="00FE7F15" w:rsidRDefault="009B0074" w:rsidP="004E35EB">
            <w:pPr>
              <w:pStyle w:val="TableText"/>
              <w:ind w:right="57"/>
            </w:pPr>
            <w:r w:rsidRPr="00FE7F15">
              <w:t>Protects the patient</w:t>
            </w:r>
          </w:p>
        </w:tc>
        <w:tc>
          <w:tcPr>
            <w:tcW w:w="4819" w:type="dxa"/>
            <w:tcBorders>
              <w:top w:val="single" w:sz="4" w:space="0" w:color="FABF8F"/>
              <w:bottom w:val="single" w:sz="4" w:space="0" w:color="FABF8F"/>
            </w:tcBorders>
          </w:tcPr>
          <w:p w14:paraId="4E0AD20A" w14:textId="77777777" w:rsidR="009B0074" w:rsidRPr="00FE7F15" w:rsidRDefault="009B0074" w:rsidP="009B0074">
            <w:pPr>
              <w:pStyle w:val="TableText"/>
            </w:pPr>
            <w:r w:rsidRPr="00FE7F15">
              <w:t>During a surgical or medical procedure, the mask prevents the passage of microbes from the nose and mouth of the health</w:t>
            </w:r>
            <w:r>
              <w:t xml:space="preserve"> </w:t>
            </w:r>
            <w:r w:rsidRPr="00FE7F15">
              <w:t>care worker into the surgical wound and sterile field.</w:t>
            </w:r>
          </w:p>
        </w:tc>
      </w:tr>
      <w:tr w:rsidR="009B0074" w:rsidRPr="00556850" w14:paraId="4E0AD211" w14:textId="77777777" w:rsidTr="004E35EB">
        <w:trPr>
          <w:cantSplit/>
        </w:trPr>
        <w:tc>
          <w:tcPr>
            <w:tcW w:w="1701" w:type="dxa"/>
            <w:vMerge w:val="restart"/>
            <w:tcBorders>
              <w:top w:val="single" w:sz="4" w:space="0" w:color="FABF8F"/>
              <w:bottom w:val="single" w:sz="4" w:space="0" w:color="FABF8F"/>
            </w:tcBorders>
          </w:tcPr>
          <w:p w14:paraId="4E0AD20C" w14:textId="77777777" w:rsidR="009B0074" w:rsidRPr="00255F01" w:rsidRDefault="009B0074" w:rsidP="004E35EB">
            <w:pPr>
              <w:pStyle w:val="TableText"/>
              <w:ind w:right="57"/>
            </w:pPr>
            <w:r w:rsidRPr="00255F01">
              <w:t xml:space="preserve">Medical </w:t>
            </w:r>
            <w:r>
              <w:t>m</w:t>
            </w:r>
            <w:r w:rsidRPr="00255F01">
              <w:t>ask</w:t>
            </w:r>
            <w:r>
              <w:t>s without splash resistance</w:t>
            </w:r>
          </w:p>
          <w:p w14:paraId="4E0AD20D" w14:textId="77777777" w:rsidR="009B0074" w:rsidRPr="00556850" w:rsidRDefault="009B0074" w:rsidP="004E35EB">
            <w:pPr>
              <w:pStyle w:val="TableText"/>
              <w:ind w:right="57"/>
            </w:pPr>
            <w:r w:rsidRPr="00556850">
              <w:t>Type II</w:t>
            </w:r>
            <w:r>
              <w:br/>
              <w:t>Type I</w:t>
            </w:r>
          </w:p>
        </w:tc>
        <w:tc>
          <w:tcPr>
            <w:tcW w:w="1277" w:type="dxa"/>
            <w:tcBorders>
              <w:top w:val="single" w:sz="4" w:space="0" w:color="FABF8F"/>
              <w:bottom w:val="single" w:sz="4" w:space="0" w:color="FABF8F"/>
            </w:tcBorders>
          </w:tcPr>
          <w:p w14:paraId="4E0AD20E" w14:textId="77777777" w:rsidR="009B0074" w:rsidRPr="00FE7F15" w:rsidRDefault="009B0074" w:rsidP="004E35EB">
            <w:pPr>
              <w:pStyle w:val="TableText"/>
              <w:ind w:right="57"/>
            </w:pPr>
            <w:r w:rsidRPr="00FE7F15">
              <w:t>Health</w:t>
            </w:r>
            <w:r>
              <w:t xml:space="preserve"> </w:t>
            </w:r>
            <w:r w:rsidRPr="00FE7F15">
              <w:t>care worker</w:t>
            </w:r>
          </w:p>
        </w:tc>
        <w:tc>
          <w:tcPr>
            <w:tcW w:w="1559" w:type="dxa"/>
            <w:tcBorders>
              <w:top w:val="single" w:sz="4" w:space="0" w:color="FABF8F"/>
              <w:bottom w:val="single" w:sz="4" w:space="0" w:color="FABF8F"/>
            </w:tcBorders>
          </w:tcPr>
          <w:p w14:paraId="4E0AD20F" w14:textId="77777777" w:rsidR="009B0074" w:rsidRPr="002257B0" w:rsidRDefault="009B0074" w:rsidP="004E35EB">
            <w:pPr>
              <w:pStyle w:val="TableText"/>
              <w:ind w:right="57"/>
            </w:pPr>
            <w:r w:rsidRPr="00FE7F15">
              <w:t>Protects the patient</w:t>
            </w:r>
          </w:p>
        </w:tc>
        <w:tc>
          <w:tcPr>
            <w:tcW w:w="4819" w:type="dxa"/>
            <w:tcBorders>
              <w:top w:val="single" w:sz="4" w:space="0" w:color="FABF8F"/>
              <w:bottom w:val="single" w:sz="4" w:space="0" w:color="FABF8F"/>
            </w:tcBorders>
          </w:tcPr>
          <w:p w14:paraId="4E0AD210" w14:textId="77777777" w:rsidR="009B0074" w:rsidRPr="002257B0" w:rsidRDefault="009B0074" w:rsidP="009B0074">
            <w:pPr>
              <w:pStyle w:val="TableText"/>
            </w:pPr>
            <w:r w:rsidRPr="00FE7F15">
              <w:t>During a medical procedure</w:t>
            </w:r>
            <w:r>
              <w:t>,</w:t>
            </w:r>
            <w:r w:rsidRPr="00FE7F15">
              <w:t xml:space="preserve"> the mask prevents the passage of microbes from the nose and mouth of the health</w:t>
            </w:r>
            <w:r>
              <w:t xml:space="preserve"> </w:t>
            </w:r>
            <w:r w:rsidRPr="00FE7F15">
              <w:t>care worker</w:t>
            </w:r>
            <w:r>
              <w:t xml:space="preserve"> into the sterile field.</w:t>
            </w:r>
          </w:p>
        </w:tc>
      </w:tr>
      <w:tr w:rsidR="004E35EB" w:rsidRPr="00556850" w14:paraId="4E0AD216" w14:textId="77777777" w:rsidTr="004E35EB">
        <w:trPr>
          <w:cantSplit/>
        </w:trPr>
        <w:tc>
          <w:tcPr>
            <w:tcW w:w="1701" w:type="dxa"/>
            <w:vMerge/>
            <w:tcBorders>
              <w:top w:val="single" w:sz="4" w:space="0" w:color="FABF8F"/>
              <w:bottom w:val="single" w:sz="4" w:space="0" w:color="FABF8F"/>
            </w:tcBorders>
            <w:vAlign w:val="center"/>
          </w:tcPr>
          <w:p w14:paraId="4E0AD212" w14:textId="77777777" w:rsidR="009B0074" w:rsidRPr="00556850" w:rsidRDefault="009B0074" w:rsidP="004E35EB">
            <w:pPr>
              <w:pStyle w:val="TableText"/>
              <w:ind w:right="57"/>
              <w:rPr>
                <w:sz w:val="20"/>
              </w:rPr>
            </w:pPr>
          </w:p>
        </w:tc>
        <w:tc>
          <w:tcPr>
            <w:tcW w:w="1277" w:type="dxa"/>
            <w:tcBorders>
              <w:top w:val="single" w:sz="4" w:space="0" w:color="FABF8F"/>
              <w:bottom w:val="single" w:sz="4" w:space="0" w:color="FABF8F"/>
            </w:tcBorders>
          </w:tcPr>
          <w:p w14:paraId="4E0AD213" w14:textId="77777777" w:rsidR="009B0074" w:rsidRPr="00FE7F15" w:rsidRDefault="009B0074" w:rsidP="004E35EB">
            <w:pPr>
              <w:pStyle w:val="TableText"/>
              <w:ind w:right="57"/>
            </w:pPr>
            <w:r>
              <w:t>Patient</w:t>
            </w:r>
          </w:p>
        </w:tc>
        <w:tc>
          <w:tcPr>
            <w:tcW w:w="1559" w:type="dxa"/>
            <w:tcBorders>
              <w:top w:val="single" w:sz="4" w:space="0" w:color="FABF8F"/>
              <w:bottom w:val="single" w:sz="4" w:space="0" w:color="FABF8F"/>
            </w:tcBorders>
          </w:tcPr>
          <w:p w14:paraId="4E0AD214" w14:textId="77777777" w:rsidR="009B0074" w:rsidRPr="003C0367" w:rsidRDefault="009B0074" w:rsidP="004E35EB">
            <w:pPr>
              <w:pStyle w:val="TableText"/>
              <w:ind w:right="57"/>
            </w:pPr>
            <w:r>
              <w:t>Protects others</w:t>
            </w:r>
          </w:p>
        </w:tc>
        <w:tc>
          <w:tcPr>
            <w:tcW w:w="4819" w:type="dxa"/>
            <w:tcBorders>
              <w:top w:val="single" w:sz="4" w:space="0" w:color="FABF8F"/>
              <w:bottom w:val="single" w:sz="4" w:space="0" w:color="FABF8F"/>
            </w:tcBorders>
          </w:tcPr>
          <w:p w14:paraId="4E0AD215" w14:textId="77777777" w:rsidR="009B0074" w:rsidRPr="00FE7F15" w:rsidRDefault="009B0074" w:rsidP="009B0074">
            <w:pPr>
              <w:pStyle w:val="TableText"/>
            </w:pPr>
            <w:r w:rsidRPr="00D16B66">
              <w:t xml:space="preserve">To be worn by patients with respiratory symptoms to reduce dispersal of infectious respiratory particles </w:t>
            </w:r>
            <w:r>
              <w:t>–</w:t>
            </w:r>
            <w:r w:rsidRPr="00D16B66">
              <w:t xml:space="preserve"> </w:t>
            </w:r>
            <w:r>
              <w:t>s</w:t>
            </w:r>
            <w:r w:rsidRPr="00110B05">
              <w:t xml:space="preserve">ource </w:t>
            </w:r>
            <w:r>
              <w:t>c</w:t>
            </w:r>
            <w:r w:rsidRPr="00110B05">
              <w:t>ontrol</w:t>
            </w:r>
            <w:r>
              <w:t>.</w:t>
            </w:r>
          </w:p>
        </w:tc>
      </w:tr>
      <w:tr w:rsidR="004E35EB" w:rsidRPr="00556850" w14:paraId="4E0AD21B" w14:textId="77777777" w:rsidTr="004E35EB">
        <w:trPr>
          <w:cantSplit/>
        </w:trPr>
        <w:tc>
          <w:tcPr>
            <w:tcW w:w="1701" w:type="dxa"/>
            <w:vMerge/>
            <w:tcBorders>
              <w:top w:val="single" w:sz="4" w:space="0" w:color="FABF8F"/>
              <w:bottom w:val="single" w:sz="4" w:space="0" w:color="FABF8F"/>
            </w:tcBorders>
            <w:vAlign w:val="center"/>
          </w:tcPr>
          <w:p w14:paraId="4E0AD217" w14:textId="77777777" w:rsidR="009B0074" w:rsidRPr="00556850" w:rsidRDefault="009B0074" w:rsidP="004E35EB">
            <w:pPr>
              <w:pStyle w:val="TableText"/>
              <w:ind w:right="57"/>
              <w:rPr>
                <w:sz w:val="20"/>
              </w:rPr>
            </w:pPr>
          </w:p>
        </w:tc>
        <w:tc>
          <w:tcPr>
            <w:tcW w:w="1277" w:type="dxa"/>
            <w:tcBorders>
              <w:top w:val="single" w:sz="4" w:space="0" w:color="FABF8F"/>
              <w:bottom w:val="single" w:sz="4" w:space="0" w:color="FABF8F"/>
            </w:tcBorders>
          </w:tcPr>
          <w:p w14:paraId="4E0AD218" w14:textId="77777777" w:rsidR="009B0074" w:rsidRPr="00FE7F15" w:rsidRDefault="009B0074" w:rsidP="004E35EB">
            <w:pPr>
              <w:pStyle w:val="TableText"/>
              <w:ind w:right="57"/>
            </w:pPr>
            <w:r>
              <w:t>Visitors/ health care/ non-health worker</w:t>
            </w:r>
          </w:p>
        </w:tc>
        <w:tc>
          <w:tcPr>
            <w:tcW w:w="1559" w:type="dxa"/>
            <w:tcBorders>
              <w:top w:val="single" w:sz="4" w:space="0" w:color="FABF8F"/>
              <w:bottom w:val="single" w:sz="4" w:space="0" w:color="FABF8F"/>
            </w:tcBorders>
          </w:tcPr>
          <w:p w14:paraId="4E0AD219" w14:textId="77777777" w:rsidR="009B0074" w:rsidRPr="00FE7F15" w:rsidRDefault="009B0074" w:rsidP="004E35EB">
            <w:pPr>
              <w:pStyle w:val="TableText"/>
              <w:ind w:right="57"/>
            </w:pPr>
            <w:r>
              <w:t>Protects others</w:t>
            </w:r>
          </w:p>
        </w:tc>
        <w:tc>
          <w:tcPr>
            <w:tcW w:w="4819" w:type="dxa"/>
            <w:tcBorders>
              <w:top w:val="single" w:sz="4" w:space="0" w:color="FABF8F"/>
              <w:bottom w:val="single" w:sz="4" w:space="0" w:color="FABF8F"/>
            </w:tcBorders>
          </w:tcPr>
          <w:p w14:paraId="4E0AD21A" w14:textId="77777777" w:rsidR="009B0074" w:rsidRPr="00D16B66" w:rsidRDefault="009B0074" w:rsidP="009B0074">
            <w:pPr>
              <w:pStyle w:val="TableText"/>
            </w:pPr>
            <w:r>
              <w:t>May be worn for source control when a mask is not a requirement for standard or transmission-based precautions.</w:t>
            </w:r>
          </w:p>
        </w:tc>
      </w:tr>
    </w:tbl>
    <w:p w14:paraId="4E0AD21C" w14:textId="77777777" w:rsidR="009B0074" w:rsidRPr="000D53AF" w:rsidRDefault="009B0074" w:rsidP="009B0074">
      <w:pPr>
        <w:pStyle w:val="Note"/>
      </w:pPr>
      <w:r w:rsidRPr="000D53AF">
        <w:t>*</w:t>
      </w:r>
      <w:r>
        <w:tab/>
      </w:r>
      <w:r w:rsidRPr="000D53AF">
        <w:t xml:space="preserve">For </w:t>
      </w:r>
      <w:r>
        <w:t xml:space="preserve">mask </w:t>
      </w:r>
      <w:r w:rsidRPr="000D53AF">
        <w:t>use at the Border, in Managed Isolation or Quarantine Facilities refer to the setting specific IPC policies and procedures.</w:t>
      </w:r>
    </w:p>
    <w:p w14:paraId="4E0AD21D" w14:textId="77777777" w:rsidR="00783D9C" w:rsidRPr="00DD748F" w:rsidRDefault="00783D9C" w:rsidP="009B0074"/>
    <w:p w14:paraId="4E0AD21E"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4E0AD221" wp14:editId="20814311">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4E0AD21F" w14:textId="2CFCCB4F" w:rsidR="00EB461E" w:rsidRDefault="009B0074" w:rsidP="002233D8">
      <w:pPr>
        <w:spacing w:before="240"/>
        <w:jc w:val="center"/>
        <w:rPr>
          <w:lang w:eastAsia="en-NZ"/>
        </w:rPr>
      </w:pPr>
      <w:r>
        <w:t>August 2021</w:t>
      </w:r>
      <w:r w:rsidR="00C34608" w:rsidRPr="00DD748F">
        <w:br/>
      </w:r>
      <w:r w:rsidR="00EB461E" w:rsidRPr="00DD748F">
        <w:rPr>
          <w:lang w:eastAsia="en-NZ"/>
        </w:rPr>
        <w:t>HP</w:t>
      </w:r>
      <w:r w:rsidR="00CB66E1">
        <w:rPr>
          <w:lang w:eastAsia="en-NZ"/>
        </w:rPr>
        <w:t xml:space="preserve"> 7803</w:t>
      </w:r>
    </w:p>
    <w:p w14:paraId="4E0AD220" w14:textId="77777777" w:rsidR="00660619" w:rsidRDefault="00660619" w:rsidP="00660619">
      <w:pPr>
        <w:rPr>
          <w:lang w:eastAsia="en-NZ"/>
        </w:rPr>
      </w:pPr>
    </w:p>
    <w:sectPr w:rsidR="00660619" w:rsidSect="000E4E05">
      <w:footerReference w:type="even" r:id="rId9"/>
      <w:footerReference w:type="default" r:id="rId10"/>
      <w:headerReference w:type="first" r:id="rId11"/>
      <w:footerReference w:type="first" r:id="rId12"/>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AD225" w14:textId="77777777" w:rsidR="007500D3" w:rsidRDefault="007500D3">
      <w:r>
        <w:separator/>
      </w:r>
    </w:p>
  </w:endnote>
  <w:endnote w:type="continuationSeparator" w:id="0">
    <w:p w14:paraId="4E0AD226" w14:textId="77777777" w:rsidR="007500D3" w:rsidRDefault="0075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4E0AD229" w14:textId="77777777" w:rsidTr="00525FFB">
      <w:trPr>
        <w:cantSplit/>
      </w:trPr>
      <w:tc>
        <w:tcPr>
          <w:tcW w:w="709" w:type="dxa"/>
          <w:vAlign w:val="center"/>
        </w:tcPr>
        <w:p w14:paraId="4E0AD227"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4E35EB">
            <w:rPr>
              <w:rStyle w:val="PageNumber"/>
              <w:noProof/>
              <w:sz w:val="22"/>
              <w:szCs w:val="22"/>
            </w:rPr>
            <w:t>2</w:t>
          </w:r>
          <w:r w:rsidRPr="00525FFB">
            <w:rPr>
              <w:rStyle w:val="PageNumber"/>
              <w:sz w:val="22"/>
              <w:szCs w:val="22"/>
            </w:rPr>
            <w:fldChar w:fldCharType="end"/>
          </w:r>
        </w:p>
      </w:tc>
      <w:tc>
        <w:tcPr>
          <w:tcW w:w="9356" w:type="dxa"/>
          <w:vAlign w:val="center"/>
        </w:tcPr>
        <w:p w14:paraId="4E0AD228" w14:textId="77777777" w:rsidR="00525FFB" w:rsidRDefault="004E35EB" w:rsidP="00525FFB">
          <w:pPr>
            <w:pStyle w:val="RectoFooter"/>
            <w:jc w:val="left"/>
          </w:pPr>
          <w:r>
            <w:t>guide to mask use in health care settings</w:t>
          </w:r>
        </w:p>
      </w:tc>
    </w:tr>
  </w:tbl>
  <w:p w14:paraId="4E0AD22A"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4E0AD22D" w14:textId="77777777" w:rsidTr="00525FFB">
      <w:trPr>
        <w:cantSplit/>
      </w:trPr>
      <w:tc>
        <w:tcPr>
          <w:tcW w:w="8647" w:type="dxa"/>
          <w:vAlign w:val="center"/>
        </w:tcPr>
        <w:p w14:paraId="4E0AD22B" w14:textId="77777777" w:rsidR="00525FFB" w:rsidRDefault="00525FFB" w:rsidP="00525FFB">
          <w:pPr>
            <w:pStyle w:val="RectoFooter"/>
          </w:pPr>
          <w:r>
            <w:t>BUSINESS VIABILITY STANDARDS FOR NON-GOVERNMENT ORGANISATION AUDIT AND REVIEW</w:t>
          </w:r>
        </w:p>
      </w:tc>
      <w:tc>
        <w:tcPr>
          <w:tcW w:w="709" w:type="dxa"/>
          <w:vAlign w:val="center"/>
        </w:tcPr>
        <w:p w14:paraId="4E0AD22C"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9B0074">
            <w:rPr>
              <w:rStyle w:val="PageNumber"/>
              <w:noProof/>
              <w:sz w:val="22"/>
              <w:szCs w:val="22"/>
            </w:rPr>
            <w:t>3</w:t>
          </w:r>
          <w:r w:rsidRPr="00525FFB">
            <w:rPr>
              <w:rStyle w:val="PageNumber"/>
              <w:sz w:val="22"/>
              <w:szCs w:val="22"/>
            </w:rPr>
            <w:fldChar w:fldCharType="end"/>
          </w:r>
        </w:p>
      </w:tc>
    </w:tr>
  </w:tbl>
  <w:p w14:paraId="4E0AD22E"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4E0AD232" w14:textId="77777777" w:rsidTr="00F06D3B">
      <w:trPr>
        <w:cantSplit/>
      </w:trPr>
      <w:tc>
        <w:tcPr>
          <w:tcW w:w="8647" w:type="dxa"/>
          <w:vAlign w:val="center"/>
        </w:tcPr>
        <w:p w14:paraId="4E0AD230" w14:textId="77777777" w:rsidR="00113C1B" w:rsidRDefault="009B0074" w:rsidP="00F06D3B">
          <w:pPr>
            <w:pStyle w:val="RectoFooter"/>
          </w:pPr>
          <w:r>
            <w:t>guide to mask use in health care settings</w:t>
          </w:r>
        </w:p>
      </w:tc>
      <w:tc>
        <w:tcPr>
          <w:tcW w:w="709" w:type="dxa"/>
          <w:vAlign w:val="center"/>
        </w:tcPr>
        <w:p w14:paraId="4E0AD231"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4E35EB">
            <w:rPr>
              <w:rStyle w:val="PageNumber"/>
              <w:noProof/>
              <w:sz w:val="22"/>
              <w:szCs w:val="22"/>
            </w:rPr>
            <w:t>1</w:t>
          </w:r>
          <w:r w:rsidRPr="00525FFB">
            <w:rPr>
              <w:rStyle w:val="PageNumber"/>
              <w:sz w:val="22"/>
              <w:szCs w:val="22"/>
            </w:rPr>
            <w:fldChar w:fldCharType="end"/>
          </w:r>
        </w:p>
      </w:tc>
    </w:tr>
  </w:tbl>
  <w:p w14:paraId="4E0AD233"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AD223" w14:textId="77777777" w:rsidR="007500D3" w:rsidRPr="00680D2D" w:rsidRDefault="007500D3" w:rsidP="00680D2D">
      <w:pPr>
        <w:pStyle w:val="Footer"/>
      </w:pPr>
    </w:p>
  </w:footnote>
  <w:footnote w:type="continuationSeparator" w:id="0">
    <w:p w14:paraId="4E0AD224" w14:textId="77777777" w:rsidR="007500D3" w:rsidRDefault="007500D3">
      <w:r>
        <w:continuationSeparator/>
      </w:r>
    </w:p>
  </w:footnote>
  <w:footnote w:id="1">
    <w:p w14:paraId="4E0AD236" w14:textId="77777777" w:rsidR="009B0074" w:rsidRPr="00EB02F3" w:rsidRDefault="009B0074" w:rsidP="009B0074">
      <w:pPr>
        <w:pStyle w:val="FootnoteText"/>
        <w:rPr>
          <w:lang w:val="en-US"/>
        </w:rPr>
      </w:pPr>
      <w:r w:rsidRPr="009B0074">
        <w:rPr>
          <w:rStyle w:val="FootnoteReference"/>
        </w:rPr>
        <w:footnoteRef/>
      </w:r>
      <w:r>
        <w:tab/>
      </w:r>
      <w:r w:rsidRPr="00EB02F3">
        <w:t>Ministry of Health</w:t>
      </w:r>
      <w:r>
        <w:t xml:space="preserve"> –</w:t>
      </w:r>
      <w:r w:rsidRPr="00EB02F3">
        <w:t xml:space="preserve"> </w:t>
      </w:r>
      <w:r>
        <w:t>t</w:t>
      </w:r>
      <w:r w:rsidRPr="00EB02F3">
        <w:t>he role of medical masks and particulate respirators in health and disability care settings</w:t>
      </w:r>
      <w:r w:rsidRPr="00310A82">
        <w:t>. Other PPE may be required</w:t>
      </w:r>
      <w:r>
        <w:t>.</w:t>
      </w:r>
    </w:p>
  </w:footnote>
  <w:footnote w:id="2">
    <w:p w14:paraId="4E0AD237" w14:textId="77777777" w:rsidR="009B0074" w:rsidRPr="00556850" w:rsidRDefault="009B0074" w:rsidP="009B0074">
      <w:pPr>
        <w:pStyle w:val="FootnoteText"/>
      </w:pPr>
      <w:r w:rsidRPr="009B0074">
        <w:rPr>
          <w:rStyle w:val="FootnoteReference"/>
        </w:rPr>
        <w:footnoteRef/>
      </w:r>
      <w:r>
        <w:tab/>
      </w:r>
      <w:r w:rsidRPr="00556850">
        <w:t>Particulate respirators are required to meet Australian and New Zealand Standards</w:t>
      </w:r>
      <w:r>
        <w:t>:</w:t>
      </w:r>
      <w:r w:rsidRPr="00556850">
        <w:t xml:space="preserve"> AS/NZS 1716:2012 or equivalent</w:t>
      </w:r>
      <w:r>
        <w:t>.</w:t>
      </w:r>
    </w:p>
  </w:footnote>
  <w:footnote w:id="3">
    <w:p w14:paraId="4E0AD238" w14:textId="77777777" w:rsidR="009B0074" w:rsidRPr="006942C6" w:rsidRDefault="009B0074" w:rsidP="009B0074">
      <w:pPr>
        <w:pStyle w:val="FootnoteText"/>
        <w:rPr>
          <w:sz w:val="16"/>
          <w:szCs w:val="16"/>
        </w:rPr>
      </w:pPr>
      <w:r w:rsidRPr="009B0074">
        <w:rPr>
          <w:rStyle w:val="FootnoteReference"/>
        </w:rPr>
        <w:footnoteRef/>
      </w:r>
      <w:r>
        <w:tab/>
      </w:r>
      <w:r w:rsidRPr="00556850">
        <w:t xml:space="preserve">Medical masks are required to meet the </w:t>
      </w:r>
      <w:r>
        <w:t>New Zealand S</w:t>
      </w:r>
      <w:r w:rsidRPr="00556850">
        <w:t xml:space="preserve">tandard </w:t>
      </w:r>
      <w:r w:rsidRPr="00B02741">
        <w:t xml:space="preserve">(British Standard (BS) and European Standard (EN) 14683:2019 (Type I, II and IIR) or </w:t>
      </w:r>
      <w:r>
        <w:t xml:space="preserve">an equivalent Standard such as </w:t>
      </w:r>
      <w:r w:rsidRPr="00B02741">
        <w:t>the</w:t>
      </w:r>
      <w:r>
        <w:t xml:space="preserve"> </w:t>
      </w:r>
      <w:r w:rsidRPr="00B02741">
        <w:t>American Society of Testing and Materials (ASTM) Standard F2100-11 (2011) (Level 1, 2 and 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AD22F" w14:textId="77777777" w:rsidR="00EE6CE2" w:rsidRDefault="00EE6CE2" w:rsidP="00BD22FC">
    <w:pPr>
      <w:pStyle w:val="Header"/>
      <w:spacing w:after="480"/>
    </w:pPr>
    <w:r>
      <w:rPr>
        <w:noProof/>
        <w:lang w:eastAsia="en-NZ"/>
      </w:rPr>
      <w:drawing>
        <wp:inline distT="0" distB="0" distL="0" distR="0" wp14:anchorId="4E0AD234" wp14:editId="0FD75663">
          <wp:extent cx="5960110" cy="573405"/>
          <wp:effectExtent l="0" t="0" r="2540" b="0"/>
          <wp:docPr id="1" name="Picture 4"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inistry of Health and New Zealand Government logos"/>
                  <pic:cNvPicPr>
                    <a:picLocks noChangeAspect="1" noChangeArrowheads="1"/>
                  </pic:cNvPicPr>
                </pic:nvPicPr>
                <pic:blipFill>
                  <a:blip r:embed="rId1">
                    <a:extLst>
                      <a:ext uri="{28A0092B-C50C-407E-A947-70E740481C1C}">
                        <a14:useLocalDpi xmlns:a14="http://schemas.microsoft.com/office/drawing/2010/main" val="0"/>
                      </a:ext>
                    </a:extLst>
                  </a:blip>
                  <a:srcRect l="1118"/>
                  <a:stretch>
                    <a:fillRect/>
                  </a:stretch>
                </pic:blipFill>
                <pic:spPr bwMode="auto">
                  <a:xfrm>
                    <a:off x="0" y="0"/>
                    <a:ext cx="596011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177C"/>
    <w:rsid w:val="001336C6"/>
    <w:rsid w:val="00137BE7"/>
    <w:rsid w:val="001424D0"/>
    <w:rsid w:val="00142C45"/>
    <w:rsid w:val="00145424"/>
    <w:rsid w:val="00145D5F"/>
    <w:rsid w:val="001705DC"/>
    <w:rsid w:val="0018777F"/>
    <w:rsid w:val="001925EF"/>
    <w:rsid w:val="001A3A19"/>
    <w:rsid w:val="001A7FBC"/>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6BA2"/>
    <w:rsid w:val="004378E8"/>
    <w:rsid w:val="00440BC8"/>
    <w:rsid w:val="00443649"/>
    <w:rsid w:val="0044399D"/>
    <w:rsid w:val="004440A2"/>
    <w:rsid w:val="00446F05"/>
    <w:rsid w:val="004518F6"/>
    <w:rsid w:val="004535A4"/>
    <w:rsid w:val="00477783"/>
    <w:rsid w:val="004845E0"/>
    <w:rsid w:val="0048760A"/>
    <w:rsid w:val="00492913"/>
    <w:rsid w:val="004A6CC1"/>
    <w:rsid w:val="004B28B7"/>
    <w:rsid w:val="004B368D"/>
    <w:rsid w:val="004B57F3"/>
    <w:rsid w:val="004D17ED"/>
    <w:rsid w:val="004E35EB"/>
    <w:rsid w:val="004E420D"/>
    <w:rsid w:val="005047D8"/>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90D07"/>
    <w:rsid w:val="005950A6"/>
    <w:rsid w:val="005958F2"/>
    <w:rsid w:val="00597F47"/>
    <w:rsid w:val="005B2223"/>
    <w:rsid w:val="005D3D35"/>
    <w:rsid w:val="005E2D49"/>
    <w:rsid w:val="005E44CE"/>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D1FA2"/>
    <w:rsid w:val="006D2458"/>
    <w:rsid w:val="006F544C"/>
    <w:rsid w:val="00737F49"/>
    <w:rsid w:val="00740786"/>
    <w:rsid w:val="0074188F"/>
    <w:rsid w:val="007500D3"/>
    <w:rsid w:val="00760E80"/>
    <w:rsid w:val="00761961"/>
    <w:rsid w:val="00766D1F"/>
    <w:rsid w:val="00771B0E"/>
    <w:rsid w:val="00783974"/>
    <w:rsid w:val="00783D9C"/>
    <w:rsid w:val="00790152"/>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20A63"/>
    <w:rsid w:val="00923A99"/>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0074"/>
    <w:rsid w:val="009B5859"/>
    <w:rsid w:val="009C39E2"/>
    <w:rsid w:val="009E07A9"/>
    <w:rsid w:val="009F1222"/>
    <w:rsid w:val="009F1BFF"/>
    <w:rsid w:val="009F4949"/>
    <w:rsid w:val="009F4CBC"/>
    <w:rsid w:val="00A0032E"/>
    <w:rsid w:val="00A00DBD"/>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57D5"/>
    <w:rsid w:val="00AE710D"/>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6E1"/>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30E7"/>
    <w:rsid w:val="00DA5318"/>
    <w:rsid w:val="00DA56D5"/>
    <w:rsid w:val="00DD2C28"/>
    <w:rsid w:val="00DD748F"/>
    <w:rsid w:val="00DE5ADA"/>
    <w:rsid w:val="00DF0496"/>
    <w:rsid w:val="00E062F3"/>
    <w:rsid w:val="00E2207D"/>
    <w:rsid w:val="00E2772A"/>
    <w:rsid w:val="00E27894"/>
    <w:rsid w:val="00E362D1"/>
    <w:rsid w:val="00E36316"/>
    <w:rsid w:val="00E40493"/>
    <w:rsid w:val="00E43A89"/>
    <w:rsid w:val="00E44733"/>
    <w:rsid w:val="00E5476D"/>
    <w:rsid w:val="00E54AB1"/>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4E0AD1D5"/>
  <w15:docId w15:val="{98E6CF44-762B-46E5-8FB4-F90746F2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8"/>
    <w:rsid w:val="00660619"/>
    <w:pPr>
      <w:spacing w:before="60" w:line="228" w:lineRule="auto"/>
      <w:ind w:left="284" w:hanging="284"/>
    </w:pPr>
    <w:rPr>
      <w:sz w:val="17"/>
      <w:szCs w:val="20"/>
    </w:rPr>
  </w:style>
  <w:style w:type="character" w:styleId="FootnoteReference">
    <w:name w:val="footnote reference"/>
    <w:uiPriority w:val="8"/>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9B0074"/>
    <w:pPr>
      <w:spacing w:before="60"/>
      <w:ind w:left="284" w:hanging="284"/>
    </w:pPr>
    <w:rPr>
      <w:sz w:val="17"/>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B0074"/>
    <w:pPr>
      <w:spacing w:before="80" w:after="80" w:line="240" w:lineRule="auto"/>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8"/>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9B0074"/>
    <w:rPr>
      <w:rFonts w:ascii="Segoe UI" w:hAnsi="Segoe UI"/>
      <w:sz w:val="17"/>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3FE928-7068-46EA-9035-32BB27D8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template.dotx</Template>
  <TotalTime>1</TotalTime>
  <Pages>2</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Mask Use in Health Care Settings</dc:title>
  <dc:creator>Ministry of Health</dc:creator>
  <cp:lastModifiedBy>Ministry of Health</cp:lastModifiedBy>
  <cp:revision>2</cp:revision>
  <cp:lastPrinted>2014-10-20T03:59:00Z</cp:lastPrinted>
  <dcterms:created xsi:type="dcterms:W3CDTF">2021-08-18T21:28:00Z</dcterms:created>
  <dcterms:modified xsi:type="dcterms:W3CDTF">2021-08-18T21:28:00Z</dcterms:modified>
</cp:coreProperties>
</file>