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D4E38" w14:textId="2FEEA852" w:rsidR="006D300E" w:rsidRPr="00071734" w:rsidRDefault="00071734" w:rsidP="006D300E">
      <w:pPr>
        <w:rPr>
          <w:rFonts w:ascii="Tahoma" w:eastAsiaTheme="majorEastAsia" w:hAnsi="Tahoma" w:cstheme="majorBidi"/>
          <w:b/>
          <w:color w:val="1F3864" w:themeColor="accent1" w:themeShade="80"/>
          <w:spacing w:val="-10"/>
          <w:kern w:val="28"/>
          <w:sz w:val="28"/>
          <w:szCs w:val="44"/>
          <w:lang w:val="en-US" w:eastAsia="ja-JP"/>
        </w:rPr>
      </w:pPr>
      <w:r w:rsidRPr="00071734">
        <w:rPr>
          <w:rFonts w:ascii="Tahoma" w:eastAsiaTheme="majorEastAsia" w:hAnsi="Tahoma" w:cstheme="majorBidi"/>
          <w:b/>
          <w:color w:val="1F3864" w:themeColor="accent1" w:themeShade="80"/>
          <w:spacing w:val="-10"/>
          <w:kern w:val="28"/>
          <w:sz w:val="28"/>
          <w:szCs w:val="44"/>
          <w:lang w:val="en-US" w:eastAsia="ja-JP"/>
        </w:rPr>
        <w:t>Therapeutic</w:t>
      </w:r>
      <w:r w:rsidR="00646C40">
        <w:rPr>
          <w:rFonts w:ascii="Tahoma" w:eastAsiaTheme="majorEastAsia" w:hAnsi="Tahoma" w:cstheme="majorBidi"/>
          <w:b/>
          <w:color w:val="1F3864" w:themeColor="accent1" w:themeShade="80"/>
          <w:spacing w:val="-10"/>
          <w:kern w:val="28"/>
          <w:sz w:val="28"/>
          <w:szCs w:val="44"/>
          <w:lang w:val="en-US" w:eastAsia="ja-JP"/>
        </w:rPr>
        <w:t>s</w:t>
      </w:r>
      <w:r w:rsidRPr="00071734">
        <w:rPr>
          <w:rFonts w:ascii="Tahoma" w:eastAsiaTheme="majorEastAsia" w:hAnsi="Tahoma" w:cstheme="majorBidi"/>
          <w:b/>
          <w:color w:val="1F3864" w:themeColor="accent1" w:themeShade="80"/>
          <w:spacing w:val="-10"/>
          <w:kern w:val="28"/>
          <w:sz w:val="28"/>
          <w:szCs w:val="44"/>
          <w:lang w:val="en-US" w:eastAsia="ja-JP"/>
        </w:rPr>
        <w:t xml:space="preserve"> Technical Advisory Group | </w:t>
      </w:r>
      <w:proofErr w:type="spellStart"/>
      <w:r w:rsidRPr="00071734">
        <w:rPr>
          <w:rFonts w:ascii="Tahoma" w:eastAsiaTheme="majorEastAsia" w:hAnsi="Tahoma" w:cstheme="majorBidi"/>
          <w:b/>
          <w:color w:val="1F3864" w:themeColor="accent1" w:themeShade="80"/>
          <w:spacing w:val="-10"/>
          <w:kern w:val="28"/>
          <w:sz w:val="28"/>
          <w:szCs w:val="44"/>
          <w:lang w:val="en-US" w:eastAsia="ja-JP"/>
        </w:rPr>
        <w:t>Te</w:t>
      </w:r>
      <w:proofErr w:type="spellEnd"/>
      <w:r w:rsidRPr="00071734">
        <w:rPr>
          <w:rFonts w:ascii="Tahoma" w:eastAsiaTheme="majorEastAsia" w:hAnsi="Tahoma" w:cstheme="majorBidi"/>
          <w:b/>
          <w:color w:val="1F3864" w:themeColor="accent1" w:themeShade="80"/>
          <w:spacing w:val="-10"/>
          <w:kern w:val="28"/>
          <w:sz w:val="28"/>
          <w:szCs w:val="44"/>
          <w:lang w:val="en-US" w:eastAsia="ja-JP"/>
        </w:rPr>
        <w:t xml:space="preserve"> </w:t>
      </w:r>
      <w:proofErr w:type="spellStart"/>
      <w:r w:rsidRPr="00071734">
        <w:rPr>
          <w:rFonts w:ascii="Tahoma" w:eastAsiaTheme="majorEastAsia" w:hAnsi="Tahoma" w:cstheme="majorBidi"/>
          <w:b/>
          <w:color w:val="1F3864" w:themeColor="accent1" w:themeShade="80"/>
          <w:spacing w:val="-10"/>
          <w:kern w:val="28"/>
          <w:sz w:val="28"/>
          <w:szCs w:val="44"/>
          <w:lang w:val="en-US" w:eastAsia="ja-JP"/>
        </w:rPr>
        <w:t>Rōpū</w:t>
      </w:r>
      <w:proofErr w:type="spellEnd"/>
      <w:r w:rsidRPr="00071734">
        <w:rPr>
          <w:rFonts w:ascii="Tahoma" w:eastAsiaTheme="majorEastAsia" w:hAnsi="Tahoma" w:cstheme="majorBidi"/>
          <w:b/>
          <w:color w:val="1F3864" w:themeColor="accent1" w:themeShade="80"/>
          <w:spacing w:val="-10"/>
          <w:kern w:val="28"/>
          <w:sz w:val="28"/>
          <w:szCs w:val="44"/>
          <w:lang w:val="en-US" w:eastAsia="ja-JP"/>
        </w:rPr>
        <w:t xml:space="preserve"> </w:t>
      </w:r>
      <w:proofErr w:type="spellStart"/>
      <w:r w:rsidRPr="00071734">
        <w:rPr>
          <w:rFonts w:ascii="Tahoma" w:eastAsiaTheme="majorEastAsia" w:hAnsi="Tahoma" w:cstheme="majorBidi"/>
          <w:b/>
          <w:color w:val="1F3864" w:themeColor="accent1" w:themeShade="80"/>
          <w:spacing w:val="-10"/>
          <w:kern w:val="28"/>
          <w:sz w:val="28"/>
          <w:szCs w:val="44"/>
          <w:lang w:val="en-US" w:eastAsia="ja-JP"/>
        </w:rPr>
        <w:t>Haumanu</w:t>
      </w:r>
      <w:proofErr w:type="spellEnd"/>
      <w:r w:rsidRPr="00071734">
        <w:rPr>
          <w:rFonts w:ascii="Tahoma" w:eastAsiaTheme="majorEastAsia" w:hAnsi="Tahoma" w:cstheme="majorBidi"/>
          <w:b/>
          <w:color w:val="1F3864" w:themeColor="accent1" w:themeShade="80"/>
          <w:spacing w:val="-10"/>
          <w:kern w:val="28"/>
          <w:sz w:val="28"/>
          <w:szCs w:val="44"/>
          <w:lang w:val="en-US" w:eastAsia="ja-JP"/>
        </w:rPr>
        <w:t xml:space="preserve"> Kowheori-19</w:t>
      </w:r>
    </w:p>
    <w:p w14:paraId="7A5E7DDA" w14:textId="77777777" w:rsidR="00071734" w:rsidRPr="00071734" w:rsidRDefault="00071734" w:rsidP="006D300E">
      <w:pPr>
        <w:rPr>
          <w:sz w:val="18"/>
          <w:szCs w:val="18"/>
        </w:rPr>
      </w:pPr>
    </w:p>
    <w:p w14:paraId="160F074A" w14:textId="4E0BE8BB" w:rsidR="00071734" w:rsidRPr="00071734" w:rsidRDefault="00071734" w:rsidP="00071734">
      <w:pPr>
        <w:spacing w:after="240"/>
        <w:jc w:val="right"/>
        <w:rPr>
          <w:rFonts w:ascii="Tahoma" w:hAnsi="Tahoma" w:cs="Tahoma"/>
          <w:b/>
          <w:bCs/>
          <w:color w:val="1F3864" w:themeColor="accent1" w:themeShade="80"/>
          <w:sz w:val="24"/>
          <w:szCs w:val="24"/>
        </w:rPr>
      </w:pPr>
      <w:r w:rsidRPr="00DE7D50">
        <w:rPr>
          <w:rFonts w:ascii="Tahoma" w:hAnsi="Tahoma" w:cs="Tahoma"/>
          <w:b/>
          <w:bCs/>
          <w:color w:val="1F3864" w:themeColor="accent1" w:themeShade="80"/>
          <w:sz w:val="24"/>
          <w:szCs w:val="24"/>
        </w:rPr>
        <w:t xml:space="preserve">Date: </w:t>
      </w:r>
      <w:r w:rsidR="00FA725F" w:rsidRPr="00DE7D50">
        <w:rPr>
          <w:rFonts w:ascii="Tahoma" w:hAnsi="Tahoma" w:cs="Tahoma"/>
          <w:b/>
          <w:bCs/>
          <w:color w:val="1F3864" w:themeColor="accent1" w:themeShade="80"/>
          <w:sz w:val="24"/>
          <w:szCs w:val="24"/>
        </w:rPr>
        <w:t>2</w:t>
      </w:r>
      <w:r w:rsidR="00AD0D04">
        <w:rPr>
          <w:rFonts w:ascii="Tahoma" w:hAnsi="Tahoma" w:cs="Tahoma"/>
          <w:b/>
          <w:bCs/>
          <w:color w:val="1F3864" w:themeColor="accent1" w:themeShade="80"/>
          <w:sz w:val="24"/>
          <w:szCs w:val="24"/>
        </w:rPr>
        <w:t>3</w:t>
      </w:r>
      <w:r w:rsidR="00747B97" w:rsidRPr="00DE7D50">
        <w:rPr>
          <w:rFonts w:ascii="Tahoma" w:hAnsi="Tahoma" w:cs="Tahoma"/>
          <w:b/>
          <w:bCs/>
          <w:color w:val="1F3864" w:themeColor="accent1" w:themeShade="80"/>
          <w:sz w:val="24"/>
          <w:szCs w:val="24"/>
        </w:rPr>
        <w:t xml:space="preserve"> March 2022</w:t>
      </w:r>
    </w:p>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23"/>
      </w:tblGrid>
      <w:tr w:rsidR="00071734" w:rsidRPr="00926BF6" w14:paraId="1DB27C19" w14:textId="77777777" w:rsidTr="00467560">
        <w:tc>
          <w:tcPr>
            <w:tcW w:w="9923" w:type="dxa"/>
            <w:shd w:val="clear" w:color="auto" w:fill="F2F2F2" w:themeFill="background1" w:themeFillShade="F2"/>
          </w:tcPr>
          <w:p w14:paraId="5997555B" w14:textId="77777777" w:rsidR="00071734" w:rsidRPr="00926BF6" w:rsidRDefault="00071734" w:rsidP="00071734">
            <w:pPr>
              <w:pStyle w:val="BodyText"/>
              <w:spacing w:before="120"/>
            </w:pPr>
            <w:r w:rsidRPr="00926BF6">
              <w:t>The Therapeutics Technical Advisory Group (</w:t>
            </w:r>
            <w:r w:rsidR="00467560">
              <w:t xml:space="preserve">Therapeutics </w:t>
            </w:r>
            <w:r w:rsidRPr="00926BF6">
              <w:t xml:space="preserve">TAG) was </w:t>
            </w:r>
            <w:r w:rsidR="00747B97">
              <w:t>established</w:t>
            </w:r>
            <w:r w:rsidRPr="00926BF6">
              <w:t xml:space="preserve"> by the Ministry of Health in August 2021 to provide expert advice on existing and emerging medicines for use in the management of COVID-19.</w:t>
            </w:r>
          </w:p>
        </w:tc>
      </w:tr>
    </w:tbl>
    <w:p w14:paraId="634F7E1B" w14:textId="77777777" w:rsidR="006C5C46" w:rsidRDefault="006C5C46" w:rsidP="00467560">
      <w:pPr>
        <w:pStyle w:val="BodyText"/>
        <w:spacing w:before="120"/>
        <w:rPr>
          <w:rFonts w:ascii="Tahoma" w:hAnsi="Tahoma" w:cs="Tahoma"/>
          <w:b/>
          <w:bCs/>
          <w:color w:val="038387"/>
          <w:sz w:val="28"/>
          <w:szCs w:val="24"/>
        </w:rPr>
      </w:pPr>
    </w:p>
    <w:p w14:paraId="7BA5C665" w14:textId="692EA429" w:rsidR="00071734" w:rsidRPr="00467560" w:rsidRDefault="00B763D9" w:rsidP="00467560">
      <w:pPr>
        <w:pStyle w:val="BodyText"/>
        <w:spacing w:before="120"/>
        <w:rPr>
          <w:rFonts w:ascii="Tahoma" w:hAnsi="Tahoma" w:cs="Tahoma"/>
          <w:b/>
          <w:bCs/>
          <w:color w:val="038387"/>
        </w:rPr>
      </w:pPr>
      <w:r>
        <w:rPr>
          <w:rFonts w:ascii="Tahoma" w:hAnsi="Tahoma" w:cs="Tahoma"/>
          <w:b/>
          <w:bCs/>
          <w:color w:val="038387"/>
          <w:sz w:val="28"/>
          <w:szCs w:val="24"/>
        </w:rPr>
        <w:t xml:space="preserve">Guidance for temporary </w:t>
      </w:r>
      <w:proofErr w:type="spellStart"/>
      <w:r w:rsidR="001035D2">
        <w:rPr>
          <w:rFonts w:ascii="Tahoma" w:hAnsi="Tahoma" w:cs="Tahoma"/>
          <w:b/>
          <w:bCs/>
          <w:color w:val="038387"/>
          <w:sz w:val="28"/>
          <w:szCs w:val="24"/>
        </w:rPr>
        <w:t>prioritisation</w:t>
      </w:r>
      <w:proofErr w:type="spellEnd"/>
      <w:r w:rsidR="001035D2">
        <w:rPr>
          <w:rFonts w:ascii="Tahoma" w:hAnsi="Tahoma" w:cs="Tahoma"/>
          <w:b/>
          <w:bCs/>
          <w:color w:val="038387"/>
          <w:sz w:val="28"/>
          <w:szCs w:val="24"/>
        </w:rPr>
        <w:t xml:space="preserve"> </w:t>
      </w:r>
      <w:r>
        <w:rPr>
          <w:rFonts w:ascii="Tahoma" w:hAnsi="Tahoma" w:cs="Tahoma"/>
          <w:b/>
          <w:bCs/>
          <w:color w:val="038387"/>
          <w:sz w:val="28"/>
          <w:szCs w:val="24"/>
        </w:rPr>
        <w:t xml:space="preserve">of </w:t>
      </w:r>
      <w:proofErr w:type="spellStart"/>
      <w:r>
        <w:rPr>
          <w:rFonts w:ascii="Tahoma" w:hAnsi="Tahoma" w:cs="Tahoma"/>
          <w:b/>
          <w:bCs/>
          <w:color w:val="038387"/>
          <w:sz w:val="28"/>
          <w:szCs w:val="24"/>
        </w:rPr>
        <w:t>r</w:t>
      </w:r>
      <w:r w:rsidR="00E72641">
        <w:rPr>
          <w:rFonts w:ascii="Tahoma" w:hAnsi="Tahoma" w:cs="Tahoma"/>
          <w:b/>
          <w:bCs/>
          <w:color w:val="038387"/>
          <w:sz w:val="28"/>
          <w:szCs w:val="24"/>
        </w:rPr>
        <w:t>emdesivir</w:t>
      </w:r>
      <w:proofErr w:type="spellEnd"/>
      <w:r w:rsidR="00E72641">
        <w:rPr>
          <w:rFonts w:ascii="Tahoma" w:hAnsi="Tahoma" w:cs="Tahoma"/>
          <w:b/>
          <w:bCs/>
          <w:color w:val="038387"/>
          <w:sz w:val="28"/>
          <w:szCs w:val="24"/>
        </w:rPr>
        <w:t xml:space="preserve"> </w:t>
      </w:r>
      <w:r w:rsidR="00670F8E">
        <w:rPr>
          <w:rFonts w:ascii="Tahoma" w:hAnsi="Tahoma" w:cs="Tahoma"/>
          <w:b/>
          <w:bCs/>
          <w:color w:val="038387"/>
          <w:sz w:val="28"/>
          <w:szCs w:val="24"/>
        </w:rPr>
        <w:t>for</w:t>
      </w:r>
      <w:r>
        <w:rPr>
          <w:rFonts w:ascii="Tahoma" w:hAnsi="Tahoma" w:cs="Tahoma"/>
          <w:b/>
          <w:bCs/>
          <w:color w:val="038387"/>
          <w:sz w:val="28"/>
          <w:szCs w:val="24"/>
        </w:rPr>
        <w:t xml:space="preserve"> early COVID-19 in people not requiring oxygen</w:t>
      </w:r>
    </w:p>
    <w:p w14:paraId="21B902CF" w14:textId="77777777" w:rsidR="00E72641" w:rsidRDefault="00E72641" w:rsidP="0076185A">
      <w:pPr>
        <w:rPr>
          <w:bCs/>
        </w:rPr>
      </w:pPr>
    </w:p>
    <w:p w14:paraId="1E879F51" w14:textId="5EBF4AD3" w:rsidR="009A6033" w:rsidRDefault="0076185A" w:rsidP="0076185A">
      <w:pPr>
        <w:rPr>
          <w:bCs/>
        </w:rPr>
      </w:pPr>
      <w:r>
        <w:rPr>
          <w:bCs/>
        </w:rPr>
        <w:t>The intention</w:t>
      </w:r>
      <w:r w:rsidR="00565DCE">
        <w:rPr>
          <w:bCs/>
        </w:rPr>
        <w:t xml:space="preserve"> of this document is to provide </w:t>
      </w:r>
      <w:r w:rsidR="00E92695">
        <w:rPr>
          <w:bCs/>
        </w:rPr>
        <w:t xml:space="preserve">temporary </w:t>
      </w:r>
      <w:r w:rsidR="00565DCE">
        <w:rPr>
          <w:bCs/>
        </w:rPr>
        <w:t xml:space="preserve">guidance for the prioritisation of remdesivir to patients </w:t>
      </w:r>
      <w:r w:rsidR="00315042">
        <w:rPr>
          <w:bCs/>
        </w:rPr>
        <w:t xml:space="preserve">with COVID-19 </w:t>
      </w:r>
      <w:r w:rsidR="00565DCE">
        <w:rPr>
          <w:bCs/>
        </w:rPr>
        <w:t xml:space="preserve">likely to be at the very highest risk of </w:t>
      </w:r>
      <w:r w:rsidR="001035D2">
        <w:rPr>
          <w:bCs/>
        </w:rPr>
        <w:t xml:space="preserve">progression to </w:t>
      </w:r>
      <w:r w:rsidR="00315042">
        <w:rPr>
          <w:bCs/>
        </w:rPr>
        <w:t>requiring</w:t>
      </w:r>
      <w:r w:rsidR="00D223AC">
        <w:rPr>
          <w:bCs/>
        </w:rPr>
        <w:t xml:space="preserve"> </w:t>
      </w:r>
      <w:r w:rsidR="00FA725F">
        <w:rPr>
          <w:bCs/>
        </w:rPr>
        <w:t>in-</w:t>
      </w:r>
      <w:r w:rsidR="00D223AC">
        <w:rPr>
          <w:bCs/>
        </w:rPr>
        <w:t xml:space="preserve">hospital treatment. </w:t>
      </w:r>
      <w:r w:rsidR="00E92695">
        <w:rPr>
          <w:bCs/>
        </w:rPr>
        <w:t>It is anticipated that this guidance will change with increased availability of COVID-19 community therapeutics in the coming months.</w:t>
      </w:r>
    </w:p>
    <w:p w14:paraId="31214831" w14:textId="77777777" w:rsidR="007F055F" w:rsidRPr="007879EC" w:rsidRDefault="007F055F" w:rsidP="0076185A">
      <w:pPr>
        <w:rPr>
          <w:bCs/>
        </w:rPr>
      </w:pPr>
    </w:p>
    <w:p w14:paraId="441BE3C8" w14:textId="1D9C3E87" w:rsidR="009A6033" w:rsidRDefault="001D51D7" w:rsidP="00071734">
      <w:pPr>
        <w:rPr>
          <w:bCs/>
        </w:rPr>
      </w:pPr>
      <w:r>
        <w:rPr>
          <w:bCs/>
        </w:rPr>
        <w:t xml:space="preserve">PHARMAC </w:t>
      </w:r>
      <w:proofErr w:type="spellStart"/>
      <w:r>
        <w:rPr>
          <w:bCs/>
        </w:rPr>
        <w:t>succesful</w:t>
      </w:r>
      <w:r w:rsidR="0017475E">
        <w:rPr>
          <w:bCs/>
        </w:rPr>
        <w:t>l</w:t>
      </w:r>
      <w:r>
        <w:rPr>
          <w:bCs/>
        </w:rPr>
        <w:t>y</w:t>
      </w:r>
      <w:proofErr w:type="spellEnd"/>
      <w:r>
        <w:rPr>
          <w:bCs/>
        </w:rPr>
        <w:t xml:space="preserve"> negotiated delivery of 5000 intravenous doses of remdesivir to New Zealand in late February 2022. </w:t>
      </w:r>
      <w:hyperlink r:id="rId11" w:history="1">
        <w:r>
          <w:rPr>
            <w:rStyle w:val="Hyperlink"/>
            <w:bCs/>
          </w:rPr>
          <w:t>T</w:t>
        </w:r>
        <w:r w:rsidR="009A6033" w:rsidRPr="009A6033">
          <w:rPr>
            <w:rStyle w:val="Hyperlink"/>
            <w:bCs/>
          </w:rPr>
          <w:t xml:space="preserve">emporary </w:t>
        </w:r>
        <w:r w:rsidR="007879EC" w:rsidRPr="009A6033">
          <w:rPr>
            <w:rStyle w:val="Hyperlink"/>
            <w:bCs/>
          </w:rPr>
          <w:t>access criteria for remdesivir</w:t>
        </w:r>
      </w:hyperlink>
      <w:r w:rsidR="009A6033">
        <w:rPr>
          <w:bCs/>
        </w:rPr>
        <w:t xml:space="preserve"> </w:t>
      </w:r>
      <w:r>
        <w:rPr>
          <w:bCs/>
        </w:rPr>
        <w:t xml:space="preserve">were published </w:t>
      </w:r>
      <w:r w:rsidR="009A6033">
        <w:rPr>
          <w:bCs/>
        </w:rPr>
        <w:t>on the 4</w:t>
      </w:r>
      <w:r w:rsidR="009A6033" w:rsidRPr="009A6033">
        <w:rPr>
          <w:bCs/>
          <w:vertAlign w:val="superscript"/>
        </w:rPr>
        <w:t>th</w:t>
      </w:r>
      <w:r w:rsidR="009A6033">
        <w:rPr>
          <w:bCs/>
        </w:rPr>
        <w:t xml:space="preserve"> of March 2022</w:t>
      </w:r>
      <w:r w:rsidR="002E2C5C">
        <w:rPr>
          <w:bCs/>
        </w:rPr>
        <w:t>.</w:t>
      </w:r>
      <w:r w:rsidR="009A6033">
        <w:rPr>
          <w:bCs/>
        </w:rPr>
        <w:t xml:space="preserve"> </w:t>
      </w:r>
      <w:r w:rsidR="002E2C5C">
        <w:rPr>
          <w:bCs/>
        </w:rPr>
        <w:t>T</w:t>
      </w:r>
      <w:r w:rsidR="009A6033">
        <w:rPr>
          <w:bCs/>
        </w:rPr>
        <w:t>hese criteria differ from access criteria</w:t>
      </w:r>
      <w:r>
        <w:rPr>
          <w:bCs/>
        </w:rPr>
        <w:t xml:space="preserve"> released on 28</w:t>
      </w:r>
      <w:r w:rsidRPr="001D51D7">
        <w:rPr>
          <w:bCs/>
          <w:vertAlign w:val="superscript"/>
        </w:rPr>
        <w:t>th</w:t>
      </w:r>
      <w:r>
        <w:rPr>
          <w:bCs/>
        </w:rPr>
        <w:t xml:space="preserve"> of </w:t>
      </w:r>
      <w:proofErr w:type="gramStart"/>
      <w:r>
        <w:rPr>
          <w:bCs/>
        </w:rPr>
        <w:t>February 2022</w:t>
      </w:r>
      <w:r w:rsidR="009A6033">
        <w:rPr>
          <w:bCs/>
        </w:rPr>
        <w:t>, and</w:t>
      </w:r>
      <w:proofErr w:type="gramEnd"/>
      <w:r w:rsidR="009A6033">
        <w:rPr>
          <w:bCs/>
        </w:rPr>
        <w:t xml:space="preserve"> are likely to be revised</w:t>
      </w:r>
      <w:r>
        <w:rPr>
          <w:bCs/>
        </w:rPr>
        <w:t xml:space="preserve"> again</w:t>
      </w:r>
      <w:r w:rsidR="009A6033">
        <w:rPr>
          <w:bCs/>
        </w:rPr>
        <w:t xml:space="preserve"> following a consultation process on proposed access criteria for oral COVID-19 antiviral agents</w:t>
      </w:r>
      <w:r w:rsidR="00E72641">
        <w:rPr>
          <w:bCs/>
        </w:rPr>
        <w:t xml:space="preserve">. </w:t>
      </w:r>
    </w:p>
    <w:p w14:paraId="7C194456" w14:textId="77777777" w:rsidR="007F055F" w:rsidRDefault="007F055F" w:rsidP="00071734">
      <w:pPr>
        <w:rPr>
          <w:bCs/>
        </w:rPr>
      </w:pPr>
    </w:p>
    <w:p w14:paraId="66F08D34" w14:textId="7E02E104" w:rsidR="006A359F" w:rsidRDefault="000B4A6F" w:rsidP="00071734">
      <w:pPr>
        <w:rPr>
          <w:bCs/>
        </w:rPr>
      </w:pPr>
      <w:r>
        <w:rPr>
          <w:bCs/>
        </w:rPr>
        <w:t xml:space="preserve">The 5000 doses of remdesivir obtained are sufficient to treat </w:t>
      </w:r>
      <w:r w:rsidR="002E2C5C">
        <w:rPr>
          <w:bCs/>
        </w:rPr>
        <w:t>approximately 1000</w:t>
      </w:r>
      <w:r>
        <w:rPr>
          <w:bCs/>
        </w:rPr>
        <w:t xml:space="preserve"> people</w:t>
      </w:r>
      <w:r w:rsidR="002E2C5C">
        <w:rPr>
          <w:bCs/>
        </w:rPr>
        <w:t xml:space="preserve">. </w:t>
      </w:r>
      <w:r w:rsidR="00CE77B8">
        <w:rPr>
          <w:bCs/>
        </w:rPr>
        <w:t>However, the New Zealand COVID-</w:t>
      </w:r>
      <w:proofErr w:type="gramStart"/>
      <w:r w:rsidR="00CE77B8">
        <w:rPr>
          <w:bCs/>
        </w:rPr>
        <w:t>19  ‘</w:t>
      </w:r>
      <w:proofErr w:type="gramEnd"/>
      <w:r w:rsidR="00CE77B8">
        <w:rPr>
          <w:bCs/>
        </w:rPr>
        <w:t xml:space="preserve">surge’ in transmission associated with the </w:t>
      </w:r>
      <w:r w:rsidR="007A0872">
        <w:rPr>
          <w:bCs/>
        </w:rPr>
        <w:t>O</w:t>
      </w:r>
      <w:r w:rsidR="00C409F0">
        <w:rPr>
          <w:bCs/>
        </w:rPr>
        <w:t>micron</w:t>
      </w:r>
      <w:r w:rsidR="00CE77B8">
        <w:rPr>
          <w:bCs/>
        </w:rPr>
        <w:t xml:space="preserve"> variant has resulted in vast numbers of people being infected in a short period of time</w:t>
      </w:r>
      <w:r w:rsidR="005E1B85">
        <w:rPr>
          <w:bCs/>
        </w:rPr>
        <w:t>, which has created a significant mismatch between the availability of remdesivir courses and the infected eligible population.</w:t>
      </w:r>
    </w:p>
    <w:p w14:paraId="4ECE3175" w14:textId="574C2334" w:rsidR="007F055F" w:rsidRDefault="007F055F" w:rsidP="00071734">
      <w:pPr>
        <w:rPr>
          <w:bCs/>
        </w:rPr>
      </w:pPr>
    </w:p>
    <w:p w14:paraId="036AF879" w14:textId="284BB5B4" w:rsidR="007F055F" w:rsidRDefault="4ED37CFF" w:rsidP="00071734">
      <w:r>
        <w:t xml:space="preserve">The Therapeutics Technical Advisory Group </w:t>
      </w:r>
      <w:r w:rsidR="00DC0C8F">
        <w:t xml:space="preserve">(TAG) </w:t>
      </w:r>
      <w:r>
        <w:t xml:space="preserve">considers that it is reasonable to offer remdesivir to people with early COVID-19 in the community who are at very high risk of </w:t>
      </w:r>
      <w:r w:rsidR="00635D03">
        <w:rPr>
          <w:bCs/>
        </w:rPr>
        <w:t xml:space="preserve">progression to </w:t>
      </w:r>
      <w:r>
        <w:t xml:space="preserve">requiring in-hospital treatment. However, </w:t>
      </w:r>
      <w:r w:rsidR="004806E7">
        <w:t xml:space="preserve">we acknowledge there is </w:t>
      </w:r>
      <w:r>
        <w:t>limited evidence to inform</w:t>
      </w:r>
      <w:r w:rsidR="0036312F">
        <w:t xml:space="preserve"> the</w:t>
      </w:r>
      <w:r>
        <w:t xml:space="preserve"> efficacy of remdesivir in the </w:t>
      </w:r>
      <w:r w:rsidR="004806E7">
        <w:t xml:space="preserve">current </w:t>
      </w:r>
      <w:r>
        <w:t>phase of the COVID-19 pandemic</w:t>
      </w:r>
      <w:r w:rsidR="004806E7">
        <w:t xml:space="preserve"> and th</w:t>
      </w:r>
      <w:r w:rsidR="0036312F">
        <w:t xml:space="preserve">at the </w:t>
      </w:r>
      <w:r>
        <w:t>significant resource constraints</w:t>
      </w:r>
      <w:r w:rsidR="0036312F">
        <w:t xml:space="preserve"> faced by most of the New Zealand health system presently will</w:t>
      </w:r>
      <w:r>
        <w:t xml:space="preserve"> </w:t>
      </w:r>
      <w:r w:rsidR="0036312F">
        <w:t>limit</w:t>
      </w:r>
      <w:r w:rsidR="004806E7">
        <w:t xml:space="preserve"> the capacity to deliver intravenous remdesivir </w:t>
      </w:r>
      <w:r w:rsidR="0036312F">
        <w:t>to outpatients.</w:t>
      </w:r>
      <w:r w:rsidR="00AF3E00">
        <w:t xml:space="preserve"> </w:t>
      </w:r>
    </w:p>
    <w:p w14:paraId="08F30756" w14:textId="77777777" w:rsidR="005E1B85" w:rsidRDefault="005E1B85" w:rsidP="00071734">
      <w:pPr>
        <w:rPr>
          <w:bCs/>
        </w:rPr>
      </w:pPr>
    </w:p>
    <w:p w14:paraId="5F4BB1BC" w14:textId="186E739A" w:rsidR="00670F8E" w:rsidRPr="007F055F" w:rsidRDefault="00257FEE" w:rsidP="00071734">
      <w:pPr>
        <w:rPr>
          <w:bCs/>
        </w:rPr>
      </w:pPr>
      <w:r>
        <w:rPr>
          <w:bCs/>
        </w:rPr>
        <w:t xml:space="preserve">The Therapeutic TAG have </w:t>
      </w:r>
      <w:r w:rsidR="002306F4">
        <w:rPr>
          <w:bCs/>
        </w:rPr>
        <w:t xml:space="preserve">already </w:t>
      </w:r>
      <w:r>
        <w:rPr>
          <w:bCs/>
        </w:rPr>
        <w:t>provided guidance on the use of remdesivir in patients ho</w:t>
      </w:r>
      <w:r w:rsidR="00AA01B6">
        <w:rPr>
          <w:bCs/>
        </w:rPr>
        <w:t>sp</w:t>
      </w:r>
      <w:r>
        <w:rPr>
          <w:bCs/>
        </w:rPr>
        <w:t>italised with COVID-19</w:t>
      </w:r>
      <w:r w:rsidR="00B95457">
        <w:rPr>
          <w:bCs/>
        </w:rPr>
        <w:t>. That</w:t>
      </w:r>
      <w:r w:rsidR="002306F4">
        <w:rPr>
          <w:bCs/>
        </w:rPr>
        <w:t xml:space="preserve"> guidance</w:t>
      </w:r>
      <w:r w:rsidR="000126CC">
        <w:rPr>
          <w:bCs/>
        </w:rPr>
        <w:t xml:space="preserve"> can be found in the latest version of the </w:t>
      </w:r>
      <w:r w:rsidR="00B95457">
        <w:rPr>
          <w:bCs/>
        </w:rPr>
        <w:t xml:space="preserve">guideline: </w:t>
      </w:r>
      <w:hyperlink r:id="rId12" w:history="1">
        <w:r w:rsidR="001137DF" w:rsidRPr="001137DF">
          <w:rPr>
            <w:rStyle w:val="Hyperlink"/>
            <w:bCs/>
          </w:rPr>
          <w:t>Clinical management of COVID-19 in hospitalised adults</w:t>
        </w:r>
      </w:hyperlink>
      <w:r w:rsidR="00B95457">
        <w:rPr>
          <w:rStyle w:val="Hyperlink"/>
          <w:bCs/>
        </w:rPr>
        <w:t>,</w:t>
      </w:r>
      <w:r w:rsidR="001A2371">
        <w:rPr>
          <w:bCs/>
        </w:rPr>
        <w:t xml:space="preserve"> which is updated regularly.</w:t>
      </w:r>
      <w:r w:rsidR="001137DF">
        <w:rPr>
          <w:bCs/>
        </w:rPr>
        <w:t xml:space="preserve"> </w:t>
      </w:r>
    </w:p>
    <w:p w14:paraId="3FD61340" w14:textId="1FE88E0C" w:rsidR="006A359F" w:rsidRDefault="006A359F">
      <w:pPr>
        <w:spacing w:after="160" w:line="259" w:lineRule="auto"/>
        <w:rPr>
          <w:rFonts w:ascii="Tahoma" w:eastAsia="Times New Roman" w:hAnsi="Tahoma" w:cs="Arial"/>
          <w:b/>
          <w:color w:val="1F3864" w:themeColor="accent1" w:themeShade="80"/>
          <w:szCs w:val="20"/>
          <w:lang w:val="en-US" w:eastAsia="en-GB"/>
        </w:rPr>
      </w:pPr>
      <w:bookmarkStart w:id="0" w:name="recommendations"/>
    </w:p>
    <w:p w14:paraId="7A134A87" w14:textId="77777777" w:rsidR="006844D7" w:rsidRDefault="006844D7">
      <w:pPr>
        <w:spacing w:after="160" w:line="259" w:lineRule="auto"/>
        <w:rPr>
          <w:rFonts w:ascii="Tahoma" w:eastAsia="Times New Roman" w:hAnsi="Tahoma" w:cs="Arial"/>
          <w:b/>
          <w:color w:val="1F3864" w:themeColor="accent1" w:themeShade="80"/>
          <w:szCs w:val="20"/>
          <w:lang w:val="en-US" w:eastAsia="en-GB"/>
        </w:rPr>
      </w:pPr>
      <w:r>
        <w:br w:type="page"/>
      </w:r>
    </w:p>
    <w:p w14:paraId="75EE6856" w14:textId="01461EAC" w:rsidR="00071734" w:rsidRPr="00926BF6" w:rsidRDefault="00071734" w:rsidP="00071734">
      <w:pPr>
        <w:pStyle w:val="Heading4"/>
      </w:pPr>
      <w:r w:rsidRPr="00926BF6">
        <w:lastRenderedPageBreak/>
        <w:t xml:space="preserve">Therapeutic Technical Advisory Group </w:t>
      </w:r>
      <w:r w:rsidR="00D223AC">
        <w:t xml:space="preserve">temporary </w:t>
      </w:r>
      <w:r w:rsidRPr="00926BF6">
        <w:t>recommendations</w:t>
      </w:r>
    </w:p>
    <w:bookmarkEnd w:id="0"/>
    <w:p w14:paraId="5625B2C9" w14:textId="5492ADBD" w:rsidR="00071734" w:rsidRPr="00926BF6" w:rsidRDefault="00C31E11" w:rsidP="00071734">
      <w:pPr>
        <w:spacing w:before="120" w:line="288" w:lineRule="auto"/>
        <w:contextualSpacing/>
        <w:rPr>
          <w:rFonts w:cstheme="minorHAnsi"/>
        </w:rPr>
      </w:pPr>
      <w:r>
        <w:rPr>
          <w:rFonts w:cstheme="minorHAnsi"/>
        </w:rPr>
        <w:t xml:space="preserve">Although the temporary </w:t>
      </w:r>
      <w:hyperlink r:id="rId13" w:history="1">
        <w:r w:rsidRPr="00C31E11">
          <w:rPr>
            <w:rStyle w:val="Hyperlink"/>
            <w:rFonts w:cstheme="minorHAnsi"/>
          </w:rPr>
          <w:t>PHARMAC access criteria</w:t>
        </w:r>
      </w:hyperlink>
      <w:r>
        <w:rPr>
          <w:rFonts w:cstheme="minorHAnsi"/>
        </w:rPr>
        <w:t xml:space="preserve"> describe a broader eligible population, the </w:t>
      </w:r>
      <w:r w:rsidR="00071734" w:rsidRPr="00926BF6">
        <w:rPr>
          <w:rFonts w:cstheme="minorHAnsi"/>
        </w:rPr>
        <w:t xml:space="preserve">COVID-19 Therapeutics </w:t>
      </w:r>
      <w:r w:rsidR="00B724FE">
        <w:rPr>
          <w:rFonts w:cstheme="minorHAnsi"/>
        </w:rPr>
        <w:t>TAG</w:t>
      </w:r>
      <w:r w:rsidR="00071734" w:rsidRPr="00926BF6">
        <w:rPr>
          <w:rFonts w:cstheme="minorHAnsi"/>
        </w:rPr>
        <w:t xml:space="preserve"> recommend </w:t>
      </w:r>
      <w:r w:rsidR="004126C9">
        <w:rPr>
          <w:rFonts w:cstheme="minorHAnsi"/>
        </w:rPr>
        <w:t xml:space="preserve">prioritisation of remdesivir </w:t>
      </w:r>
      <w:r w:rsidR="009A6033" w:rsidRPr="00A8649B">
        <w:rPr>
          <w:rFonts w:cstheme="minorHAnsi"/>
        </w:rPr>
        <w:t>(if available)</w:t>
      </w:r>
      <w:r w:rsidR="009A6033">
        <w:rPr>
          <w:rFonts w:cstheme="minorHAnsi"/>
        </w:rPr>
        <w:t xml:space="preserve"> </w:t>
      </w:r>
      <w:r>
        <w:rPr>
          <w:rFonts w:cstheme="minorHAnsi"/>
        </w:rPr>
        <w:t>to people who fulfil all of the following:</w:t>
      </w:r>
      <w:r w:rsidR="00597B97">
        <w:rPr>
          <w:rFonts w:cstheme="minorHAnsi"/>
        </w:rPr>
        <w:t xml:space="preserve"> </w:t>
      </w:r>
    </w:p>
    <w:p w14:paraId="2400BC8A" w14:textId="2461DCE8" w:rsidR="00071734" w:rsidRPr="00926BF6" w:rsidRDefault="002D21C2" w:rsidP="00504A9A">
      <w:pPr>
        <w:pStyle w:val="ListParagraph"/>
        <w:numPr>
          <w:ilvl w:val="0"/>
          <w:numId w:val="19"/>
        </w:numPr>
        <w:spacing w:before="120" w:line="288" w:lineRule="auto"/>
        <w:rPr>
          <w:rFonts w:cstheme="minorHAnsi"/>
        </w:rPr>
      </w:pPr>
      <w:r>
        <w:rPr>
          <w:rFonts w:cstheme="minorHAnsi"/>
        </w:rPr>
        <w:t>Are w</w:t>
      </w:r>
      <w:r w:rsidR="00071734" w:rsidRPr="00926BF6">
        <w:rPr>
          <w:rFonts w:cstheme="minorHAnsi"/>
        </w:rPr>
        <w:t xml:space="preserve">ithin </w:t>
      </w:r>
      <w:r w:rsidR="004126C9">
        <w:rPr>
          <w:rFonts w:cstheme="minorHAnsi"/>
        </w:rPr>
        <w:t>7</w:t>
      </w:r>
      <w:r w:rsidR="00071734" w:rsidRPr="00926BF6">
        <w:rPr>
          <w:rFonts w:cstheme="minorHAnsi"/>
        </w:rPr>
        <w:t xml:space="preserve"> days of symptom onset of </w:t>
      </w:r>
      <w:r w:rsidR="00670F8E">
        <w:rPr>
          <w:rFonts w:cstheme="minorHAnsi"/>
        </w:rPr>
        <w:t xml:space="preserve">confirmed (or probable*) </w:t>
      </w:r>
      <w:r w:rsidR="00071734" w:rsidRPr="00926BF6">
        <w:rPr>
          <w:rFonts w:cstheme="minorHAnsi"/>
        </w:rPr>
        <w:t xml:space="preserve">COVID-19 illness </w:t>
      </w:r>
    </w:p>
    <w:p w14:paraId="4B4DC297" w14:textId="11696831" w:rsidR="00B763D9" w:rsidRDefault="00B763D9" w:rsidP="00504A9A">
      <w:pPr>
        <w:pStyle w:val="ListParagraph"/>
        <w:numPr>
          <w:ilvl w:val="0"/>
          <w:numId w:val="19"/>
        </w:numPr>
        <w:spacing w:before="120" w:line="288" w:lineRule="auto"/>
        <w:rPr>
          <w:rFonts w:cstheme="minorHAnsi"/>
        </w:rPr>
      </w:pPr>
      <w:r>
        <w:rPr>
          <w:rFonts w:cstheme="minorHAnsi"/>
        </w:rPr>
        <w:t xml:space="preserve">AND </w:t>
      </w:r>
      <w:r w:rsidR="00504A9A">
        <w:rPr>
          <w:rFonts w:cstheme="minorHAnsi"/>
        </w:rPr>
        <w:t>have not developed a sustained requirement for supplemental oxygen since symptom onset</w:t>
      </w:r>
    </w:p>
    <w:p w14:paraId="0C7700FB" w14:textId="1045D6F9" w:rsidR="002D21C2" w:rsidRDefault="002D21C2" w:rsidP="002D21C2">
      <w:pPr>
        <w:pStyle w:val="ListParagraph"/>
        <w:numPr>
          <w:ilvl w:val="0"/>
          <w:numId w:val="19"/>
        </w:numPr>
        <w:spacing w:before="120" w:line="288" w:lineRule="auto"/>
        <w:rPr>
          <w:rFonts w:cstheme="minorHAnsi"/>
        </w:rPr>
      </w:pPr>
      <w:r>
        <w:rPr>
          <w:rFonts w:cstheme="minorHAnsi"/>
        </w:rPr>
        <w:t>AND have persistent symptoms</w:t>
      </w:r>
      <w:r w:rsidR="007846D3">
        <w:rPr>
          <w:rFonts w:cstheme="minorHAnsi"/>
        </w:rPr>
        <w:t>, with no evidence of clear clinical improvement</w:t>
      </w:r>
    </w:p>
    <w:p w14:paraId="012EE723" w14:textId="01BD94F8" w:rsidR="00071734" w:rsidRPr="00926BF6" w:rsidRDefault="00071734" w:rsidP="00504A9A">
      <w:pPr>
        <w:pStyle w:val="ListParagraph"/>
        <w:numPr>
          <w:ilvl w:val="0"/>
          <w:numId w:val="19"/>
        </w:numPr>
        <w:spacing w:before="120" w:line="288" w:lineRule="auto"/>
        <w:rPr>
          <w:rFonts w:cstheme="minorHAnsi"/>
        </w:rPr>
      </w:pPr>
      <w:r w:rsidRPr="00926BF6">
        <w:rPr>
          <w:rFonts w:cstheme="minorHAnsi"/>
        </w:rPr>
        <w:t xml:space="preserve">AND either:  </w:t>
      </w:r>
    </w:p>
    <w:p w14:paraId="3446E57B" w14:textId="438BE185" w:rsidR="007B0906" w:rsidRDefault="57DA3E62" w:rsidP="57DA3E62">
      <w:pPr>
        <w:pStyle w:val="ListParagraph"/>
        <w:numPr>
          <w:ilvl w:val="1"/>
          <w:numId w:val="19"/>
        </w:numPr>
        <w:spacing w:before="120" w:line="288" w:lineRule="auto"/>
      </w:pPr>
      <w:r w:rsidRPr="57DA3E62">
        <w:t xml:space="preserve">Have </w:t>
      </w:r>
      <w:r w:rsidRPr="57DA3E62">
        <w:rPr>
          <w:b/>
          <w:bCs/>
        </w:rPr>
        <w:t>not completed an effective course of vaccination</w:t>
      </w:r>
      <w:r w:rsidRPr="57DA3E62">
        <w:t>*</w:t>
      </w:r>
      <w:r w:rsidR="007B0906">
        <w:t xml:space="preserve"> AND:</w:t>
      </w:r>
    </w:p>
    <w:p w14:paraId="6B8AFBE5" w14:textId="0200F899" w:rsidR="007B0906" w:rsidRPr="007B0906" w:rsidRDefault="007B0906" w:rsidP="007B0906">
      <w:pPr>
        <w:pStyle w:val="ListParagraph"/>
        <w:numPr>
          <w:ilvl w:val="2"/>
          <w:numId w:val="19"/>
        </w:numPr>
        <w:spacing w:before="120" w:line="288" w:lineRule="auto"/>
        <w:rPr>
          <w:rFonts w:cstheme="minorHAnsi"/>
        </w:rPr>
      </w:pPr>
      <w:r>
        <w:rPr>
          <w:rFonts w:cstheme="minorHAnsi"/>
        </w:rPr>
        <w:t>Are o</w:t>
      </w:r>
      <w:r w:rsidRPr="00C07785">
        <w:rPr>
          <w:rFonts w:cstheme="minorHAnsi"/>
        </w:rPr>
        <w:t>ver 60 years old if M</w:t>
      </w:r>
      <w:r w:rsidRPr="00C07785">
        <w:rPr>
          <w:rFonts w:eastAsia="Times New Roman" w:cstheme="minorHAnsi"/>
          <w:lang w:eastAsia="en-GB"/>
        </w:rPr>
        <w:t>ā</w:t>
      </w:r>
      <w:r w:rsidRPr="00C07785">
        <w:rPr>
          <w:rFonts w:cstheme="minorHAnsi"/>
        </w:rPr>
        <w:t>ori or Pasifika</w:t>
      </w:r>
      <w:r>
        <w:rPr>
          <w:rFonts w:cstheme="minorHAnsi"/>
        </w:rPr>
        <w:t xml:space="preserve"> </w:t>
      </w:r>
      <w:r w:rsidRPr="007B0906">
        <w:rPr>
          <w:rFonts w:cstheme="minorHAnsi"/>
        </w:rPr>
        <w:t xml:space="preserve">OR over 70 years old if </w:t>
      </w:r>
      <w:proofErr w:type="gramStart"/>
      <w:r w:rsidRPr="007B0906">
        <w:rPr>
          <w:rFonts w:cstheme="minorHAnsi"/>
        </w:rPr>
        <w:t>other</w:t>
      </w:r>
      <w:proofErr w:type="gramEnd"/>
      <w:r w:rsidRPr="007B0906">
        <w:rPr>
          <w:rFonts w:cstheme="minorHAnsi"/>
        </w:rPr>
        <w:t xml:space="preserve"> ethnicity</w:t>
      </w:r>
    </w:p>
    <w:p w14:paraId="1EBACA52" w14:textId="46CB6CDE" w:rsidR="00AB555F" w:rsidRDefault="007B0906" w:rsidP="007B0906">
      <w:pPr>
        <w:pStyle w:val="ListParagraph"/>
        <w:numPr>
          <w:ilvl w:val="2"/>
          <w:numId w:val="19"/>
        </w:numPr>
        <w:spacing w:before="120" w:line="288" w:lineRule="auto"/>
      </w:pPr>
      <w:proofErr w:type="gramStart"/>
      <w:r>
        <w:t xml:space="preserve">AND </w:t>
      </w:r>
      <w:r w:rsidR="57DA3E62" w:rsidRPr="57DA3E62">
        <w:t xml:space="preserve"> have</w:t>
      </w:r>
      <w:proofErr w:type="gramEnd"/>
      <w:r w:rsidR="57DA3E62" w:rsidRPr="57DA3E62">
        <w:t xml:space="preserve"> </w:t>
      </w:r>
      <w:r>
        <w:t xml:space="preserve">at least </w:t>
      </w:r>
      <w:r w:rsidR="57DA3E62" w:rsidRPr="57DA3E62">
        <w:t>two</w:t>
      </w:r>
      <w:r>
        <w:t xml:space="preserve"> other</w:t>
      </w:r>
      <w:r w:rsidR="57DA3E62" w:rsidRPr="57DA3E62">
        <w:t xml:space="preserve"> </w:t>
      </w:r>
      <w:hyperlink r:id="rId14">
        <w:r w:rsidR="57DA3E62" w:rsidRPr="57DA3E62">
          <w:rPr>
            <w:rStyle w:val="Hyperlink"/>
          </w:rPr>
          <w:t>risk factors</w:t>
        </w:r>
      </w:hyperlink>
      <w:r w:rsidR="57DA3E62" w:rsidRPr="57DA3E62">
        <w:t xml:space="preserve"> for severe COVID-19</w:t>
      </w:r>
      <w:r>
        <w:t xml:space="preserve"> </w:t>
      </w:r>
    </w:p>
    <w:p w14:paraId="4B39263A" w14:textId="49242C4E" w:rsidR="007B0906" w:rsidRDefault="00C01996" w:rsidP="007B0906">
      <w:pPr>
        <w:pStyle w:val="ListParagraph"/>
        <w:numPr>
          <w:ilvl w:val="3"/>
          <w:numId w:val="19"/>
        </w:numPr>
        <w:spacing w:before="120" w:line="288" w:lineRule="auto"/>
        <w:rPr>
          <w:i/>
          <w:iCs/>
          <w:sz w:val="20"/>
          <w:szCs w:val="20"/>
        </w:rPr>
      </w:pPr>
      <w:r w:rsidRPr="00C01996">
        <w:rPr>
          <w:i/>
          <w:iCs/>
          <w:sz w:val="20"/>
          <w:szCs w:val="20"/>
        </w:rPr>
        <w:t xml:space="preserve">Other </w:t>
      </w:r>
      <w:hyperlink r:id="rId15">
        <w:r w:rsidRPr="00C01996">
          <w:rPr>
            <w:rStyle w:val="Hyperlink"/>
            <w:i/>
            <w:iCs/>
            <w:sz w:val="20"/>
            <w:szCs w:val="20"/>
          </w:rPr>
          <w:t>risk factors</w:t>
        </w:r>
      </w:hyperlink>
      <w:r w:rsidRPr="00C01996">
        <w:rPr>
          <w:i/>
          <w:iCs/>
          <w:sz w:val="20"/>
          <w:szCs w:val="20"/>
        </w:rPr>
        <w:t xml:space="preserve"> </w:t>
      </w:r>
      <w:r w:rsidR="007B0906" w:rsidRPr="00C01996">
        <w:rPr>
          <w:i/>
          <w:iCs/>
          <w:sz w:val="20"/>
          <w:szCs w:val="20"/>
        </w:rPr>
        <w:t xml:space="preserve">include </w:t>
      </w:r>
      <w:r w:rsidRPr="00C01996">
        <w:rPr>
          <w:i/>
          <w:iCs/>
          <w:sz w:val="20"/>
          <w:szCs w:val="20"/>
        </w:rPr>
        <w:t xml:space="preserve">chronic kidney disease, significant cardiac disease, chronic lung disease, active cancer, obesity, uncontrolled hypertension, uncontrolled diabetes, chronic liver disease, or immunocompromise. </w:t>
      </w:r>
    </w:p>
    <w:p w14:paraId="0BC4995C" w14:textId="77777777" w:rsidR="00C01996" w:rsidRPr="00C01996" w:rsidRDefault="00C01996" w:rsidP="00CF2EC8">
      <w:pPr>
        <w:pStyle w:val="ListParagraph"/>
        <w:spacing w:before="120" w:line="288" w:lineRule="auto"/>
        <w:ind w:left="2880"/>
        <w:rPr>
          <w:i/>
          <w:iCs/>
          <w:sz w:val="20"/>
          <w:szCs w:val="20"/>
        </w:rPr>
      </w:pPr>
    </w:p>
    <w:p w14:paraId="7F65D9BE" w14:textId="5A778638" w:rsidR="00071734" w:rsidRDefault="00AB555F" w:rsidP="00504A9A">
      <w:pPr>
        <w:pStyle w:val="ListParagraph"/>
        <w:numPr>
          <w:ilvl w:val="1"/>
          <w:numId w:val="19"/>
        </w:numPr>
        <w:spacing w:before="120" w:line="288" w:lineRule="auto"/>
        <w:rPr>
          <w:rFonts w:cstheme="minorHAnsi"/>
        </w:rPr>
      </w:pPr>
      <w:r>
        <w:rPr>
          <w:rFonts w:cstheme="minorHAnsi"/>
        </w:rPr>
        <w:t xml:space="preserve">OR are </w:t>
      </w:r>
      <w:r w:rsidR="00190D62">
        <w:rPr>
          <w:rFonts w:cstheme="minorHAnsi"/>
          <w:b/>
          <w:bCs/>
        </w:rPr>
        <w:t>s</w:t>
      </w:r>
      <w:r w:rsidR="00504A9A" w:rsidRPr="006029CA">
        <w:rPr>
          <w:rFonts w:cstheme="minorHAnsi"/>
          <w:b/>
          <w:bCs/>
        </w:rPr>
        <w:t>everely immunocompromised</w:t>
      </w:r>
      <w:r w:rsidR="00190D62">
        <w:rPr>
          <w:rFonts w:cstheme="minorHAnsi"/>
          <w:b/>
          <w:bCs/>
          <w:vertAlign w:val="superscript"/>
        </w:rPr>
        <w:t>&amp;</w:t>
      </w:r>
      <w:r w:rsidR="00504A9A" w:rsidRPr="006029CA">
        <w:rPr>
          <w:rFonts w:cstheme="minorHAnsi"/>
        </w:rPr>
        <w:t>,</w:t>
      </w:r>
      <w:r w:rsidR="00504A9A">
        <w:rPr>
          <w:rFonts w:cstheme="minorHAnsi"/>
        </w:rPr>
        <w:t xml:space="preserve"> </w:t>
      </w:r>
      <w:r w:rsidR="00D4561C">
        <w:rPr>
          <w:rFonts w:cstheme="minorHAnsi"/>
        </w:rPr>
        <w:t xml:space="preserve">regardless of vaccine </w:t>
      </w:r>
      <w:r w:rsidR="00271746">
        <w:rPr>
          <w:rFonts w:cstheme="minorHAnsi"/>
        </w:rPr>
        <w:t>status</w:t>
      </w:r>
      <w:r w:rsidR="00504A9A">
        <w:rPr>
          <w:rFonts w:cstheme="minorHAnsi"/>
        </w:rPr>
        <w:t xml:space="preserve"> that</w:t>
      </w:r>
      <w:r w:rsidR="002D21C2">
        <w:rPr>
          <w:rFonts w:cstheme="minorHAnsi"/>
        </w:rPr>
        <w:t xml:space="preserve"> </w:t>
      </w:r>
      <w:r w:rsidR="00504A9A">
        <w:rPr>
          <w:rFonts w:cstheme="minorHAnsi"/>
        </w:rPr>
        <w:t xml:space="preserve">are not </w:t>
      </w:r>
      <w:r w:rsidR="002D21C2">
        <w:rPr>
          <w:rFonts w:cstheme="minorHAnsi"/>
        </w:rPr>
        <w:t>anticipated</w:t>
      </w:r>
      <w:r w:rsidR="00504A9A">
        <w:rPr>
          <w:rFonts w:cstheme="minorHAnsi"/>
        </w:rPr>
        <w:t xml:space="preserve"> to mount an adequate immune response to SARS-CoV-2 infection</w:t>
      </w:r>
    </w:p>
    <w:p w14:paraId="3FB4624C" w14:textId="1FB196FF" w:rsidR="00C07785" w:rsidRPr="006A359F" w:rsidRDefault="00C07785" w:rsidP="006A359F">
      <w:pPr>
        <w:spacing w:before="120" w:line="288" w:lineRule="auto"/>
        <w:ind w:firstLine="720"/>
        <w:rPr>
          <w:rFonts w:cstheme="minorHAnsi"/>
          <w:sz w:val="16"/>
          <w:szCs w:val="16"/>
        </w:rPr>
      </w:pPr>
    </w:p>
    <w:p w14:paraId="7AFA74B2" w14:textId="14674242" w:rsidR="00D4561C" w:rsidRPr="002636DC" w:rsidRDefault="00D4561C" w:rsidP="00AB555F">
      <w:pPr>
        <w:spacing w:before="120" w:line="288" w:lineRule="auto"/>
        <w:rPr>
          <w:rFonts w:cstheme="minorHAnsi"/>
          <w:b/>
          <w:bCs/>
        </w:rPr>
      </w:pPr>
      <w:r w:rsidRPr="002636DC">
        <w:rPr>
          <w:rFonts w:cstheme="minorHAnsi"/>
          <w:b/>
          <w:bCs/>
        </w:rPr>
        <w:t>Additional recommendations:</w:t>
      </w:r>
    </w:p>
    <w:p w14:paraId="04DAC2E3" w14:textId="77777777" w:rsidR="00AF3E00" w:rsidRPr="002636DC" w:rsidRDefault="00AF3E00" w:rsidP="00AF3E00">
      <w:pPr>
        <w:pStyle w:val="ListParagraph"/>
        <w:numPr>
          <w:ilvl w:val="0"/>
          <w:numId w:val="22"/>
        </w:numPr>
        <w:spacing w:before="120" w:line="288" w:lineRule="auto"/>
      </w:pPr>
      <w:r w:rsidRPr="57DA3E62">
        <w:t>Within the above groups, Māori or Pasifika, and those with higher clinical risk (</w:t>
      </w:r>
      <w:proofErr w:type="gramStart"/>
      <w:r w:rsidRPr="57DA3E62">
        <w:t>e.g.</w:t>
      </w:r>
      <w:proofErr w:type="gramEnd"/>
      <w:r w:rsidRPr="57DA3E62">
        <w:t xml:space="preserve"> older age, more risk factors) should be prioritised above other otherwise similarly eligible patients.</w:t>
      </w:r>
    </w:p>
    <w:p w14:paraId="0E3BEC94" w14:textId="31ED47FF" w:rsidR="00AF3E00" w:rsidRDefault="00AF3E00" w:rsidP="00AF3E00">
      <w:pPr>
        <w:pStyle w:val="ListParagraph"/>
        <w:numPr>
          <w:ilvl w:val="0"/>
          <w:numId w:val="22"/>
        </w:numPr>
        <w:spacing w:before="120" w:line="288" w:lineRule="auto"/>
      </w:pPr>
      <w:r>
        <w:t>We acknowledge that some younger, very multimorbid individuals</w:t>
      </w:r>
      <w:r w:rsidR="001C232F">
        <w:t xml:space="preserve">, or those with uncommon, very </w:t>
      </w:r>
      <w:proofErr w:type="gramStart"/>
      <w:r w:rsidR="001C232F">
        <w:t>high risk</w:t>
      </w:r>
      <w:proofErr w:type="gramEnd"/>
      <w:r w:rsidR="001C232F">
        <w:t xml:space="preserve"> conditions (e.g. Down syndrome) may </w:t>
      </w:r>
      <w:r>
        <w:t>have a similar risk of COVID-19 associated hospitalisation</w:t>
      </w:r>
      <w:r w:rsidR="001C232F">
        <w:t xml:space="preserve"> to</w:t>
      </w:r>
      <w:r>
        <w:t xml:space="preserve"> the suggested priority groups above, and could be considered for remdesivir treatment on a case by case basis</w:t>
      </w:r>
      <w:r w:rsidR="001C232F">
        <w:t xml:space="preserve"> after discussion with a local expert COVID-19 clinician (e.g. Infectious Diseases).</w:t>
      </w:r>
    </w:p>
    <w:p w14:paraId="3F9C8FF1" w14:textId="110CB693" w:rsidR="00D4561C" w:rsidRPr="00D4561C" w:rsidRDefault="57DA3E62" w:rsidP="57DA3E62">
      <w:pPr>
        <w:pStyle w:val="ListParagraph"/>
        <w:numPr>
          <w:ilvl w:val="0"/>
          <w:numId w:val="22"/>
        </w:numPr>
        <w:spacing w:before="120" w:line="288" w:lineRule="auto"/>
      </w:pPr>
      <w:r w:rsidRPr="57DA3E62">
        <w:t xml:space="preserve">We recommend that remdesivir treatment </w:t>
      </w:r>
      <w:r w:rsidRPr="57DA3E62">
        <w:rPr>
          <w:b/>
          <w:bCs/>
        </w:rPr>
        <w:t>should not exceed three doses</w:t>
      </w:r>
      <w:r w:rsidRPr="57DA3E62">
        <w:t>, consistent with the treatment protocol used in the PINETREE trial.</w:t>
      </w:r>
      <w:r w:rsidR="00D4561C" w:rsidRPr="57DA3E62">
        <w:rPr>
          <w:rFonts w:ascii="Calibri" w:hAnsi="Calibri" w:cs="Calibri"/>
          <w:color w:val="auto"/>
          <w:lang w:val="en-GB"/>
        </w:rPr>
        <w:fldChar w:fldCharType="begin"/>
      </w:r>
      <w:r w:rsidR="00D4561C" w:rsidRPr="57DA3E62">
        <w:rPr>
          <w:rFonts w:ascii="Calibri" w:hAnsi="Calibri" w:cs="Calibri"/>
          <w:color w:val="auto"/>
          <w:lang w:val="en-GB"/>
        </w:rPr>
        <w:instrText xml:space="preserve"> ADDIN PAPERS2_CITATIONS &lt;citation&gt;&lt;priority&gt;0&lt;/priority&gt;&lt;uuid&gt;87F977E3-7355-40D2-B7E3-951756456D8B&lt;/uuid&gt;&lt;publications&gt;&lt;publication&gt;&lt;subtype&gt;400&lt;/subtype&gt;&lt;publisher&gt;Massachusetts Medical Society&lt;/publisher&gt;&lt;title&gt;Early Remdesivir to Prevent Progression to Severe Covid-19 in Outpatients.&lt;/title&gt;&lt;url&gt;https://www.nejm.org/doi/10.1056/NEJMoa2116846&lt;/url&gt;&lt;publication_date&gt;99202112221200000000222000&lt;/publication_date&gt;&lt;uuid&gt;0F915BAD-6BDE-436C-9725-C68C49BEE3B3&lt;/uuid&gt;&lt;type&gt;400&lt;/type&gt;&lt;doi&gt;10.1056/NEJMoa2116846&lt;/doi&gt;&lt;institution&gt;From Baylor University Medical Center and Baylor Scott and White Research Institute, Dallas (R.L.G.), and Care United Research, Forney (S.M.) - all in Texas; the Nuren Medical and Research Center, Miami (C.E.V.), Evolution Clinical Trials, Hialeah Gardens (G.P.), the Midland Florida Clinical Research Center, DeLand (G.O.), Luminous Clinical Research-South Florida Urgent Care, Pembroke Pines (A.H.), and Triple O Research Institute Professional Association, West Palm Beach (O.O.) - all in Florida; Hospital Universitari Germans Trias i Pujol and IrsiCaixa AIDS Research Institute, Barcelona (R.P.), and Hospital Universitario Infanta Leonor and Gregorio Marañón Health Research Institute, Madrid (P.R.) - all in Spain; the Cherokee Nation Outpatient Health Center, Tahlequah, OK (J.M.); Intermountain Healthcare (B.J.W., S.M.B.) and the University of Utah School of Medicine (S.M.B.) - both in Murray; Copenhagen University Hospital-Rigshospitalet, Copenhagen (B.U.N.); University College London Hospitals NHS Foundation Trust and the London School of Hygiene and Tropical Medicine - both in London (M.B.); the Institute of Liver Health, Mesa, AZ (Y.S.); Kaiser Permanente, Oakland (J.S.), and Gilead Sciences, Foster City (K.J., R.H.H., A.O., S.C., G.C., M.A., S.D., N.B.-R., F.D.) - both in California; Brigham and Women's Hospital and Harvard Medical School - both in Boston (F.M.M.); Johns Hopkins University School of Medicine, Baltimore (M.J.K.); the University of Colorado School of Medicine, Aurora (A.A.G.); and the Fred Hutchinson Cancer Research Center and the University of Washington School of Medicine - both in Seattle (J.T.S., J.A.H.).&lt;/institution&gt;&lt;bundle&gt;&lt;publication&gt;&lt;title&gt;The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Gottlieb&lt;/lastName&gt;&lt;firstName&gt;Robert&lt;/firstName&gt;&lt;middleNames&gt;L&lt;/middleNames&gt;&lt;/author&gt;&lt;author&gt;&lt;lastName&gt;Vaca&lt;/lastName&gt;&lt;firstName&gt;Carlos&lt;/firstName&gt;&lt;middleNames&gt;E&lt;/middleNames&gt;&lt;/author&gt;&lt;author&gt;&lt;lastName&gt;Paredes&lt;/lastName&gt;&lt;firstName&gt;Roger&lt;/firstName&gt;&lt;/author&gt;&lt;author&gt;&lt;lastName&gt;Mera&lt;/lastName&gt;&lt;firstName&gt;Jorge&lt;/firstName&gt;&lt;/author&gt;&lt;author&gt;&lt;lastName&gt;Webb&lt;/lastName&gt;&lt;firstName&gt;Brandon&lt;/firstName&gt;&lt;middleNames&gt;J&lt;/middleNames&gt;&lt;/author&gt;&lt;author&gt;&lt;lastName&gt;Perez&lt;/lastName&gt;&lt;firstName&gt;Gilberto&lt;/firstName&gt;&lt;/author&gt;&lt;author&gt;&lt;lastName&gt;Oguchi&lt;/lastName&gt;&lt;firstName&gt;Godson&lt;/firstName&gt;&lt;/author&gt;&lt;author&gt;&lt;lastName&gt;Ryan&lt;/lastName&gt;&lt;firstName&gt;Pablo&lt;/firstName&gt;&lt;/author&gt;&lt;author&gt;&lt;lastName&gt;Nielsen&lt;/lastName&gt;&lt;firstName&gt;Bibi&lt;/firstName&gt;&lt;middleNames&gt;U&lt;/middleNames&gt;&lt;/author&gt;&lt;author&gt;&lt;lastName&gt;Brown&lt;/lastName&gt;&lt;firstName&gt;Michael&lt;/firstName&gt;&lt;/author&gt;&lt;author&gt;&lt;lastName&gt;Hidalgo&lt;/lastName&gt;&lt;firstName&gt;Ausberto&lt;/firstName&gt;&lt;/author&gt;&lt;author&gt;&lt;lastName&gt;Sachdeva&lt;/lastName&gt;&lt;firstName&gt;Yessica&lt;/firstName&gt;&lt;/author&gt;&lt;author&gt;&lt;lastName&gt;Mittal&lt;/lastName&gt;&lt;firstName&gt;Shilpi&lt;/firstName&gt;&lt;/author&gt;&lt;author&gt;&lt;lastName&gt;Osiyemi&lt;/lastName&gt;&lt;firstName&gt;Olayemi&lt;/firstName&gt;&lt;/author&gt;&lt;author&gt;&lt;lastName&gt;Skarbinski&lt;/lastName&gt;&lt;firstName&gt;Jacek&lt;/firstName&gt;&lt;/author&gt;&lt;author&gt;&lt;lastName&gt;Juneja&lt;/lastName&gt;&lt;firstName&gt;Kavita&lt;/firstName&gt;&lt;/author&gt;&lt;author&gt;&lt;lastName&gt;Hyland&lt;/lastName&gt;&lt;firstName&gt;Robert&lt;/firstName&gt;&lt;middleNames&gt;H&lt;/middleNames&gt;&lt;/author&gt;&lt;author&gt;&lt;lastName&gt;Osinusi&lt;/lastName&gt;&lt;firstName&gt;Anu&lt;/firstName&gt;&lt;/author&gt;&lt;author&gt;&lt;lastName&gt;Chen&lt;/lastName&gt;&lt;firstName&gt;Shuguang&lt;/firstName&gt;&lt;/author&gt;&lt;author&gt;&lt;lastName&gt;Camus&lt;/lastName&gt;&lt;firstName&gt;Gregory&lt;/firstName&gt;&lt;/author&gt;&lt;author&gt;&lt;lastName&gt;Abdelghany&lt;/lastName&gt;&lt;firstName&gt;Mazin&lt;/firstName&gt;&lt;/author&gt;&lt;author&gt;&lt;lastName&gt;Davies&lt;/lastName&gt;&lt;firstName&gt;Santosh&lt;/firstName&gt;&lt;/author&gt;&lt;author&gt;&lt;lastName&gt;Behenna-Renton&lt;/lastName&gt;&lt;firstName&gt;Nicole&lt;/firstName&gt;&lt;/author&gt;&lt;author&gt;&lt;lastName&gt;Duff&lt;/lastName&gt;&lt;firstName&gt;Frank&lt;/firstName&gt;&lt;/author&gt;&lt;author&gt;&lt;lastName&gt;Marty&lt;/lastName&gt;&lt;firstName&gt;Francisco&lt;/firstName&gt;&lt;middleNames&gt;M&lt;/middleNames&gt;&lt;/author&gt;&lt;author&gt;&lt;lastName&gt;Katz&lt;/lastName&gt;&lt;firstName&gt;Morgan&lt;/firstName&gt;&lt;middleNames&gt;J&lt;/middleNames&gt;&lt;/author&gt;&lt;author&gt;&lt;lastName&gt;Ginde&lt;/lastName&gt;&lt;firstName&gt;Adit&lt;/firstName&gt;&lt;middleNames&gt;A&lt;/middleNames&gt;&lt;/author&gt;&lt;author&gt;&lt;lastName&gt;Brown&lt;/lastName&gt;&lt;firstName&gt;Samuel&lt;/firstName&gt;&lt;middleNames&gt;M&lt;/middleNames&gt;&lt;/author&gt;&lt;author&gt;&lt;lastName&gt;Schiffer&lt;/lastName&gt;&lt;firstName&gt;Joshua&lt;/firstName&gt;&lt;middleNames&gt;T&lt;/middleNames&gt;&lt;/author&gt;&lt;author&gt;&lt;lastName&gt;Hill&lt;/lastName&gt;&lt;firstName&gt;Joshua&lt;/firstName&gt;&lt;middleNames&gt;A&lt;/middleNames&gt;&lt;/author&gt;&lt;author&gt;&lt;lastName&gt;GS-US-540-9012 (PINETREE) Investigators&lt;/lastName&gt;&lt;/author&gt;&lt;/authors&gt;&lt;/publication&gt;&lt;/publications&gt;&lt;cites&gt;&lt;/cites&gt;&lt;/citation&gt;</w:instrText>
      </w:r>
      <w:r w:rsidR="00D4561C" w:rsidRPr="57DA3E62">
        <w:rPr>
          <w:rFonts w:ascii="Calibri" w:hAnsi="Calibri" w:cs="Calibri"/>
          <w:color w:val="auto"/>
          <w:lang w:val="en-GB"/>
        </w:rPr>
        <w:fldChar w:fldCharType="separate"/>
      </w:r>
      <w:r w:rsidRPr="57DA3E62">
        <w:rPr>
          <w:rFonts w:ascii="Calibri" w:hAnsi="Calibri" w:cs="Calibri"/>
          <w:color w:val="auto"/>
          <w:vertAlign w:val="superscript"/>
          <w:lang w:val="en-GB"/>
        </w:rPr>
        <w:t>1</w:t>
      </w:r>
      <w:r w:rsidR="00D4561C" w:rsidRPr="57DA3E62">
        <w:rPr>
          <w:rFonts w:ascii="Calibri" w:hAnsi="Calibri" w:cs="Calibri"/>
          <w:color w:val="auto"/>
          <w:lang w:val="en-GB"/>
        </w:rPr>
        <w:fldChar w:fldCharType="end"/>
      </w:r>
    </w:p>
    <w:p w14:paraId="269113FB" w14:textId="46406DFA" w:rsidR="006A359F" w:rsidRPr="00D4561C" w:rsidRDefault="57DA3E62" w:rsidP="57DA3E62">
      <w:pPr>
        <w:pStyle w:val="ListParagraph"/>
        <w:numPr>
          <w:ilvl w:val="0"/>
          <w:numId w:val="22"/>
        </w:numPr>
        <w:spacing w:before="120" w:line="288" w:lineRule="auto"/>
      </w:pPr>
      <w:r w:rsidRPr="57DA3E62">
        <w:t xml:space="preserve">We recommend against hospital admission for the sole reason of facilitating </w:t>
      </w:r>
      <w:proofErr w:type="spellStart"/>
      <w:r w:rsidRPr="57DA3E62">
        <w:t>remdesivir</w:t>
      </w:r>
      <w:proofErr w:type="spellEnd"/>
      <w:r w:rsidRPr="57DA3E62">
        <w:t xml:space="preserve"> treatment</w:t>
      </w:r>
      <w:r w:rsidR="00320CA2">
        <w:t>.</w:t>
      </w:r>
    </w:p>
    <w:p w14:paraId="146E8E98" w14:textId="77777777" w:rsidR="002636DC" w:rsidRPr="006A359F" w:rsidRDefault="002636DC" w:rsidP="006A359F">
      <w:pPr>
        <w:ind w:firstLine="720"/>
        <w:rPr>
          <w:rFonts w:cstheme="minorHAnsi"/>
          <w:sz w:val="16"/>
          <w:szCs w:val="16"/>
        </w:rPr>
      </w:pPr>
    </w:p>
    <w:p w14:paraId="5229A3D6" w14:textId="7061121E" w:rsidR="00190D62" w:rsidRPr="001D51D7" w:rsidRDefault="002636DC" w:rsidP="00190D62">
      <w:pPr>
        <w:rPr>
          <w:bCs/>
          <w:sz w:val="20"/>
          <w:szCs w:val="20"/>
        </w:rPr>
      </w:pPr>
      <w:r>
        <w:rPr>
          <w:rFonts w:cstheme="minorHAnsi"/>
        </w:rPr>
        <w:t>*</w:t>
      </w:r>
      <w:r w:rsidR="00190D62" w:rsidRPr="001D51D7">
        <w:rPr>
          <w:b/>
          <w:sz w:val="20"/>
          <w:szCs w:val="20"/>
        </w:rPr>
        <w:t xml:space="preserve"> </w:t>
      </w:r>
      <w:r w:rsidR="00190D62" w:rsidRPr="002636DC">
        <w:rPr>
          <w:b/>
          <w:sz w:val="20"/>
          <w:szCs w:val="20"/>
        </w:rPr>
        <w:t xml:space="preserve">Incomplete vaccination course </w:t>
      </w:r>
      <w:r w:rsidR="00190D62" w:rsidRPr="002636DC">
        <w:rPr>
          <w:bCs/>
          <w:sz w:val="20"/>
          <w:szCs w:val="20"/>
        </w:rPr>
        <w:t xml:space="preserve">is considered by the </w:t>
      </w:r>
      <w:r w:rsidR="001D51D7" w:rsidRPr="002636DC">
        <w:rPr>
          <w:bCs/>
          <w:sz w:val="20"/>
          <w:szCs w:val="20"/>
        </w:rPr>
        <w:t>COVID-19 Therapeutics TAG</w:t>
      </w:r>
      <w:r w:rsidR="00190D62" w:rsidRPr="001D51D7">
        <w:rPr>
          <w:bCs/>
          <w:sz w:val="20"/>
          <w:szCs w:val="20"/>
        </w:rPr>
        <w:t xml:space="preserve"> to be:</w:t>
      </w:r>
    </w:p>
    <w:p w14:paraId="227F182B" w14:textId="6381D4A0" w:rsidR="00190D62" w:rsidRPr="001D51D7" w:rsidRDefault="00190D62" w:rsidP="00190D62">
      <w:pPr>
        <w:pStyle w:val="ListParagraph"/>
        <w:numPr>
          <w:ilvl w:val="0"/>
          <w:numId w:val="21"/>
        </w:numPr>
        <w:rPr>
          <w:bCs/>
          <w:sz w:val="20"/>
          <w:szCs w:val="20"/>
        </w:rPr>
      </w:pPr>
      <w:r w:rsidRPr="001D51D7">
        <w:rPr>
          <w:bCs/>
          <w:sz w:val="20"/>
          <w:szCs w:val="20"/>
        </w:rPr>
        <w:t>Fewer than 2 doses of a SARS-CoV-2 vaccination course</w:t>
      </w:r>
      <w:r w:rsidR="001D51D7" w:rsidRPr="001D51D7">
        <w:rPr>
          <w:bCs/>
          <w:sz w:val="20"/>
          <w:szCs w:val="20"/>
        </w:rPr>
        <w:t xml:space="preserve"> in the seven days prior to infection</w:t>
      </w:r>
    </w:p>
    <w:p w14:paraId="00CEF1C8" w14:textId="77777777" w:rsidR="00190D62" w:rsidRPr="001D51D7" w:rsidRDefault="00190D62" w:rsidP="00190D62">
      <w:pPr>
        <w:pStyle w:val="ListParagraph"/>
        <w:numPr>
          <w:ilvl w:val="0"/>
          <w:numId w:val="21"/>
        </w:numPr>
        <w:rPr>
          <w:bCs/>
          <w:sz w:val="20"/>
          <w:szCs w:val="20"/>
        </w:rPr>
      </w:pPr>
      <w:r w:rsidRPr="001D51D7">
        <w:rPr>
          <w:bCs/>
          <w:sz w:val="20"/>
          <w:szCs w:val="20"/>
        </w:rPr>
        <w:t xml:space="preserve">OR recipients of a </w:t>
      </w:r>
      <w:proofErr w:type="gramStart"/>
      <w:r w:rsidRPr="001D51D7">
        <w:rPr>
          <w:bCs/>
          <w:sz w:val="20"/>
          <w:szCs w:val="20"/>
        </w:rPr>
        <w:t>2 dose</w:t>
      </w:r>
      <w:proofErr w:type="gramEnd"/>
      <w:r w:rsidRPr="001D51D7">
        <w:rPr>
          <w:bCs/>
          <w:sz w:val="20"/>
          <w:szCs w:val="20"/>
        </w:rPr>
        <w:t xml:space="preserve"> vaccination course, with the most recent dose </w:t>
      </w:r>
      <w:r w:rsidRPr="002636DC">
        <w:rPr>
          <w:bCs/>
          <w:color w:val="auto"/>
          <w:sz w:val="20"/>
          <w:szCs w:val="20"/>
        </w:rPr>
        <w:t>more than 6 months ago</w:t>
      </w:r>
    </w:p>
    <w:p w14:paraId="736D728C" w14:textId="7115B5D3" w:rsidR="00C31E11" w:rsidRPr="006A359F" w:rsidRDefault="006A359F" w:rsidP="006A359F">
      <w:pPr>
        <w:tabs>
          <w:tab w:val="left" w:pos="1130"/>
        </w:tabs>
        <w:rPr>
          <w:b/>
          <w:sz w:val="16"/>
          <w:szCs w:val="16"/>
        </w:rPr>
      </w:pPr>
      <w:r>
        <w:rPr>
          <w:b/>
          <w:sz w:val="20"/>
          <w:szCs w:val="20"/>
        </w:rPr>
        <w:tab/>
      </w:r>
    </w:p>
    <w:p w14:paraId="2818B294" w14:textId="2FA2BFAA" w:rsidR="00670F8E" w:rsidRPr="001D51D7" w:rsidRDefault="002636DC" w:rsidP="00071734">
      <w:pPr>
        <w:rPr>
          <w:bCs/>
          <w:sz w:val="20"/>
          <w:szCs w:val="20"/>
        </w:rPr>
      </w:pPr>
      <w:r>
        <w:rPr>
          <w:b/>
          <w:sz w:val="20"/>
          <w:szCs w:val="20"/>
          <w:vertAlign w:val="superscript"/>
        </w:rPr>
        <w:t>&amp;</w:t>
      </w:r>
      <w:r w:rsidR="00190D62" w:rsidRPr="001D51D7">
        <w:rPr>
          <w:b/>
          <w:sz w:val="20"/>
          <w:szCs w:val="20"/>
        </w:rPr>
        <w:t xml:space="preserve"> </w:t>
      </w:r>
      <w:r w:rsidR="008D424D" w:rsidRPr="001D51D7">
        <w:rPr>
          <w:b/>
          <w:sz w:val="20"/>
          <w:szCs w:val="20"/>
        </w:rPr>
        <w:t xml:space="preserve">Severe immunocompromise </w:t>
      </w:r>
      <w:r w:rsidR="008D424D" w:rsidRPr="001D51D7">
        <w:rPr>
          <w:bCs/>
          <w:sz w:val="20"/>
          <w:szCs w:val="20"/>
        </w:rPr>
        <w:t>unlikely to mount an adequate immune response to SARS-CoV-2 vaccination or infection is considered to include the following clinical scenarios:</w:t>
      </w:r>
    </w:p>
    <w:p w14:paraId="0AFB55FC" w14:textId="7DD1FA43" w:rsidR="006844D7" w:rsidRDefault="00A16D60" w:rsidP="008D424D">
      <w:pPr>
        <w:pStyle w:val="ListParagraph"/>
        <w:numPr>
          <w:ilvl w:val="0"/>
          <w:numId w:val="20"/>
        </w:numPr>
        <w:spacing w:after="160" w:line="259" w:lineRule="auto"/>
        <w:rPr>
          <w:sz w:val="20"/>
          <w:szCs w:val="20"/>
        </w:rPr>
      </w:pPr>
      <w:r>
        <w:rPr>
          <w:sz w:val="20"/>
          <w:szCs w:val="20"/>
        </w:rPr>
        <w:t>Solid</w:t>
      </w:r>
      <w:r w:rsidR="008D424D" w:rsidRPr="001D51D7">
        <w:rPr>
          <w:sz w:val="20"/>
          <w:szCs w:val="20"/>
        </w:rPr>
        <w:t xml:space="preserve"> organ transplant</w:t>
      </w:r>
      <w:r>
        <w:rPr>
          <w:sz w:val="20"/>
          <w:szCs w:val="20"/>
        </w:rPr>
        <w:t xml:space="preserve"> recipient, particularly </w:t>
      </w:r>
      <w:proofErr w:type="gramStart"/>
      <w:r>
        <w:rPr>
          <w:sz w:val="20"/>
          <w:szCs w:val="20"/>
        </w:rPr>
        <w:t xml:space="preserve">if </w:t>
      </w:r>
      <w:r w:rsidR="0017497E">
        <w:rPr>
          <w:sz w:val="20"/>
          <w:szCs w:val="20"/>
        </w:rPr>
        <w:t xml:space="preserve"> </w:t>
      </w:r>
      <w:r>
        <w:rPr>
          <w:sz w:val="20"/>
          <w:szCs w:val="20"/>
        </w:rPr>
        <w:t>within</w:t>
      </w:r>
      <w:proofErr w:type="gramEnd"/>
      <w:r>
        <w:rPr>
          <w:sz w:val="20"/>
          <w:szCs w:val="20"/>
        </w:rPr>
        <w:t xml:space="preserve"> </w:t>
      </w:r>
      <w:r w:rsidR="0017497E">
        <w:rPr>
          <w:sz w:val="20"/>
          <w:szCs w:val="20"/>
        </w:rPr>
        <w:t>12 months</w:t>
      </w:r>
      <w:r>
        <w:rPr>
          <w:sz w:val="20"/>
          <w:szCs w:val="20"/>
        </w:rPr>
        <w:t xml:space="preserve"> of transplantation, </w:t>
      </w:r>
      <w:r w:rsidR="0017497E">
        <w:rPr>
          <w:sz w:val="20"/>
          <w:szCs w:val="20"/>
        </w:rPr>
        <w:t xml:space="preserve"> if </w:t>
      </w:r>
      <w:r w:rsidR="00081E5B">
        <w:rPr>
          <w:sz w:val="20"/>
          <w:szCs w:val="20"/>
        </w:rPr>
        <w:t>requir</w:t>
      </w:r>
      <w:r w:rsidR="00AF3E00">
        <w:rPr>
          <w:sz w:val="20"/>
          <w:szCs w:val="20"/>
        </w:rPr>
        <w:t>ing</w:t>
      </w:r>
      <w:r w:rsidR="0017497E">
        <w:rPr>
          <w:sz w:val="20"/>
          <w:szCs w:val="20"/>
        </w:rPr>
        <w:t xml:space="preserve"> </w:t>
      </w:r>
      <w:r w:rsidR="00081E5B">
        <w:rPr>
          <w:sz w:val="20"/>
          <w:szCs w:val="20"/>
        </w:rPr>
        <w:t>more than routine</w:t>
      </w:r>
      <w:r w:rsidR="0017497E">
        <w:rPr>
          <w:sz w:val="20"/>
          <w:szCs w:val="20"/>
        </w:rPr>
        <w:t xml:space="preserve"> maintenance immunosuppression</w:t>
      </w:r>
      <w:r w:rsidR="00AF3E00">
        <w:rPr>
          <w:sz w:val="20"/>
          <w:szCs w:val="20"/>
        </w:rPr>
        <w:t xml:space="preserve">, </w:t>
      </w:r>
      <w:r w:rsidR="00081E5B">
        <w:rPr>
          <w:sz w:val="20"/>
          <w:szCs w:val="20"/>
        </w:rPr>
        <w:t>treated with</w:t>
      </w:r>
      <w:r w:rsidR="0017497E">
        <w:rPr>
          <w:sz w:val="20"/>
          <w:szCs w:val="20"/>
        </w:rPr>
        <w:t xml:space="preserve"> mycophenolate mofetil</w:t>
      </w:r>
      <w:r w:rsidR="00AF3E00">
        <w:rPr>
          <w:sz w:val="20"/>
          <w:szCs w:val="20"/>
        </w:rPr>
        <w:t xml:space="preserve">, </w:t>
      </w:r>
      <w:r w:rsidR="00C409F0">
        <w:rPr>
          <w:sz w:val="20"/>
          <w:szCs w:val="20"/>
        </w:rPr>
        <w:t xml:space="preserve">or </w:t>
      </w:r>
      <w:r w:rsidR="002A0017">
        <w:rPr>
          <w:sz w:val="20"/>
          <w:szCs w:val="20"/>
        </w:rPr>
        <w:t>treated</w:t>
      </w:r>
      <w:r w:rsidR="00C409F0">
        <w:rPr>
          <w:sz w:val="20"/>
          <w:szCs w:val="20"/>
        </w:rPr>
        <w:t xml:space="preserve"> for rejection within past 12 months</w:t>
      </w:r>
    </w:p>
    <w:p w14:paraId="10C854EE" w14:textId="4BB038AC" w:rsidR="008D424D" w:rsidRPr="001D51D7" w:rsidRDefault="006844D7" w:rsidP="008D424D">
      <w:pPr>
        <w:pStyle w:val="ListParagraph"/>
        <w:numPr>
          <w:ilvl w:val="0"/>
          <w:numId w:val="20"/>
        </w:numPr>
        <w:spacing w:after="160" w:line="259" w:lineRule="auto"/>
        <w:rPr>
          <w:sz w:val="20"/>
          <w:szCs w:val="20"/>
        </w:rPr>
      </w:pPr>
      <w:r>
        <w:rPr>
          <w:sz w:val="20"/>
          <w:szCs w:val="20"/>
        </w:rPr>
        <w:t xml:space="preserve">Within </w:t>
      </w:r>
      <w:r w:rsidR="00761787">
        <w:rPr>
          <w:sz w:val="20"/>
          <w:szCs w:val="20"/>
        </w:rPr>
        <w:t>24</w:t>
      </w:r>
      <w:r>
        <w:rPr>
          <w:sz w:val="20"/>
          <w:szCs w:val="20"/>
        </w:rPr>
        <w:t xml:space="preserve"> months of </w:t>
      </w:r>
      <w:r w:rsidR="008D424D" w:rsidRPr="001D51D7">
        <w:rPr>
          <w:sz w:val="20"/>
          <w:szCs w:val="20"/>
        </w:rPr>
        <w:t xml:space="preserve">haematopoietic stem cell transplant or CAR-T cell therapy. </w:t>
      </w:r>
    </w:p>
    <w:p w14:paraId="43183368" w14:textId="57900DB8" w:rsidR="008D424D" w:rsidRPr="001D51D7" w:rsidRDefault="008D424D" w:rsidP="008D424D">
      <w:pPr>
        <w:pStyle w:val="ListParagraph"/>
        <w:numPr>
          <w:ilvl w:val="0"/>
          <w:numId w:val="20"/>
        </w:numPr>
        <w:spacing w:after="160" w:line="259" w:lineRule="auto"/>
        <w:rPr>
          <w:sz w:val="20"/>
          <w:szCs w:val="20"/>
        </w:rPr>
      </w:pPr>
      <w:r w:rsidRPr="001D51D7">
        <w:rPr>
          <w:sz w:val="20"/>
          <w:szCs w:val="20"/>
        </w:rPr>
        <w:t>Graft-versus-host disease treated with multi-modal immunosuppressive therapy</w:t>
      </w:r>
    </w:p>
    <w:p w14:paraId="7BCDD7B6" w14:textId="77777777" w:rsidR="008D424D" w:rsidRPr="001D51D7" w:rsidRDefault="008D424D" w:rsidP="008D424D">
      <w:pPr>
        <w:pStyle w:val="ListParagraph"/>
        <w:numPr>
          <w:ilvl w:val="0"/>
          <w:numId w:val="20"/>
        </w:numPr>
        <w:spacing w:after="160" w:line="259" w:lineRule="auto"/>
        <w:rPr>
          <w:sz w:val="20"/>
          <w:szCs w:val="20"/>
        </w:rPr>
      </w:pPr>
      <w:r w:rsidRPr="001D51D7">
        <w:rPr>
          <w:sz w:val="20"/>
          <w:szCs w:val="20"/>
        </w:rPr>
        <w:lastRenderedPageBreak/>
        <w:t>Treated B-cell haematologic malignancy (</w:t>
      </w:r>
      <w:proofErr w:type="gramStart"/>
      <w:r w:rsidRPr="001D51D7">
        <w:rPr>
          <w:sz w:val="20"/>
          <w:szCs w:val="20"/>
        </w:rPr>
        <w:t>e.g.</w:t>
      </w:r>
      <w:proofErr w:type="gramEnd"/>
      <w:r w:rsidRPr="001D51D7">
        <w:rPr>
          <w:sz w:val="20"/>
          <w:szCs w:val="20"/>
        </w:rPr>
        <w:t xml:space="preserve"> multiple myeloma, chronic lymphocytic leukaemia, lymphoma) within the past 6 months</w:t>
      </w:r>
    </w:p>
    <w:p w14:paraId="2BA77C29" w14:textId="1888FED1" w:rsidR="000C2162" w:rsidRPr="001D51D7" w:rsidRDefault="000C2162" w:rsidP="000C2162">
      <w:pPr>
        <w:pStyle w:val="ListParagraph"/>
        <w:numPr>
          <w:ilvl w:val="0"/>
          <w:numId w:val="20"/>
        </w:numPr>
        <w:spacing w:after="160" w:line="259" w:lineRule="auto"/>
        <w:rPr>
          <w:sz w:val="20"/>
          <w:szCs w:val="20"/>
        </w:rPr>
      </w:pPr>
      <w:r w:rsidRPr="001D51D7">
        <w:rPr>
          <w:sz w:val="20"/>
          <w:szCs w:val="20"/>
        </w:rPr>
        <w:t>Receipt of anti-CD20 monoclonal antibody therapy (</w:t>
      </w:r>
      <w:proofErr w:type="gramStart"/>
      <w:r w:rsidRPr="001D51D7">
        <w:rPr>
          <w:sz w:val="20"/>
          <w:szCs w:val="20"/>
        </w:rPr>
        <w:t>e.g.</w:t>
      </w:r>
      <w:proofErr w:type="gramEnd"/>
      <w:r w:rsidRPr="001D51D7">
        <w:rPr>
          <w:sz w:val="20"/>
          <w:szCs w:val="20"/>
        </w:rPr>
        <w:t xml:space="preserve"> rituximab) within the past </w:t>
      </w:r>
      <w:r w:rsidR="0017497E">
        <w:rPr>
          <w:sz w:val="20"/>
          <w:szCs w:val="20"/>
        </w:rPr>
        <w:t>12</w:t>
      </w:r>
      <w:r w:rsidRPr="001D51D7">
        <w:rPr>
          <w:sz w:val="20"/>
          <w:szCs w:val="20"/>
        </w:rPr>
        <w:t xml:space="preserve"> months</w:t>
      </w:r>
    </w:p>
    <w:p w14:paraId="2F40947A" w14:textId="77777777" w:rsidR="000C2162" w:rsidRPr="001D51D7" w:rsidRDefault="000C2162" w:rsidP="000C2162">
      <w:pPr>
        <w:pStyle w:val="ListParagraph"/>
        <w:numPr>
          <w:ilvl w:val="0"/>
          <w:numId w:val="20"/>
        </w:numPr>
        <w:spacing w:after="160" w:line="259" w:lineRule="auto"/>
        <w:rPr>
          <w:sz w:val="20"/>
          <w:szCs w:val="20"/>
        </w:rPr>
      </w:pPr>
      <w:r w:rsidRPr="001D51D7">
        <w:rPr>
          <w:sz w:val="20"/>
          <w:szCs w:val="20"/>
        </w:rPr>
        <w:t xml:space="preserve">Primary or acquired </w:t>
      </w:r>
      <w:proofErr w:type="spellStart"/>
      <w:r w:rsidRPr="001D51D7">
        <w:rPr>
          <w:sz w:val="20"/>
          <w:szCs w:val="20"/>
        </w:rPr>
        <w:t>hypogammaglobulinaemia</w:t>
      </w:r>
      <w:proofErr w:type="spellEnd"/>
      <w:r w:rsidRPr="001D51D7">
        <w:rPr>
          <w:sz w:val="20"/>
          <w:szCs w:val="20"/>
        </w:rPr>
        <w:t xml:space="preserve"> (IgG &lt;3), even if now on replacement immunoglobulin </w:t>
      </w:r>
    </w:p>
    <w:p w14:paraId="5B8CD6DF" w14:textId="77777777" w:rsidR="000C2162" w:rsidRPr="001D51D7" w:rsidRDefault="000C2162" w:rsidP="000C2162">
      <w:pPr>
        <w:pStyle w:val="ListParagraph"/>
        <w:numPr>
          <w:ilvl w:val="0"/>
          <w:numId w:val="20"/>
        </w:numPr>
        <w:spacing w:after="160" w:line="259" w:lineRule="auto"/>
        <w:rPr>
          <w:sz w:val="20"/>
          <w:szCs w:val="20"/>
        </w:rPr>
      </w:pPr>
      <w:r w:rsidRPr="001D51D7">
        <w:rPr>
          <w:sz w:val="20"/>
          <w:szCs w:val="20"/>
        </w:rPr>
        <w:t>Primary immunodeficiency associated with severe B-cell or combined cellular defects</w:t>
      </w:r>
    </w:p>
    <w:p w14:paraId="32B8D90A" w14:textId="77777777" w:rsidR="000C2162" w:rsidRPr="001D51D7" w:rsidRDefault="000C2162" w:rsidP="000C2162">
      <w:pPr>
        <w:pStyle w:val="ListParagraph"/>
        <w:numPr>
          <w:ilvl w:val="0"/>
          <w:numId w:val="20"/>
        </w:numPr>
        <w:spacing w:after="160" w:line="259" w:lineRule="auto"/>
        <w:rPr>
          <w:sz w:val="20"/>
          <w:szCs w:val="20"/>
        </w:rPr>
      </w:pPr>
      <w:r w:rsidRPr="001D51D7">
        <w:rPr>
          <w:sz w:val="20"/>
          <w:szCs w:val="20"/>
        </w:rPr>
        <w:t>Advanced HIV with CD4 &lt;200</w:t>
      </w:r>
    </w:p>
    <w:p w14:paraId="3B0284E4" w14:textId="0D62C443" w:rsidR="00190D62" w:rsidRPr="00A02452" w:rsidRDefault="000C2162" w:rsidP="00071734">
      <w:pPr>
        <w:pStyle w:val="ListParagraph"/>
        <w:numPr>
          <w:ilvl w:val="0"/>
          <w:numId w:val="20"/>
        </w:numPr>
        <w:spacing w:after="160" w:line="259" w:lineRule="auto"/>
        <w:rPr>
          <w:sz w:val="20"/>
          <w:szCs w:val="20"/>
        </w:rPr>
      </w:pPr>
      <w:r w:rsidRPr="001D51D7">
        <w:rPr>
          <w:sz w:val="20"/>
          <w:szCs w:val="20"/>
        </w:rPr>
        <w:t xml:space="preserve">Other conditions (on </w:t>
      </w:r>
      <w:proofErr w:type="gramStart"/>
      <w:r w:rsidRPr="001D51D7">
        <w:rPr>
          <w:sz w:val="20"/>
          <w:szCs w:val="20"/>
        </w:rPr>
        <w:t>case by case</w:t>
      </w:r>
      <w:proofErr w:type="gramEnd"/>
      <w:r w:rsidRPr="001D51D7">
        <w:rPr>
          <w:sz w:val="20"/>
          <w:szCs w:val="20"/>
        </w:rPr>
        <w:t xml:space="preserve"> basis) felt to have profound immunocompromise on the basis of combined immunosuppression, functionally equivalent to the above groups.</w:t>
      </w:r>
    </w:p>
    <w:p w14:paraId="0831F295" w14:textId="77777777" w:rsidR="006844D7" w:rsidRDefault="006844D7">
      <w:pPr>
        <w:spacing w:after="160" w:line="259" w:lineRule="auto"/>
        <w:rPr>
          <w:rFonts w:ascii="Tahoma" w:eastAsia="Times New Roman" w:hAnsi="Tahoma" w:cs="Arial"/>
          <w:b/>
          <w:color w:val="1F3864" w:themeColor="accent1" w:themeShade="80"/>
          <w:szCs w:val="20"/>
          <w:lang w:val="en-US" w:eastAsia="en-GB"/>
        </w:rPr>
      </w:pPr>
    </w:p>
    <w:p w14:paraId="6F955E23" w14:textId="7C9B7AA8" w:rsidR="00071734" w:rsidRPr="00926BF6" w:rsidRDefault="00071734" w:rsidP="00A02452">
      <w:pPr>
        <w:pStyle w:val="Heading4"/>
        <w:numPr>
          <w:ilvl w:val="0"/>
          <w:numId w:val="0"/>
        </w:numPr>
        <w:ind w:left="340"/>
      </w:pPr>
      <w:r>
        <w:t>C</w:t>
      </w:r>
      <w:r w:rsidRPr="00926BF6">
        <w:t xml:space="preserve">ontext </w:t>
      </w:r>
      <w:r w:rsidR="00C1644D">
        <w:t>and basis for</w:t>
      </w:r>
      <w:r w:rsidRPr="00926BF6">
        <w:t xml:space="preserve"> recommendation</w:t>
      </w:r>
      <w:r w:rsidR="00C1644D">
        <w:t>s</w:t>
      </w:r>
    </w:p>
    <w:p w14:paraId="0066732C" w14:textId="2B295C53" w:rsidR="009F6212" w:rsidRDefault="005F1B28" w:rsidP="00D27555">
      <w:pPr>
        <w:textAlignment w:val="baseline"/>
      </w:pPr>
      <w:r>
        <w:t xml:space="preserve">Remdesivir is currently </w:t>
      </w:r>
      <w:r w:rsidR="00081E5B">
        <w:t xml:space="preserve">(March 2022) </w:t>
      </w:r>
      <w:r>
        <w:t xml:space="preserve">the only antiviral </w:t>
      </w:r>
      <w:r w:rsidR="009F6212">
        <w:t>agent</w:t>
      </w:r>
      <w:r>
        <w:t xml:space="preserve"> with efficacy against SARS-CoV-2 available in New Zealand. Additionally, </w:t>
      </w:r>
      <w:r w:rsidR="009F6212">
        <w:t>remdesivir</w:t>
      </w:r>
      <w:r>
        <w:t xml:space="preserve"> is currently only available as an intravenous formulation. </w:t>
      </w:r>
    </w:p>
    <w:p w14:paraId="574FA365" w14:textId="740C0CCC" w:rsidR="004D77CD" w:rsidRDefault="0066733A" w:rsidP="00D27555">
      <w:pPr>
        <w:textAlignment w:val="baseline"/>
      </w:pPr>
      <w:r>
        <w:t>R</w:t>
      </w:r>
      <w:r w:rsidR="005F1B28">
        <w:t xml:space="preserve">emdesivir has been evaluated </w:t>
      </w:r>
      <w:r w:rsidR="009F6212">
        <w:t>as</w:t>
      </w:r>
      <w:r>
        <w:t xml:space="preserve"> </w:t>
      </w:r>
      <w:r w:rsidR="009F6212">
        <w:t>a</w:t>
      </w:r>
      <w:r w:rsidR="005F1B28">
        <w:t xml:space="preserve"> </w:t>
      </w:r>
      <w:r>
        <w:t xml:space="preserve">treatment </w:t>
      </w:r>
      <w:r w:rsidR="009F6212">
        <w:t>for COVID-19 in</w:t>
      </w:r>
      <w:r>
        <w:t xml:space="preserve"> hospitalised patients in </w:t>
      </w:r>
      <w:r w:rsidR="005F1B28">
        <w:t>several large-scale, multicentre</w:t>
      </w:r>
      <w:r>
        <w:t>,</w:t>
      </w:r>
      <w:r w:rsidR="005F1B28">
        <w:t xml:space="preserve"> randomised controlled trials</w:t>
      </w:r>
      <w:r>
        <w:t xml:space="preserve">. While </w:t>
      </w:r>
      <w:r w:rsidR="00651370">
        <w:t>a</w:t>
      </w:r>
      <w:r w:rsidR="009F6212">
        <w:t xml:space="preserve"> trend to benefit in secondary outcomes</w:t>
      </w:r>
      <w:r w:rsidR="00651370">
        <w:t xml:space="preserve"> was suggested in some trials</w:t>
      </w:r>
      <w:r w:rsidR="009F6212">
        <w:t xml:space="preserve"> (e.g.</w:t>
      </w:r>
      <w:r>
        <w:t xml:space="preserve"> </w:t>
      </w:r>
      <w:r w:rsidR="009F6212">
        <w:t xml:space="preserve">small </w:t>
      </w:r>
      <w:r>
        <w:t>improvement in time to clinical recovery</w:t>
      </w:r>
      <w:r w:rsidR="009F6212">
        <w:t xml:space="preserve">) </w:t>
      </w:r>
      <w:r w:rsidR="00651370">
        <w:t>there was no</w:t>
      </w:r>
      <w:r w:rsidR="009F6212">
        <w:t xml:space="preserve"> </w:t>
      </w:r>
      <w:r w:rsidR="005F1B28">
        <w:t>reduction in COVID-19 associated mortality</w:t>
      </w:r>
      <w:r w:rsidR="00047B4A">
        <w:t>.</w:t>
      </w:r>
      <w:r w:rsidR="00AD5E57">
        <w:rPr>
          <w:rFonts w:ascii="Calibri" w:hAnsi="Calibri" w:cs="Calibri"/>
          <w:color w:val="auto"/>
          <w:lang w:val="en-GB"/>
        </w:rPr>
        <w:fldChar w:fldCharType="begin"/>
      </w:r>
      <w:r w:rsidR="001B68DB">
        <w:rPr>
          <w:rFonts w:ascii="Calibri" w:hAnsi="Calibri" w:cs="Calibri"/>
          <w:color w:val="auto"/>
          <w:lang w:val="en-GB"/>
        </w:rPr>
        <w:instrText xml:space="preserve"> ADDIN PAPERS2_CITATIONS &lt;citation&gt;&lt;priority&gt;1&lt;/priority&gt;&lt;uuid&gt;BCD811E8-6F1F-469F-87AE-A765D4F1CCA3&lt;/uuid&gt;&lt;publications&gt;&lt;publication&gt;&lt;subtype&gt;400&lt;/subtype&gt;&lt;publisher&gt;Massachusetts Medical Society&lt;/publisher&gt;&lt;title&gt;Repurposed Antiviral Drugs for Covid-19 - Interim WHO Solidarity Trial Results.&lt;/title&gt;&lt;url&gt;https://www.nejm.org/doi/10.1056/NEJMoa2023184&lt;/url&gt;&lt;volume&gt;384&lt;/volume&gt;&lt;publication_date&gt;99202102111200000000222000&lt;/publication_date&gt;&lt;uuid&gt;715B4D95-1410-475A-85FB-071BFDB9D52C&lt;/uuid&gt;&lt;type&gt;400&lt;/type&gt;&lt;number&gt;6&lt;/number&gt;&lt;doi&gt;10.1056/NEJMoa2023184&lt;/doi&gt;&lt;institution&gt;The affiliations of the members of the writing and steering committees are as follows: the Nuffield Department of Population Health and Medical Research Council Population Health Research Unit, University of Oxford, Oxford (H.P., R.P.), and the University of Bristol, Bristol (E.A., S.B., H.B.C.C.-P., D.H., J.K., C.A.R., J.A.C.S.) - both in the United Kingdom; the World Health Organization, Geneva (A.-M.H.-R., M.-P.P., V.S., P. Lydon, M.C.M.-M., K.S., S.S.), the University of Bern, Bern (S.A., M.B., S. McGinty, S.T.), and Lausanne University Hospital, Lausanne (O.M.) - all in Switzerland; the Centre for the AIDS Programme of Research in South Africa, Durban (Q.A.K.), and the University of the Witwatersrand (J.N.) and the Wits Reproductive Health and HIV Institute (H.R.), Johannesburg - all in South Africa; the Institute of National Epidemiology, National Institutes of Health, University of the Philippines, Manila (M.M.A.); the Agency of Medicine and Medical Devices (C.H.G.) and Hospital Clínico San Carlos, Universidad Complutense de Madrid, Spanish Clinical Research Network, Instituto de Investigación Sanitaria San Carlos (A.P.), Madrid; INSERM, Paris (M.-P.K.), and Hospices Civils de Lyon, Lyon (F.A.) - both in France; the Digestive Disease Research Institute, Tehran University of Medical Sciences, Tehran, Iran (R.M.); the University of British Columbia, Vancouver (S. Murthy), and the Public Health Agency of Canada, Ottawa (M.I.S.) - both in Canada; the Public Health Foundation of India, New Delhi (K.S.R.), and the Indian Council of Medical Research, National AIDS Research Institute, Pune (S.G.) - both in India; the National Academy of Sciences of Buenos Aires (M.R.P.) and Fundación del Centro de Estudios Infectológicos (G.L.), Buenos Aires; Rafic Hariri University Hospital (P.A.H.) and the Ministry of Public Health (R.H.), Beirut, Lebanon; the Ministry of Health (A.M.A.-B.) and Infectious Diseases Hospital (A. Alhasawi), Kuwait City, Kuwait; Universidad Nacional de Colombia and Clinica Colsanitas (C.A.A.-M.) and the Ministry of Health (M.L.M.R.), Bogota, Colombia; the Ministry for Preventive Health, Riyadh, Saudi Arabia (A. Asiri, A. Alotaibi); Oslo University Hospital (P.A., A.B.-D.) and Research Council of Norway (J.-A.R.), Oslo; Secretaria de Salud de Honduras (N. Cerrato) and the National Autonomous University of Honduras (M.T.M.), Tegucigalpa; Penang Hospital, Penang (T.S.C.), and Hospital Sungai Buloh and Jalan Hospital, Selangor (S.K.) - both in Malaysia; University Hospital Center Mother Theresa (N. Como) and the National Agency for Medicines and Medical Devices (N.S.), Tirana, Albania; the HRB Clinical Research Facility, University College Cork, Cork (J.E.), and the Department of Health and Children, Dublin (P. Lennon, T.M.) - both in Ireland; Universidad Peruana Cayetano Heredia, Lima, Peru (P.J.G., E.G.); Vilnius University Hospital Santaros Klinikos (L.G.) and Vilnius University, Institute of Clinical Medicine (L.J.), Vilnius, Lithuania; Shaukat Khanum Memorial Cancer Hospital and Research Center, Lahore, Pakistan (M. Hassan, A.R.); the National Hepatology and Tropical Medicine Research Institute (M. Hassany) and the Ministry of Health and Population (H.Z.), Cairo; the National Institute of Health Research and Development (I.I.) and Rumah Sakit Umum Pusat Persahabatan (M.R.R.), Jakarta, Indonesia; the Italian Medicines Agency, Rome (N.M.), and the University of Verona, Verona (E.T.) - both in Italy; the Ministry of Health (S. Manevska) and the University Clinic of Infectious Diseases and Febrile Conditions (M.S.), Skopje, North Macedonia; the Oswaldo Cruz Foundation, Rio de Janeiro (E.P.N., P.P.S.R.); and the Finnish Institute for Health and Welfare and the University of Finland (M.P.) and Helsinki University Hospital (K.A.O.T.), Helsinki, and South Karelian Central Hospital, Lappeenranta (K.A.O.T.) - all in Finland.&lt;/institution&gt;&lt;startpage&gt;497&lt;/startpage&gt;&lt;endpage&gt;511&lt;/endpage&gt;&lt;bundle&gt;&lt;publication&gt;&lt;title&gt;The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Society&lt;/publisher&gt;&lt;type&gt;-100&lt;/type&gt;&lt;/publication&gt;&lt;/bundle&gt;&lt;authors&gt;&lt;author&gt;&lt;lastName&gt;WHO Solidarity Trial Consortium&lt;/lastName&gt;&lt;/author&gt;&lt;author&gt;&lt;lastName&gt;Pan&lt;/lastName&gt;&lt;firstName&gt;Hongchao&lt;/firstName&gt;&lt;/author&gt;&lt;author&gt;&lt;lastName&gt;Peto&lt;/lastName&gt;&lt;firstName&gt;Richard&lt;/firstName&gt;&lt;/author&gt;&lt;author&gt;&lt;lastName&gt;Henao-Restrepo&lt;/lastName&gt;&lt;firstName&gt;Ana-Maria&lt;/firstName&gt;&lt;/author&gt;&lt;author&gt;&lt;lastName&gt;Preziosi&lt;/lastName&gt;&lt;firstName&gt;Marie-Pierre&lt;/firstName&gt;&lt;/author&gt;&lt;author&gt;&lt;lastName&gt;Sathiyamoorthy&lt;/lastName&gt;&lt;firstName&gt;Vasee&lt;/firstName&gt;&lt;/author&gt;&lt;author&gt;&lt;lastName&gt;Abdool Karim&lt;/lastName&gt;&lt;firstName&gt;Quarraisha&lt;/firstName&gt;&lt;/author&gt;&lt;author&gt;&lt;lastName&gt;Alejandria&lt;/lastName&gt;&lt;firstName&gt;Marissa&lt;/firstName&gt;&lt;middleNames&gt;M&lt;/middleNames&gt;&lt;/author&gt;&lt;author&gt;&lt;lastName&gt;Hernández García&lt;/lastName&gt;&lt;firstName&gt;César&lt;/firstName&gt;&lt;/author&gt;&lt;author&gt;&lt;lastName&gt;Kieny&lt;/lastName&gt;&lt;firstName&gt;Marie-Paule&lt;/firstName&gt;&lt;/author&gt;&lt;author&gt;&lt;lastName&gt;Malekzadeh&lt;/lastName&gt;&lt;firstName&gt;Reza&lt;/firstName&gt;&lt;/author&gt;&lt;author&gt;&lt;lastName&gt;Murthy&lt;/lastName&gt;&lt;firstName&gt;Srinivas&lt;/firstName&gt;&lt;/author&gt;&lt;author&gt;&lt;lastName&gt;Reddy&lt;/lastName&gt;&lt;firstName&gt;K&lt;/firstName&gt;&lt;middleNames&gt;Srinath&lt;/middleNames&gt;&lt;/author&gt;&lt;author&gt;&lt;lastName&gt;Roses Periago&lt;/lastName&gt;&lt;firstName&gt;Mirta&lt;/firstName&gt;&lt;/author&gt;&lt;author&gt;&lt;lastName&gt;Abi Hanna&lt;/lastName&gt;&lt;firstName&gt;Pierre&lt;/firstName&gt;&lt;/author&gt;&lt;author&gt;&lt;lastName&gt;Ader&lt;/lastName&gt;&lt;firstName&gt;Florence&lt;/firstName&gt;&lt;/author&gt;&lt;author&gt;&lt;lastName&gt;Al-Bader&lt;/lastName&gt;&lt;firstName&gt;Abdullah&lt;/firstName&gt;&lt;middleNames&gt;M&lt;/middleNames&gt;&lt;/author&gt;&lt;author&gt;&lt;lastName&gt;Alhasawi&lt;/lastName&gt;&lt;firstName&gt;Almonther&lt;/firstName&gt;&lt;/author&gt;&lt;author&gt;&lt;lastName&gt;Allum&lt;/lastName&gt;&lt;firstName&gt;Emma&lt;/firstName&gt;&lt;/author&gt;&lt;author&gt;&lt;lastName&gt;Alotaibi&lt;/lastName&gt;&lt;firstName&gt;Athari&lt;/firstName&gt;&lt;/author&gt;&lt;author&gt;&lt;lastName&gt;Alvarez-Moreno&lt;/lastName&gt;&lt;firstName&gt;Carlos&lt;/firstName&gt;&lt;middleNames&gt;A&lt;/middleNames&gt;&lt;/author&gt;&lt;author&gt;&lt;lastName&gt;Appadoo&lt;/lastName&gt;&lt;firstName&gt;Sheila&lt;/firstName&gt;&lt;/author&gt;&lt;author&gt;&lt;lastName&gt;Asiri&lt;/lastName&gt;&lt;firstName&gt;Abdullah&lt;/firstName&gt;&lt;/author&gt;&lt;author&gt;&lt;lastName&gt;Aukrust&lt;/lastName&gt;&lt;firstName&gt;Pål&lt;/firstName&gt;&lt;/author&gt;&lt;author&gt;&lt;lastName&gt;Barratt-Due&lt;/lastName&gt;&lt;firstName&gt;Andreas&lt;/firstName&gt;&lt;/author&gt;&lt;author&gt;&lt;lastName&gt;Bellani&lt;/lastName&gt;&lt;firstName&gt;Samir&lt;/firstName&gt;&lt;/author&gt;&lt;author&gt;&lt;lastName&gt;Branca&lt;/lastName&gt;&lt;firstName&gt;Mattia&lt;/firstName&gt;&lt;/author&gt;&lt;author&gt;&lt;lastName&gt;Cappel-Porter&lt;/lastName&gt;&lt;firstName&gt;Heike&lt;/firstName&gt;&lt;middleNames&gt;B C&lt;/middleNames&gt;&lt;/author&gt;&lt;author&gt;&lt;lastName&gt;Cerrato&lt;/lastName&gt;&lt;firstName&gt;Nery&lt;/firstName&gt;&lt;/author&gt;&lt;author&gt;&lt;lastName&gt;Chow&lt;/lastName&gt;&lt;firstName&gt;Ting&lt;/firstName&gt;&lt;middleNames&gt;S&lt;/middleNames&gt;&lt;/author&gt;&lt;author&gt;&lt;lastName&gt;Como&lt;/lastName&gt;&lt;firstName&gt;Najada&lt;/firstName&gt;&lt;/author&gt;&lt;author&gt;&lt;lastName&gt;Eustace&lt;/lastName&gt;&lt;firstName&gt;Joe&lt;/firstName&gt;&lt;/author&gt;&lt;author&gt;&lt;lastName&gt;García&lt;/lastName&gt;&lt;firstName&gt;Patricia&lt;/firstName&gt;&lt;middleNames&gt;J&lt;/middleNames&gt;&lt;/author&gt;&lt;author&gt;&lt;lastName&gt;Godbole&lt;/lastName&gt;&lt;firstName&gt;Sheela&lt;/firstName&gt;&lt;/author&gt;&lt;author&gt;&lt;lastName&gt;Gotuzzo&lt;/lastName&gt;&lt;firstName&gt;Eduardo&lt;/firstName&gt;&lt;/author&gt;&lt;author&gt;&lt;lastName&gt;Griskevicius&lt;/lastName&gt;&lt;firstName&gt;Laimonas&lt;/firstName&gt;&lt;/author&gt;&lt;author&gt;&lt;lastName&gt;Hamra&lt;/lastName&gt;&lt;firstName&gt;Rasha&lt;/firstName&gt;&lt;/author&gt;&lt;author&gt;&lt;lastName&gt;Hassan&lt;/lastName&gt;&lt;firstName&gt;Mariam&lt;/firstName&gt;&lt;/author&gt;&lt;author&gt;&lt;lastName&gt;Hassany&lt;/lastName&gt;&lt;firstName&gt;Mohamed&lt;/firstName&gt;&lt;/author&gt;&lt;author&gt;&lt;lastName&gt;Hutton&lt;/lastName&gt;&lt;firstName&gt;David&lt;/firstName&gt;&lt;/author&gt;&lt;author&gt;&lt;lastName&gt;Irmansyah&lt;/lastName&gt;&lt;firstName&gt;Irmansyah&lt;/firstName&gt;&lt;/author&gt;&lt;author&gt;&lt;lastName&gt;Jancoriene&lt;/lastName&gt;&lt;firstName&gt;Ligita&lt;/firstName&gt;&lt;/author&gt;&lt;author&gt;&lt;lastName&gt;Kirwan&lt;/lastName&gt;&lt;firstName&gt;Jana&lt;/firstName&gt;&lt;/author&gt;&lt;author&gt;&lt;lastName&gt;Kumar&lt;/lastName&gt;&lt;firstName&gt;Suresh&lt;/firstName&gt;&lt;/author&gt;&lt;author&gt;&lt;lastName&gt;Lennon&lt;/lastName&gt;&lt;firstName&gt;Peter&lt;/firstName&gt;&lt;/author&gt;&lt;author&gt;&lt;lastName&gt;Lopardo&lt;/lastName&gt;&lt;firstName&gt;Gustavo&lt;/firstName&gt;&lt;/author&gt;&lt;author&gt;&lt;lastName&gt;Lydon&lt;/lastName&gt;&lt;firstName&gt;Patrick&lt;/firstName&gt;&lt;/author&gt;&lt;author&gt;&lt;lastName&gt;Magrini&lt;/lastName&gt;&lt;firstName&gt;Nicola&lt;/firstName&gt;&lt;/author&gt;&lt;author&gt;&lt;lastName&gt;Maguire&lt;/lastName&gt;&lt;firstName&gt;Teresa&lt;/firstName&gt;&lt;/author&gt;&lt;author&gt;&lt;lastName&gt;Manevska&lt;/lastName&gt;&lt;firstName&gt;Suzana&lt;/firstName&gt;&lt;/author&gt;&lt;author&gt;&lt;lastName&gt;Manuel&lt;/lastName&gt;&lt;firstName&gt;Oriol&lt;/firstName&gt;&lt;/author&gt;&lt;author&gt;&lt;lastName&gt;McGinty&lt;/lastName&gt;&lt;firstName&gt;Sibylle&lt;/firstName&gt;&lt;/author&gt;&lt;author&gt;&lt;lastName&gt;Medina&lt;/lastName&gt;&lt;firstName&gt;Marco&lt;/firstName&gt;&lt;middleNames&gt;T&lt;/middleNames&gt;&lt;/author&gt;&lt;author&gt;&lt;lastName&gt;Mesa Rubio&lt;/lastName&gt;&lt;firstName&gt;María&lt;/firstName&gt;&lt;middleNames&gt;L&lt;/middleNames&gt;&lt;/author&gt;&lt;author&gt;&lt;lastName&gt;Miranda-Montoya&lt;/lastName&gt;&lt;firstName&gt;Maria&lt;/firstName&gt;&lt;middleNames&gt;C&lt;/middleNames&gt;&lt;/author&gt;&lt;author&gt;&lt;lastName&gt;Nel&lt;/lastName&gt;&lt;firstName&gt;Jeremy&lt;/firstName&gt;&lt;/author&gt;&lt;author&gt;&lt;lastName&gt;Nunes&lt;/lastName&gt;&lt;firstName&gt;Estevao&lt;/firstName&gt;&lt;middleNames&gt;P&lt;/middleNames&gt;&lt;/author&gt;&lt;author&gt;&lt;lastName&gt;Perola&lt;/lastName&gt;&lt;firstName&gt;Markus&lt;/firstName&gt;&lt;/author&gt;&lt;author&gt;&lt;lastName&gt;Portolés&lt;/lastName&gt;&lt;firstName&gt;Antonio&lt;/firstName&gt;&lt;/author&gt;&lt;author&gt;&lt;lastName&gt;Rasmin&lt;/lastName&gt;&lt;firstName&gt;Menaldi&lt;/firstName&gt;&lt;middleNames&gt;R&lt;/middleNames&gt;&lt;/author&gt;&lt;author&gt;&lt;lastName&gt;Raza&lt;/lastName&gt;&lt;firstName&gt;Aun&lt;/firstName&gt;&lt;/author&gt;&lt;author&gt;&lt;lastName&gt;Rees&lt;/lastName&gt;&lt;firstName&gt;Helen&lt;/firstName&gt;&lt;/author&gt;&lt;author&gt;&lt;lastName&gt;Reges&lt;/lastName&gt;&lt;firstName&gt;Paula&lt;/firstName&gt;&lt;middleNames&gt;P S&lt;/middleNames&gt;&lt;/author&gt;&lt;author&gt;&lt;lastName&gt;Rogers&lt;/lastName&gt;&lt;firstName&gt;Chris&lt;/firstName&gt;&lt;middleNames&gt;A&lt;/middleNames&gt;&lt;/author&gt;&lt;author&gt;&lt;lastName&gt;Salami&lt;/lastName&gt;&lt;firstName&gt;Kolawole&lt;/firstName&gt;&lt;/author&gt;&lt;author&gt;&lt;lastName&gt;Salvadori&lt;/lastName&gt;&lt;firstName&gt;Marina&lt;/firstName&gt;&lt;middleNames&gt;I&lt;/middleNames&gt;&lt;/author&gt;&lt;author&gt;&lt;lastName&gt;Sinani&lt;/lastName&gt;&lt;firstName&gt;Narvina&lt;/firstName&gt;&lt;/author&gt;&lt;author&gt;&lt;lastName&gt;Sterne&lt;/lastName&gt;&lt;firstName&gt;Jonathan&lt;/firstName&gt;&lt;middleNames&gt;A C&lt;/middleNames&gt;&lt;/author&gt;&lt;author&gt;&lt;lastName&gt;Stevanovikj&lt;/lastName&gt;&lt;firstName&gt;Milena&lt;/firstName&gt;&lt;/author&gt;&lt;author&gt;&lt;lastName&gt;Tacconelli&lt;/lastName&gt;&lt;firstName&gt;Evelina&lt;/firstName&gt;&lt;/author&gt;&lt;author&gt;&lt;lastName&gt;Tikkinen&lt;/lastName&gt;&lt;firstName&gt;Kari&lt;/firstName&gt;&lt;middleNames&gt;A O&lt;/middleNames&gt;&lt;/author&gt;&lt;author&gt;&lt;lastName&gt;Trelle&lt;/lastName&gt;&lt;firstName&gt;Sven&lt;/firstName&gt;&lt;/author&gt;&lt;author&gt;&lt;lastName&gt;Zaid&lt;/lastName&gt;&lt;firstName&gt;Hala&lt;/firstName&gt;&lt;/author&gt;&lt;author&gt;&lt;lastName&gt;Røttingen&lt;/lastName&gt;&lt;firstName&gt;John-Arne&lt;/firstName&gt;&lt;/author&gt;&lt;author&gt;&lt;lastName&gt;Swaminathan&lt;/lastName&gt;&lt;firstName&gt;Soumya&lt;/firstName&gt;&lt;/author&gt;&lt;/authors&gt;&lt;/publication&gt;&lt;publication&gt;&lt;subtype&gt;400&lt;/subtype&gt;&lt;publisher&gt;Massachusetts Medical Society&lt;/publisher&gt;&lt;title&gt;Remdesivir for the Treatment of Covid-19 - Final Report.&lt;/title&gt;&lt;url&gt;https://www.nejm.org/doi/10.1056/NEJMoa2007764&lt;/url&gt;&lt;volume&gt;383&lt;/volume&gt;&lt;publication_date&gt;99202011051200000000222000&lt;/publication_date&gt;&lt;uuid&gt;E21B6819-F835-41B6-9A8B-AECF47CB89D7&lt;/uuid&gt;&lt;type&gt;400&lt;/type&gt;&lt;number&gt;19&lt;/number&gt;&lt;doi&gt;10.1056/NEJMoa2007764&lt;/doi&gt;&lt;institution&gt;From the National Institute of Allergy and Infectious Diseases, National Institutes of Health (J.H.B., K.M.T., L.E.D., S.N., H.C.L.), and the Infectious Disease Clinical Research Program, Uniformed Services University of the Health Sciences (T.H.B.), Bethesda, the Clinical Monitoring Research Program Directorate, Frederick National Laboratory for Cancer Research, Frederick (T. Bonnett), and Emmes, Rockville (M.G., M.M.) - all in Maryland; Emory University, Atlanta (A.K.M.); Montefiore Medical Center-Albert Einstein College of Medicine (B.S.Z.) and NYU Langone Health and NYC Health and Hospitals-Bellevue (K.D.), New York; University of Nebraska Medical Center, Omaha (A.C.K., M.G.K.); Massachusetts General Hospital, Boston (E.H.), and University of Massachusetts Medical School, Worcester (R.W.F.); University of Washington, Seattle (H.Y.C.), and Evergreen Health Medical Center, Kirkland (D.L.C.) - both in Washington; University of California, San Francisco, San Francisco (A.L.), Cedars-Sinai Medical Center, Los Angeles (V.T.), University of California, Irvine, Irvine (L.H.), University of California, San Diego, La Jolla (D.A.S.), and Gilead Sciences, Foster City (A.O.) - all in California; University of Minnesota (S.K.) and University of Minnesota School of Public Health and INSIGHT (J.D.N.), Minneapolis; University of Texas Health San Antonio, University Health System, and the South Texas Veterans Health Care System, San Antonio (T.F.P.), and Baylor College of Medicine, Houston (R.L.A.); Hospital Germans Trias i Pujol and irsiCaixa AIDS Research Institute, Badalona, Spain (R.P.); University of Pennsylvania, Philadelphia (W.R.S.); Medical School, National and Kapodistrian University of Athens, Athens (G.T.); National Center for Infectious Diseases-Tan Tock Seng Hospital-Lee Kong Chian School of Medicine-Yong Loo Lin School of Medicine, Singapore, Singapore (D.C.L.); the National Center for Global Health and Medicine Hospital, Tokyo (N.O.); Seoul National University Hospital, Seoul, South Korea (M.O.); Instituto Nacional de Ciencias Médicas y Nutrición Salvador Zubirán, Mexico City (G.M.R.-P.); the Department of Infectious Diseases, Amager Hvidovre Hospital-University of Copenhagen, Hvidovre (T. Benfield), and Rigshospitalet, Department of Infectious Diseases (CHIP) and INSIGHT, Copenhagen (J.L.) - both in Denmark; University Hospital of Cologne, Cologne, Germany (G.F.); Vanderbilt University Medical Center, Nashville (C.B.C.); and University College London, MRC Clinical Trials Unit at UCL and INSIGHT, London (A.G.B., S.P.).&lt;/institution&gt;&lt;startpage&gt;1813&lt;/startpage&gt;&lt;endpage&gt;1826&lt;/endpage&gt;&lt;bundle&gt;&lt;publication&gt;&lt;title&gt;The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Beigel&lt;/lastName&gt;&lt;firstName&gt;John&lt;/firstName&gt;&lt;middleNames&gt;H&lt;/middleNames&gt;&lt;/author&gt;&lt;author&gt;&lt;lastName&gt;Tomashek&lt;/lastName&gt;&lt;firstName&gt;Kay&lt;/firstName&gt;&lt;middleNames&gt;M&lt;/middleNames&gt;&lt;/author&gt;&lt;author&gt;&lt;lastName&gt;Dodd&lt;/lastName&gt;&lt;firstName&gt;Lori&lt;/firstName&gt;&lt;middleNames&gt;E&lt;/middleNames&gt;&lt;/author&gt;&lt;author&gt;&lt;lastName&gt;Mehta&lt;/lastName&gt;&lt;firstName&gt;Aneesh&lt;/firstName&gt;&lt;middleNames&gt;K&lt;/middleNames&gt;&lt;/author&gt;&lt;author&gt;&lt;lastName&gt;Zingman&lt;/lastName&gt;&lt;firstName&gt;Barry&lt;/firstName&gt;&lt;middleNames&gt;S&lt;/middleNames&gt;&lt;/author&gt;&lt;author&gt;&lt;lastName&gt;Kalil&lt;/lastName&gt;&lt;firstName&gt;Andre&lt;/firstName&gt;&lt;middleNames&gt;C&lt;/middleNames&gt;&lt;/author&gt;&lt;author&gt;&lt;lastName&gt;Hohmann&lt;/lastName&gt;&lt;firstName&gt;Elizabeth&lt;/firstName&gt;&lt;/author&gt;&lt;author&gt;&lt;lastName&gt;Chu&lt;/lastName&gt;&lt;firstName&gt;Helen&lt;/firstName&gt;&lt;middleNames&gt;Y&lt;/middleNames&gt;&lt;/author&gt;&lt;author&gt;&lt;lastName&gt;Luetkemeyer&lt;/lastName&gt;&lt;firstName&gt;Annie&lt;/firstName&gt;&lt;/author&gt;&lt;author&gt;&lt;lastName&gt;Kline&lt;/lastName&gt;&lt;firstName&gt;Susan&lt;/firstName&gt;&lt;/author&gt;&lt;author&gt;&lt;lastName&gt;Lopez de Castilla&lt;/lastName&gt;&lt;firstName&gt;Diego&lt;/firstName&gt;&lt;/author&gt;&lt;author&gt;&lt;lastName&gt;Finberg&lt;/lastName&gt;&lt;firstName&gt;Robert&lt;/firstName&gt;&lt;middleNames&gt;W&lt;/middleNames&gt;&lt;/author&gt;&lt;author&gt;&lt;lastName&gt;Dierberg&lt;/lastName&gt;&lt;firstName&gt;Kerry&lt;/firstName&gt;&lt;/author&gt;&lt;author&gt;&lt;lastName&gt;Tapson&lt;/lastName&gt;&lt;firstName&gt;Victor&lt;/firstName&gt;&lt;/author&gt;&lt;author&gt;&lt;lastName&gt;Hsieh&lt;/lastName&gt;&lt;firstName&gt;Lanny&lt;/firstName&gt;&lt;/author&gt;&lt;author&gt;&lt;lastName&gt;Patterson&lt;/lastName&gt;&lt;firstName&gt;Thomas&lt;/firstName&gt;&lt;middleNames&gt;F&lt;/middleNames&gt;&lt;/author&gt;&lt;author&gt;&lt;lastName&gt;Paredes&lt;/lastName&gt;&lt;firstName&gt;Roger&lt;/firstName&gt;&lt;/author&gt;&lt;author&gt;&lt;lastName&gt;Sweeney&lt;/lastName&gt;&lt;firstName&gt;Daniel&lt;/firstName&gt;&lt;middleNames&gt;A&lt;/middleNames&gt;&lt;/author&gt;&lt;author&gt;&lt;lastName&gt;Short&lt;/lastName&gt;&lt;firstName&gt;William&lt;/firstName&gt;&lt;middleNames&gt;R&lt;/middleNames&gt;&lt;/author&gt;&lt;author&gt;&lt;lastName&gt;Touloumi&lt;/lastName&gt;&lt;firstName&gt;Giota&lt;/firstName&gt;&lt;/author&gt;&lt;author&gt;&lt;lastName&gt;Lye&lt;/lastName&gt;&lt;firstName&gt;David&lt;/firstName&gt;&lt;middleNames&gt;Chien&lt;/middleNames&gt;&lt;/author&gt;&lt;author&gt;&lt;lastName&gt;Ohmagari&lt;/lastName&gt;&lt;firstName&gt;Norio&lt;/firstName&gt;&lt;/author&gt;&lt;author&gt;&lt;lastName&gt;Oh&lt;/lastName&gt;&lt;firstName&gt;Myoung-Don&lt;/firstName&gt;&lt;/author&gt;&lt;author&gt;&lt;lastName&gt;Ruiz-Palacios&lt;/lastName&gt;&lt;firstName&gt;Guillermo&lt;/firstName&gt;&lt;middleNames&gt;M&lt;/middleNames&gt;&lt;/author&gt;&lt;author&gt;&lt;lastName&gt;Benfield&lt;/lastName&gt;&lt;firstName&gt;Thomas&lt;/firstName&gt;&lt;/author&gt;&lt;author&gt;&lt;lastName&gt;Fätkenheuer&lt;/lastName&gt;&lt;firstName&gt;Gerd&lt;/firstName&gt;&lt;/author&gt;&lt;author&gt;&lt;lastName&gt;Kortepeter&lt;/lastName&gt;&lt;firstName&gt;Mark&lt;/firstName&gt;&lt;middleNames&gt;G&lt;/middleNames&gt;&lt;/author&gt;&lt;author&gt;&lt;lastName&gt;Atmar&lt;/lastName&gt;&lt;firstName&gt;Robert&lt;/firstName&gt;&lt;middleNames&gt;L&lt;/middleNames&gt;&lt;/author&gt;&lt;author&gt;&lt;lastName&gt;Creech&lt;/lastName&gt;&lt;firstName&gt;C&lt;/firstName&gt;&lt;middleNames&gt;Buddy&lt;/middleNames&gt;&lt;/author&gt;&lt;author&gt;&lt;lastName&gt;Lundgren&lt;/lastName&gt;&lt;firstName&gt;Jens&lt;/firstName&gt;&lt;/author&gt;&lt;author&gt;&lt;lastName&gt;Babiker&lt;/lastName&gt;&lt;firstName&gt;Abdel&lt;/firstName&gt;&lt;middleNames&gt;G&lt;/middleNames&gt;&lt;/author&gt;&lt;author&gt;&lt;lastName&gt;Pett&lt;/lastName&gt;&lt;firstName&gt;Sarah&lt;/firstName&gt;&lt;/author&gt;&lt;author&gt;&lt;lastName&gt;Neaton&lt;/lastName&gt;&lt;firstName&gt;James&lt;/firstName&gt;&lt;middleNames&gt;D&lt;/middleNames&gt;&lt;/author&gt;&lt;author&gt;&lt;lastName&gt;Burgess&lt;/lastName&gt;&lt;firstName&gt;Timothy&lt;/firstName&gt;&lt;middleNames&gt;H&lt;/middleNames&gt;&lt;/author&gt;&lt;author&gt;&lt;lastName&gt;Bonnett&lt;/lastName&gt;&lt;firstName&gt;Tyler&lt;/firstName&gt;&lt;/author&gt;&lt;author&gt;&lt;lastName&gt;Green&lt;/lastName&gt;&lt;firstName&gt;Michelle&lt;/firstName&gt;&lt;/author&gt;&lt;author&gt;&lt;lastName&gt;Makowski&lt;/lastName&gt;&lt;firstName&gt;Mat&lt;/firstName&gt;&lt;/author&gt;&lt;author&gt;&lt;lastName&gt;Osinusi&lt;/lastName&gt;&lt;firstName&gt;Anu&lt;/firstName&gt;&lt;/author&gt;&lt;author&gt;&lt;lastName&gt;Nayak&lt;/lastName&gt;&lt;firstName&gt;Seema&lt;/firstName&gt;&lt;/author&gt;&lt;author&gt;&lt;lastName&gt;Lane&lt;/lastName&gt;&lt;firstName&gt;H&lt;/firstName&gt;&lt;middleNames&gt;Clifford&lt;/middleNames&gt;&lt;/author&gt;&lt;author&gt;&lt;lastName&gt;ACTT-1 Study Group Members&lt;/lastName&gt;&lt;/author&gt;&lt;/authors&gt;&lt;/publication&gt;&lt;publication&gt;&lt;subtype&gt;400&lt;/subtype&gt;&lt;title&gt;Remdesivir plus standard of care versus standard of care alone for the treatment of patients admitted to hospital with COVID-19 (DisCoVeRy): a phase 3, randomised, controlled, open-label trial.&lt;/title&gt;&lt;url&gt;http://eutils.ncbi.nlm.nih.gov/entrez/eutils/elink.fcgi?dbfrom=pubmed&amp;amp;id=34534511&amp;amp;retmode=ref&amp;amp;cmd=prlinks&lt;/url&gt;&lt;revision_date&gt;99202107201200000000222000&lt;/revision_date&gt;&lt;publication_date&gt;99202109141200000000222000&lt;/publication_date&gt;&lt;uuid&gt;737E3EBC-4024-4B25-8539-8F24E561FB0F&lt;/uuid&gt;&lt;type&gt;400&lt;/type&gt;&lt;accepted_date&gt;99202108051200000000222000&lt;/accepted_date&gt;&lt;submission_date&gt;99202106111200000000222000&lt;/submission_date&gt;&lt;doi&gt;10.1016/S1473-3099(21)00485-0&lt;/doi&gt;&lt;institution&gt;Département des Maladies Infectieuses et Tropicales, Hôpital de la Croix-Rousse, Hospices Civils de Lyon, Lyon, France; Legiopath, Université Claude Bernard Lyon 1, CIRI, INSERM U1111, CNRS UMR5308, ENS Lyon, Lyon, France. Electronic address: florence.ader@chu-lyon.fr.&lt;/institution&gt;&lt;bundle&gt;&lt;publication&gt;&lt;title&gt;The Lancet Infectious diseases&lt;/title&gt;&lt;uuid&gt;F2C95AB3-4E1D-4FF6-B946-FBC4CF7535C7&lt;/uuid&gt;&lt;subtype&gt;-100&lt;/subtype&gt;&lt;type&gt;-100&lt;/type&gt;&lt;/publication&gt;&lt;/bundle&gt;&lt;authors&gt;&lt;author&gt;&lt;lastName&gt;Ader&lt;/lastName&gt;&lt;firstName&gt;Florence&lt;/firstName&gt;&lt;/author&gt;&lt;author&gt;&lt;lastName&gt;Bouscambert-Duchamp&lt;/lastName&gt;&lt;firstName&gt;Maude&lt;/firstName&gt;&lt;/author&gt;&lt;author&gt;&lt;lastName&gt;Hites&lt;/lastName&gt;&lt;firstName&gt;Maya&lt;/firstName&gt;&lt;/author&gt;&lt;author&gt;&lt;lastName&gt;Peiffer-Smadja&lt;/lastName&gt;&lt;firstName&gt;Nathan&lt;/firstName&gt;&lt;/author&gt;&lt;author&gt;&lt;lastName&gt;Poissy&lt;/lastName&gt;&lt;firstName&gt;Julien&lt;/firstName&gt;&lt;/author&gt;&lt;author&gt;&lt;lastName&gt;Belhadi&lt;/lastName&gt;&lt;firstName&gt;Drifa&lt;/firstName&gt;&lt;/author&gt;&lt;author&gt;&lt;lastName&gt;Diallo&lt;/lastName&gt;&lt;firstName&gt;Alpha&lt;/firstName&gt;&lt;/author&gt;&lt;author&gt;&lt;lastName&gt;Lê&lt;/lastName&gt;&lt;firstName&gt;Minh-Patrick&lt;/firstName&gt;&lt;/author&gt;&lt;author&gt;&lt;lastName&gt;Peytavin&lt;/lastName&gt;&lt;firstName&gt;Gilles&lt;/firstName&gt;&lt;/author&gt;&lt;author&gt;&lt;lastName&gt;Staub&lt;/lastName&gt;&lt;firstName&gt;Thérèse&lt;/firstName&gt;&lt;/author&gt;&lt;author&gt;&lt;lastName&gt;Greil&lt;/lastName&gt;&lt;firstName&gt;Richard&lt;/firstName&gt;&lt;/author&gt;&lt;author&gt;&lt;lastName&gt;Guedj&lt;/lastName&gt;&lt;firstName&gt;Jérémie&lt;/firstName&gt;&lt;/author&gt;&lt;author&gt;&lt;lastName&gt;Paiva&lt;/lastName&gt;&lt;firstName&gt;Jose-Artur&lt;/firstName&gt;&lt;/author&gt;&lt;author&gt;&lt;lastName&gt;Costagliola&lt;/lastName&gt;&lt;firstName&gt;Dominique&lt;/firstName&gt;&lt;/author&gt;&lt;author&gt;&lt;lastName&gt;Yazdanpanah&lt;/lastName&gt;&lt;firstName&gt;Yazdan&lt;/firstName&gt;&lt;/author&gt;&lt;author&gt;&lt;lastName&gt;Burdet&lt;/lastName&gt;&lt;firstName&gt;Charles&lt;/firstName&gt;&lt;/author&gt;&lt;author&gt;&lt;lastName&gt;Mentré&lt;/lastName&gt;&lt;firstName&gt;France&lt;/firstName&gt;&lt;/author&gt;&lt;author&gt;&lt;lastName&gt;DisCoVeRy Study Group&lt;/lastName&gt;&lt;/author&gt;&lt;/authors&gt;&lt;/publication&gt;&lt;/publications&gt;&lt;cites&gt;&lt;/cites&gt;&lt;/citation&gt;</w:instrText>
      </w:r>
      <w:r w:rsidR="00AD5E57">
        <w:rPr>
          <w:rFonts w:ascii="Calibri" w:hAnsi="Calibri" w:cs="Calibri"/>
          <w:color w:val="auto"/>
          <w:lang w:val="en-GB"/>
        </w:rPr>
        <w:fldChar w:fldCharType="separate"/>
      </w:r>
      <w:r w:rsidR="00AD5E57">
        <w:rPr>
          <w:rFonts w:ascii="Calibri" w:hAnsi="Calibri" w:cs="Calibri"/>
          <w:color w:val="auto"/>
          <w:vertAlign w:val="superscript"/>
          <w:lang w:val="en-GB"/>
        </w:rPr>
        <w:t>2-4</w:t>
      </w:r>
      <w:r w:rsidR="00AD5E57">
        <w:rPr>
          <w:rFonts w:ascii="Calibri" w:hAnsi="Calibri" w:cs="Calibri"/>
          <w:color w:val="auto"/>
          <w:lang w:val="en-GB"/>
        </w:rPr>
        <w:fldChar w:fldCharType="end"/>
      </w:r>
      <w:r>
        <w:t xml:space="preserve"> </w:t>
      </w:r>
    </w:p>
    <w:p w14:paraId="71C773A0" w14:textId="1F0993CA" w:rsidR="004D77CD" w:rsidRDefault="0066733A" w:rsidP="00D27555">
      <w:pPr>
        <w:textAlignment w:val="baseline"/>
      </w:pPr>
      <w:r>
        <w:t xml:space="preserve">Treatment of </w:t>
      </w:r>
      <w:r w:rsidR="002D0AA5">
        <w:t xml:space="preserve">‘high risk’ patients with remdesivir early </w:t>
      </w:r>
      <w:r w:rsidR="00FD30AA">
        <w:t xml:space="preserve">in </w:t>
      </w:r>
      <w:r w:rsidR="002D0AA5">
        <w:t xml:space="preserve">COVID-19 </w:t>
      </w:r>
      <w:r w:rsidR="00FD30AA">
        <w:t xml:space="preserve">illness </w:t>
      </w:r>
      <w:r w:rsidR="002D0AA5">
        <w:t xml:space="preserve">was evaluated by the </w:t>
      </w:r>
      <w:r w:rsidR="002612D8">
        <w:t xml:space="preserve">Gilead-sponsored </w:t>
      </w:r>
      <w:hyperlink r:id="rId16" w:history="1">
        <w:r w:rsidR="002D0AA5" w:rsidRPr="004D77CD">
          <w:rPr>
            <w:rStyle w:val="Hyperlink"/>
          </w:rPr>
          <w:t>PINETREE study</w:t>
        </w:r>
      </w:hyperlink>
      <w:r w:rsidR="002D0AA5">
        <w:t>.</w:t>
      </w:r>
      <w:r w:rsidR="00AD5E57">
        <w:rPr>
          <w:rFonts w:ascii="Calibri" w:hAnsi="Calibri" w:cs="Calibri"/>
          <w:color w:val="auto"/>
          <w:lang w:val="en-GB"/>
        </w:rPr>
        <w:fldChar w:fldCharType="begin"/>
      </w:r>
      <w:r w:rsidR="001B68DB">
        <w:rPr>
          <w:rFonts w:ascii="Calibri" w:hAnsi="Calibri" w:cs="Calibri"/>
          <w:color w:val="auto"/>
          <w:lang w:val="en-GB"/>
        </w:rPr>
        <w:instrText xml:space="preserve"> ADDIN PAPERS2_CITATIONS &lt;citation&gt;&lt;priority&gt;2&lt;/priority&gt;&lt;uuid&gt;FE70516B-1F1F-4B7A-9006-C4AAF2159E70&lt;/uuid&gt;&lt;publications&gt;&lt;publication&gt;&lt;subtype&gt;400&lt;/subtype&gt;&lt;publisher&gt;Massachusetts Medical Society&lt;/publisher&gt;&lt;title&gt;Early Remdesivir to Prevent Progression to Severe Covid-19 in Outpatients.&lt;/title&gt;&lt;url&gt;https://www.nejm.org/doi/10.1056/NEJMoa2116846&lt;/url&gt;&lt;publication_date&gt;99202112221200000000222000&lt;/publication_date&gt;&lt;uuid&gt;0F915BAD-6BDE-436C-9725-C68C49BEE3B3&lt;/uuid&gt;&lt;type&gt;400&lt;/type&gt;&lt;doi&gt;10.1056/NEJMoa2116846&lt;/doi&gt;&lt;institution&gt;From Baylor University Medical Center and Baylor Scott and White Research Institute, Dallas (R.L.G.), and Care United Research, Forney (S.M.) - all in Texas; the Nuren Medical and Research Center, Miami (C.E.V.), Evolution Clinical Trials, Hialeah Gardens (G.P.), the Midland Florida Clinical Research Center, DeLand (G.O.), Luminous Clinical Research-South Florida Urgent Care, Pembroke Pines (A.H.), and Triple O Research Institute Professional Association, West Palm Beach (O.O.) - all in Florida; Hospital Universitari Germans Trias i Pujol and IrsiCaixa AIDS Research Institute, Barcelona (R.P.), and Hospital Universitario Infanta Leonor and Gregorio Marañón Health Research Institute, Madrid (P.R.) - all in Spain; the Cherokee Nation Outpatient Health Center, Tahlequah, OK (J.M.); Intermountain Healthcare (B.J.W., S.M.B.) and the University of Utah School of Medicine (S.M.B.) - both in Murray; Copenhagen University Hospital-Rigshospitalet, Copenhagen (B.U.N.); University College London Hospitals NHS Foundation Trust and the London School of Hygiene and Tropical Medicine - both in London (M.B.); the Institute of Liver Health, Mesa, AZ (Y.S.); Kaiser Permanente, Oakland (J.S.), and Gilead Sciences, Foster City (K.J., R.H.H., A.O., S.C., G.C., M.A., S.D., N.B.-R., F.D.) - both in California; Brigham and Women's Hospital and Harvard Medical School - both in Boston (F.M.M.); Johns Hopkins University School of Medicine, Baltimore (M.J.K.); the University of Colorado School of Medicine, Aurora (A.A.G.); and the Fred Hutchinson Cancer Research Center and the University of Washington School of Medicine - both in Seattle (J.T.S., J.A.H.).&lt;/institution&gt;&lt;bundle&gt;&lt;publication&gt;&lt;title&gt;The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Gottlieb&lt;/lastName&gt;&lt;firstName&gt;Robert&lt;/firstName&gt;&lt;middleNames&gt;L&lt;/middleNames&gt;&lt;/author&gt;&lt;author&gt;&lt;lastName&gt;Vaca&lt;/lastName&gt;&lt;firstName&gt;Carlos&lt;/firstName&gt;&lt;middleNames&gt;E&lt;/middleNames&gt;&lt;/author&gt;&lt;author&gt;&lt;lastName&gt;Paredes&lt;/lastName&gt;&lt;firstName&gt;Roger&lt;/firstName&gt;&lt;/author&gt;&lt;author&gt;&lt;lastName&gt;Mera&lt;/lastName&gt;&lt;firstName&gt;Jorge&lt;/firstName&gt;&lt;/author&gt;&lt;author&gt;&lt;lastName&gt;Webb&lt;/lastName&gt;&lt;firstName&gt;Brandon&lt;/firstName&gt;&lt;middleNames&gt;J&lt;/middleNames&gt;&lt;/author&gt;&lt;author&gt;&lt;lastName&gt;Perez&lt;/lastName&gt;&lt;firstName&gt;Gilberto&lt;/firstName&gt;&lt;/author&gt;&lt;author&gt;&lt;lastName&gt;Oguchi&lt;/lastName&gt;&lt;firstName&gt;Godson&lt;/firstName&gt;&lt;/author&gt;&lt;author&gt;&lt;lastName&gt;Ryan&lt;/lastName&gt;&lt;firstName&gt;Pablo&lt;/firstName&gt;&lt;/author&gt;&lt;author&gt;&lt;lastName&gt;Nielsen&lt;/lastName&gt;&lt;firstName&gt;Bibi&lt;/firstName&gt;&lt;middleNames&gt;U&lt;/middleNames&gt;&lt;/author&gt;&lt;author&gt;&lt;lastName&gt;Brown&lt;/lastName&gt;&lt;firstName&gt;Michael&lt;/firstName&gt;&lt;/author&gt;&lt;author&gt;&lt;lastName&gt;Hidalgo&lt;/lastName&gt;&lt;firstName&gt;Ausberto&lt;/firstName&gt;&lt;/author&gt;&lt;author&gt;&lt;lastName&gt;Sachdeva&lt;/lastName&gt;&lt;firstName&gt;Yessica&lt;/firstName&gt;&lt;/author&gt;&lt;author&gt;&lt;lastName&gt;Mittal&lt;/lastName&gt;&lt;firstName&gt;Shilpi&lt;/firstName&gt;&lt;/author&gt;&lt;author&gt;&lt;lastName&gt;Osiyemi&lt;/lastName&gt;&lt;firstName&gt;Olayemi&lt;/firstName&gt;&lt;/author&gt;&lt;author&gt;&lt;lastName&gt;Skarbinski&lt;/lastName&gt;&lt;firstName&gt;Jacek&lt;/firstName&gt;&lt;/author&gt;&lt;author&gt;&lt;lastName&gt;Juneja&lt;/lastName&gt;&lt;firstName&gt;Kavita&lt;/firstName&gt;&lt;/author&gt;&lt;author&gt;&lt;lastName&gt;Hyland&lt;/lastName&gt;&lt;firstName&gt;Robert&lt;/firstName&gt;&lt;middleNames&gt;H&lt;/middleNames&gt;&lt;/author&gt;&lt;author&gt;&lt;lastName&gt;Osinusi&lt;/lastName&gt;&lt;firstName&gt;Anu&lt;/firstName&gt;&lt;/author&gt;&lt;author&gt;&lt;lastName&gt;Chen&lt;/lastName&gt;&lt;firstName&gt;Shuguang&lt;/firstName&gt;&lt;/author&gt;&lt;author&gt;&lt;lastName&gt;Camus&lt;/lastName&gt;&lt;firstName&gt;Gregory&lt;/firstName&gt;&lt;/author&gt;&lt;author&gt;&lt;lastName&gt;Abdelghany&lt;/lastName&gt;&lt;firstName&gt;Mazin&lt;/firstName&gt;&lt;/author&gt;&lt;author&gt;&lt;lastName&gt;Davies&lt;/lastName&gt;&lt;firstName&gt;Santosh&lt;/firstName&gt;&lt;/author&gt;&lt;author&gt;&lt;lastName&gt;Behenna-Renton&lt;/lastName&gt;&lt;firstName&gt;Nicole&lt;/firstName&gt;&lt;/author&gt;&lt;author&gt;&lt;lastName&gt;Duff&lt;/lastName&gt;&lt;firstName&gt;Frank&lt;/firstName&gt;&lt;/author&gt;&lt;author&gt;&lt;lastName&gt;Marty&lt;/lastName&gt;&lt;firstName&gt;Francisco&lt;/firstName&gt;&lt;middleNames&gt;M&lt;/middleNames&gt;&lt;/author&gt;&lt;author&gt;&lt;lastName&gt;Katz&lt;/lastName&gt;&lt;firstName&gt;Morgan&lt;/firstName&gt;&lt;middleNames&gt;J&lt;/middleNames&gt;&lt;/author&gt;&lt;author&gt;&lt;lastName&gt;Ginde&lt;/lastName&gt;&lt;firstName&gt;Adit&lt;/firstName&gt;&lt;middleNames&gt;A&lt;/middleNames&gt;&lt;/author&gt;&lt;author&gt;&lt;lastName&gt;Brown&lt;/lastName&gt;&lt;firstName&gt;Samuel&lt;/firstName&gt;&lt;middleNames&gt;M&lt;/middleNames&gt;&lt;/author&gt;&lt;author&gt;&lt;lastName&gt;Schiffer&lt;/lastName&gt;&lt;firstName&gt;Joshua&lt;/firstName&gt;&lt;middleNames&gt;T&lt;/middleNames&gt;&lt;/author&gt;&lt;author&gt;&lt;lastName&gt;Hill&lt;/lastName&gt;&lt;firstName&gt;Joshua&lt;/firstName&gt;&lt;middleNames&gt;A&lt;/middleNames&gt;&lt;/author&gt;&lt;author&gt;&lt;lastName&gt;GS-US-540-9012 (PINETREE) Investigators&lt;/lastName&gt;&lt;/author&gt;&lt;/authors&gt;&lt;/publication&gt;&lt;/publications&gt;&lt;cites&gt;&lt;/cites&gt;&lt;/citation&gt;</w:instrText>
      </w:r>
      <w:r w:rsidR="00AD5E57">
        <w:rPr>
          <w:rFonts w:ascii="Calibri" w:hAnsi="Calibri" w:cs="Calibri"/>
          <w:color w:val="auto"/>
          <w:lang w:val="en-GB"/>
        </w:rPr>
        <w:fldChar w:fldCharType="separate"/>
      </w:r>
      <w:r w:rsidR="00AD5E57">
        <w:rPr>
          <w:rFonts w:ascii="Calibri" w:hAnsi="Calibri" w:cs="Calibri"/>
          <w:color w:val="auto"/>
          <w:vertAlign w:val="superscript"/>
          <w:lang w:val="en-GB"/>
        </w:rPr>
        <w:t>1</w:t>
      </w:r>
      <w:r w:rsidR="00AD5E57">
        <w:rPr>
          <w:rFonts w:ascii="Calibri" w:hAnsi="Calibri" w:cs="Calibri"/>
          <w:color w:val="auto"/>
          <w:lang w:val="en-GB"/>
        </w:rPr>
        <w:fldChar w:fldCharType="end"/>
      </w:r>
      <w:r w:rsidR="002D0AA5">
        <w:t xml:space="preserve"> In this trial, </w:t>
      </w:r>
      <w:r w:rsidR="002612D8">
        <w:t xml:space="preserve">562 </w:t>
      </w:r>
      <w:r w:rsidR="002D0AA5">
        <w:t xml:space="preserve">unvaccinated outpatients in the first 7 days of symptomatic COVID-19 illness were randomised to either a three-day course of </w:t>
      </w:r>
      <w:r w:rsidR="00220EA6">
        <w:t xml:space="preserve">intravenous </w:t>
      </w:r>
      <w:proofErr w:type="spellStart"/>
      <w:r w:rsidR="002D0AA5">
        <w:t>remdesivir</w:t>
      </w:r>
      <w:proofErr w:type="spellEnd"/>
      <w:r w:rsidR="002D0AA5">
        <w:t xml:space="preserve"> or placebo. </w:t>
      </w:r>
      <w:r w:rsidR="004D77CD">
        <w:t>The definition of ‘high risk’ included age over 60 OR any single risk factor for severe disease (</w:t>
      </w:r>
      <w:proofErr w:type="gramStart"/>
      <w:r w:rsidR="004D77CD">
        <w:t>e.g.</w:t>
      </w:r>
      <w:proofErr w:type="gramEnd"/>
      <w:r w:rsidR="004D77CD">
        <w:t xml:space="preserve"> hypertension). </w:t>
      </w:r>
      <w:r w:rsidR="002612D8">
        <w:t xml:space="preserve">These patients were recruited from September 2020 to April 2021, which preceded widespread circulation of the Delta or </w:t>
      </w:r>
      <w:r w:rsidR="00C409F0">
        <w:t>Omicron</w:t>
      </w:r>
      <w:r w:rsidR="002612D8">
        <w:t xml:space="preserve"> variants of concern. The primary outcome was ‘COVID-19 associated hospitalisation or death’. Patients treated with remdesivir had a hospitalisation rate of </w:t>
      </w:r>
      <w:r w:rsidR="00170012">
        <w:t>0.7</w:t>
      </w:r>
      <w:r w:rsidR="002612D8">
        <w:t xml:space="preserve">%, compared with </w:t>
      </w:r>
      <w:r w:rsidR="00170012">
        <w:t>5.3</w:t>
      </w:r>
      <w:r w:rsidR="002612D8">
        <w:t>% in the placebo group (</w:t>
      </w:r>
      <w:r w:rsidR="00170012">
        <w:t xml:space="preserve">HR 0.13, 95% CI 0.03 to 0.59, p=0.008). There were no deaths in either group. The number </w:t>
      </w:r>
      <w:r w:rsidR="00C2648F">
        <w:t xml:space="preserve">of patients </w:t>
      </w:r>
      <w:r w:rsidR="00170012">
        <w:t>need</w:t>
      </w:r>
      <w:r w:rsidR="00C2648F">
        <w:t>ing treatment (NNT)</w:t>
      </w:r>
      <w:r w:rsidR="00170012">
        <w:t xml:space="preserve"> to prevent one hospitalisation was 22. </w:t>
      </w:r>
      <w:r w:rsidR="008A35C8">
        <w:t>The strength of evidence for remdesivir in early illness has been assessed as ‘moderate’</w:t>
      </w:r>
      <w:r w:rsidR="000F3D4C">
        <w:t xml:space="preserve"> (grade </w:t>
      </w:r>
      <w:proofErr w:type="spellStart"/>
      <w:r w:rsidR="000F3D4C">
        <w:t>BIIa</w:t>
      </w:r>
      <w:proofErr w:type="spellEnd"/>
      <w:r w:rsidR="000F3D4C">
        <w:t xml:space="preserve">) </w:t>
      </w:r>
      <w:r w:rsidR="008A35C8">
        <w:t xml:space="preserve">by the </w:t>
      </w:r>
      <w:r w:rsidR="00700565">
        <w:t xml:space="preserve">US </w:t>
      </w:r>
      <w:r w:rsidR="008A35C8">
        <w:t xml:space="preserve">NIH and </w:t>
      </w:r>
      <w:r w:rsidR="00700565">
        <w:t xml:space="preserve">UK </w:t>
      </w:r>
      <w:r w:rsidR="008A35C8">
        <w:t xml:space="preserve">NICE COVID-19 treatment guideline panels </w:t>
      </w:r>
      <w:r w:rsidR="008A35C8" w:rsidRPr="00D27018">
        <w:t>(</w:t>
      </w:r>
      <w:hyperlink r:id="rId17" w:history="1">
        <w:r w:rsidR="007F3A48" w:rsidRPr="00D27018">
          <w:rPr>
            <w:rStyle w:val="Hyperlink"/>
          </w:rPr>
          <w:t>NICE COVID-19 guidance</w:t>
        </w:r>
      </w:hyperlink>
      <w:r w:rsidR="007F3A48" w:rsidRPr="00D27018">
        <w:t>;</w:t>
      </w:r>
      <w:r w:rsidR="00D27018" w:rsidRPr="00D27018">
        <w:t xml:space="preserve"> </w:t>
      </w:r>
      <w:hyperlink r:id="rId18" w:history="1">
        <w:r w:rsidR="00D27018" w:rsidRPr="00D27018">
          <w:rPr>
            <w:rStyle w:val="Hyperlink"/>
          </w:rPr>
          <w:t>NIH COVID-19 Treatment Guidelines</w:t>
        </w:r>
      </w:hyperlink>
      <w:r w:rsidR="008A35C8" w:rsidRPr="00D27018">
        <w:t>)</w:t>
      </w:r>
      <w:r w:rsidR="008A35C8">
        <w:t>.</w:t>
      </w:r>
    </w:p>
    <w:p w14:paraId="6AC30039" w14:textId="4706EF4F" w:rsidR="004D77CD" w:rsidRDefault="004D77CD" w:rsidP="00D27555">
      <w:pPr>
        <w:textAlignment w:val="baseline"/>
      </w:pPr>
      <w:r>
        <w:t xml:space="preserve">While there have been no subsequent trials evaluating contemporary outpatient use of remdesivir, the results of the PINETREE study broadly align with other trials </w:t>
      </w:r>
      <w:r w:rsidR="004F2064">
        <w:t xml:space="preserve">of </w:t>
      </w:r>
      <w:r>
        <w:t>antiviral therapy for early treatment of ‘high risk’ outpatients (</w:t>
      </w:r>
      <w:proofErr w:type="spellStart"/>
      <w:r>
        <w:t>molnupiravir</w:t>
      </w:r>
      <w:proofErr w:type="spellEnd"/>
      <w:r>
        <w:t xml:space="preserve"> and </w:t>
      </w:r>
      <w:proofErr w:type="spellStart"/>
      <w:r>
        <w:t>nirmatrelvir</w:t>
      </w:r>
      <w:proofErr w:type="spellEnd"/>
      <w:r>
        <w:t>/ritonavir</w:t>
      </w:r>
      <w:r w:rsidR="00521F79">
        <w:t xml:space="preserve"> respectively</w:t>
      </w:r>
      <w:r>
        <w:t>).</w:t>
      </w:r>
      <w:r w:rsidR="00AD5E57">
        <w:rPr>
          <w:rFonts w:ascii="Calibri" w:hAnsi="Calibri" w:cs="Calibri"/>
          <w:color w:val="auto"/>
          <w:lang w:val="en-GB"/>
        </w:rPr>
        <w:fldChar w:fldCharType="begin"/>
      </w:r>
      <w:r w:rsidR="001B68DB">
        <w:rPr>
          <w:rFonts w:ascii="Calibri" w:hAnsi="Calibri" w:cs="Calibri"/>
          <w:color w:val="auto"/>
          <w:lang w:val="en-GB"/>
        </w:rPr>
        <w:instrText xml:space="preserve"> ADDIN PAPERS2_CITATIONS &lt;citation&gt;&lt;priority&gt;3&lt;/priority&gt;&lt;uuid&gt;C97A45BC-9222-45DF-B08C-98FD56E164AF&lt;/uuid&gt;&lt;publications&gt;&lt;publication&gt;&lt;subtype&gt;400&lt;/subtype&gt;&lt;publisher&gt;Massachusetts Medical Society&lt;/publisher&gt;&lt;title&gt;Molnupiravir for Oral Treatment of Covid-19 in Nonhospitalized Patients.&lt;/title&gt;&lt;url&gt;https://www.nejm.org/doi/10.1056/NEJMoa2116044&lt;/url&gt;&lt;publication_date&gt;99202112161200000000222000&lt;/publication_date&gt;&lt;uuid&gt;4FF1195F-DA51-461A-A0F7-1548FB0BD1D4&lt;/uuid&gt;&lt;type&gt;400&lt;/type&gt;&lt;doi&gt;10.1056/NEJMoa2116044&lt;/doi&gt;&lt;institution&gt;From IMAT Oncomédica, Monteria, Colombia (A.J.B.); the Department of Public Health, Hospital de Clínicas, Federal University of Paraná, Curitiba, Brazil (M.M.G.S.); Jongaie Research, Pretoria, South Africa (D.B.M.); Medical Research Institute, St. Petersburg, Russia (E.K.); Advanced Research for Health Improvement, Immokalee, FL (A.G.); Lung Center of the Philippines, Quezon City, Philippines (V.D.R.); Hospital Universitario La Paz, IdiPAZ, Madrid (A.M.-Q.); Clinical Pharmacology Unit, Hadassah-Hebrew University Medical Center, Jerusalem (Y.C.); and Merck, Kenilworth, NJ (A.W.-D., M.L.B., J.D., A. Pedley, C.A., J.S., J.A.G., H.H.S., R.T., H.W., A. Paschke, J.R.B., M.G.J., C.D.A.).&lt;/institution&gt;&lt;bundle&gt;&lt;publication&gt;&lt;title&gt;The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Society&lt;/publisher&gt;&lt;type&gt;-100&lt;/type&gt;&lt;/publication&gt;&lt;/bundle&gt;&lt;authors&gt;&lt;author&gt;&lt;lastName&gt;Jayk Bernal&lt;/lastName&gt;&lt;firstName&gt;Angélica&lt;/firstName&gt;&lt;/author&gt;&lt;author&gt;&lt;lastName&gt;Gomes da Silva&lt;/lastName&gt;&lt;firstName&gt;Monica&lt;/firstName&gt;&lt;middleNames&gt;M&lt;/middleNames&gt;&lt;/author&gt;&lt;author&gt;&lt;lastName&gt;Musungaie&lt;/lastName&gt;&lt;firstName&gt;Dany&lt;/firstName&gt;&lt;middleNames&gt;B&lt;/middleNames&gt;&lt;/author&gt;&lt;author&gt;&lt;lastName&gt;Kovalchuk&lt;/lastName&gt;&lt;firstName&gt;Evgeniy&lt;/firstName&gt;&lt;/author&gt;&lt;author&gt;&lt;lastName&gt;Gonzalez&lt;/lastName&gt;&lt;firstName&gt;Antonio&lt;/firstName&gt;&lt;/author&gt;&lt;author&gt;&lt;lastName&gt;Delos Reyes&lt;/lastName&gt;&lt;firstName&gt;Virginia&lt;/firstName&gt;&lt;/author&gt;&lt;author&gt;&lt;lastName&gt;Martín-Quirós&lt;/lastName&gt;&lt;firstName&gt;Alejandro&lt;/firstName&gt;&lt;/author&gt;&lt;author&gt;&lt;lastName&gt;Caraco&lt;/lastName&gt;&lt;firstName&gt;Yoseph&lt;/firstName&gt;&lt;/author&gt;&lt;author&gt;&lt;lastName&gt;Williams-Diaz&lt;/lastName&gt;&lt;firstName&gt;Angela&lt;/firstName&gt;&lt;/author&gt;&lt;author&gt;&lt;lastName&gt;Brown&lt;/lastName&gt;&lt;firstName&gt;Michelle&lt;/firstName&gt;&lt;middleNames&gt;L&lt;/middleNames&gt;&lt;/author&gt;&lt;author&gt;&lt;lastName&gt;Du&lt;/lastName&gt;&lt;firstName&gt;Jiejun&lt;/firstName&gt;&lt;/author&gt;&lt;author&gt;&lt;lastName&gt;Pedley&lt;/lastName&gt;&lt;firstName&gt;Alison&lt;/firstName&gt;&lt;/author&gt;&lt;author&gt;&lt;lastName&gt;Assaid&lt;/lastName&gt;&lt;firstName&gt;Christopher&lt;/firstName&gt;&lt;/author&gt;&lt;author&gt;&lt;lastName&gt;Strizki&lt;/lastName&gt;&lt;firstName&gt;Julie&lt;/firstName&gt;&lt;/author&gt;&lt;author&gt;&lt;lastName&gt;Grobler&lt;/lastName&gt;&lt;firstName&gt;Jay&lt;/firstName&gt;&lt;middleNames&gt;A&lt;/middleNames&gt;&lt;/author&gt;&lt;author&gt;&lt;lastName&gt;Shamsuddin&lt;/lastName&gt;&lt;firstName&gt;Hala&lt;/firstName&gt;&lt;middleNames&gt;H&lt;/middleNames&gt;&lt;/author&gt;&lt;author&gt;&lt;lastName&gt;Tipping&lt;/lastName&gt;&lt;firstName&gt;Robert&lt;/firstName&gt;&lt;/author&gt;&lt;author&gt;&lt;lastName&gt;Wan&lt;/lastName&gt;&lt;firstName&gt;Hong&lt;/firstName&gt;&lt;/author&gt;&lt;author&gt;&lt;lastName&gt;Paschke&lt;/lastName&gt;&lt;firstName&gt;Amanda&lt;/firstName&gt;&lt;/author&gt;&lt;author&gt;&lt;lastName&gt;Butterton&lt;/lastName&gt;&lt;firstName&gt;Joan&lt;/firstName&gt;&lt;middleNames&gt;R&lt;/middleNames&gt;&lt;/author&gt;&lt;author&gt;&lt;lastName&gt;Johnson&lt;/lastName&gt;&lt;firstName&gt;Matthew&lt;/firstName&gt;&lt;middleNames&gt;G&lt;/middleNames&gt;&lt;/author&gt;&lt;author&gt;&lt;lastName&gt;Anda&lt;/lastName&gt;&lt;nonDroppingParticle&gt;De&lt;/nonDroppingParticle&gt;&lt;firstName&gt;Carisa&lt;/firstName&gt;&lt;/author&gt;&lt;author&gt;&lt;lastName&gt;MOVe-OUT Study Group&lt;/lastName&gt;&lt;/author&gt;&lt;/authors&gt;&lt;/publication&gt;&lt;publication&gt;&lt;subtype&gt;400&lt;/subtype&gt;&lt;publisher&gt;Massachusetts Medical Society&lt;/publisher&gt;&lt;title&gt;Oral Nirmatrelvir for High-Risk, Nonhospitalized Adults with Covid-19.&lt;/title&gt;&lt;url&gt;https://www.nejm.org/doi/10.1056/NEJMoa2118542&lt;/url&gt;&lt;publication_date&gt;99202202161200000000222000&lt;/publication_date&gt;&lt;uuid&gt;FBDBBDEC-88A6-4A57-A548-CCD485D6EA26&lt;/uuid&gt;&lt;type&gt;400&lt;/type&gt;&lt;doi&gt;10.1056/NEJMoa2118542&lt;/doi&gt;&lt;institution&gt;From Global Product Development, Pfizer, Collegeville, PA (J.H., H.L.-T.); Global Product Development (A.G.) and Early Clinical Development (M.L.B.), Pfizer, Cambridge, MA; Global Product Development, Pfizer, New York (P.A., W.B., B.D., R.P.); Global Product Development, Pfizer, Lake Forest, IL (W.W.); Medical and Safety, Pfizer, Sandwich, United Kingdom (V.M.H.); Köhler and Milstein Research, Mérida, Yucatan, Mexico (A.S.-C.); and Global Product Development, Pfizer, Tampa, FL (J.M.R.).&lt;/institution&gt;&lt;bundle&gt;&lt;publication&gt;&lt;title&gt;The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Hammond&lt;/lastName&gt;&lt;firstName&gt;Jennifer&lt;/firstName&gt;&lt;/author&gt;&lt;author&gt;&lt;lastName&gt;Leister-Tebbe&lt;/lastName&gt;&lt;firstName&gt;Heidi&lt;/firstName&gt;&lt;/author&gt;&lt;author&gt;&lt;lastName&gt;Gardner&lt;/lastName&gt;&lt;firstName&gt;Annie&lt;/firstName&gt;&lt;/author&gt;&lt;author&gt;&lt;lastName&gt;Abreu&lt;/lastName&gt;&lt;firstName&gt;Paula&lt;/firstName&gt;&lt;/author&gt;&lt;author&gt;&lt;lastName&gt;Bao&lt;/lastName&gt;&lt;firstName&gt;Weihang&lt;/firstName&gt;&lt;/author&gt;&lt;author&gt;&lt;lastName&gt;Wisemandle&lt;/lastName&gt;&lt;firstName&gt;Wayne&lt;/firstName&gt;&lt;/author&gt;&lt;author&gt;&lt;lastName&gt;Baniecki&lt;/lastName&gt;&lt;firstName&gt;MaryLynn&lt;/firstName&gt;&lt;/author&gt;&lt;author&gt;&lt;lastName&gt;Hendrick&lt;/lastName&gt;&lt;firstName&gt;Victoria&lt;/firstName&gt;&lt;middleNames&gt;M&lt;/middleNames&gt;&lt;/author&gt;&lt;author&gt;&lt;lastName&gt;Damle&lt;/lastName&gt;&lt;firstName&gt;Bharat&lt;/firstName&gt;&lt;/author&gt;&lt;author&gt;&lt;lastName&gt;Simón-Campos&lt;/lastName&gt;&lt;firstName&gt;Abraham&lt;/firstName&gt;&lt;/author&gt;&lt;author&gt;&lt;lastName&gt;Pypstra&lt;/lastName&gt;&lt;firstName&gt;Rienk&lt;/firstName&gt;&lt;/author&gt;&lt;author&gt;&lt;lastName&gt;Rusnak&lt;/lastName&gt;&lt;firstName&gt;James&lt;/firstName&gt;&lt;middleNames&gt;M&lt;/middleNames&gt;&lt;/author&gt;&lt;author&gt;&lt;lastName&gt;EPIC-HR Investigators&lt;/lastName&gt;&lt;/author&gt;&lt;/authors&gt;&lt;/publication&gt;&lt;/publications&gt;&lt;cites&gt;&lt;/cites&gt;&lt;/citation&gt;</w:instrText>
      </w:r>
      <w:r w:rsidR="00AD5E57">
        <w:rPr>
          <w:rFonts w:ascii="Calibri" w:hAnsi="Calibri" w:cs="Calibri"/>
          <w:color w:val="auto"/>
          <w:lang w:val="en-GB"/>
        </w:rPr>
        <w:fldChar w:fldCharType="separate"/>
      </w:r>
      <w:r w:rsidR="00AD5E57">
        <w:rPr>
          <w:rFonts w:ascii="Calibri" w:hAnsi="Calibri" w:cs="Calibri"/>
          <w:color w:val="auto"/>
          <w:vertAlign w:val="superscript"/>
          <w:lang w:val="en-GB"/>
        </w:rPr>
        <w:t>5,6</w:t>
      </w:r>
      <w:r w:rsidR="00AD5E57">
        <w:rPr>
          <w:rFonts w:ascii="Calibri" w:hAnsi="Calibri" w:cs="Calibri"/>
          <w:color w:val="auto"/>
          <w:lang w:val="en-GB"/>
        </w:rPr>
        <w:fldChar w:fldCharType="end"/>
      </w:r>
      <w:r>
        <w:t xml:space="preserve"> </w:t>
      </w:r>
    </w:p>
    <w:p w14:paraId="0C23CD20" w14:textId="3B499D04" w:rsidR="00624EBE" w:rsidRPr="00346565" w:rsidRDefault="008060CF" w:rsidP="00E01719">
      <w:pPr>
        <w:textAlignment w:val="baseline"/>
      </w:pPr>
      <w:r w:rsidRPr="00346565">
        <w:t>However, there</w:t>
      </w:r>
      <w:r w:rsidR="004D77CD" w:rsidRPr="00346565">
        <w:t xml:space="preserve"> </w:t>
      </w:r>
      <w:r w:rsidR="008A35C8">
        <w:t>are important limitations on the applicability of these trials</w:t>
      </w:r>
      <w:r w:rsidR="00C2648F">
        <w:t xml:space="preserve">. </w:t>
      </w:r>
      <w:r w:rsidR="008A35C8">
        <w:t>There are</w:t>
      </w:r>
      <w:r w:rsidR="004D77CD" w:rsidRPr="00346565">
        <w:t xml:space="preserve"> </w:t>
      </w:r>
      <w:r w:rsidR="008A35C8">
        <w:t>no</w:t>
      </w:r>
      <w:r w:rsidR="004D77CD" w:rsidRPr="00346565">
        <w:t xml:space="preserve"> </w:t>
      </w:r>
      <w:r w:rsidR="008A35C8">
        <w:t>data</w:t>
      </w:r>
      <w:r w:rsidR="004D77CD" w:rsidRPr="00346565">
        <w:t xml:space="preserve"> to inform the </w:t>
      </w:r>
      <w:r w:rsidR="008A35C8">
        <w:t>benefit</w:t>
      </w:r>
      <w:r w:rsidR="004D77CD" w:rsidRPr="00346565">
        <w:t xml:space="preserve"> of outpatient antiviral treatment</w:t>
      </w:r>
      <w:r w:rsidR="008A35C8">
        <w:t xml:space="preserve"> for</w:t>
      </w:r>
      <w:r w:rsidR="00E01719">
        <w:t xml:space="preserve">: a) </w:t>
      </w:r>
      <w:r w:rsidR="006D32A1">
        <w:t>v</w:t>
      </w:r>
      <w:r w:rsidR="004D77CD" w:rsidRPr="00346565">
        <w:t>accinated</w:t>
      </w:r>
      <w:r w:rsidR="008A35C8">
        <w:t xml:space="preserve"> people,</w:t>
      </w:r>
      <w:r w:rsidR="004D77CD" w:rsidRPr="00346565">
        <w:t xml:space="preserve"> </w:t>
      </w:r>
      <w:r w:rsidR="008A35C8">
        <w:t>or people with previous COVID-1</w:t>
      </w:r>
      <w:r w:rsidR="006D32A1">
        <w:t xml:space="preserve">9 </w:t>
      </w:r>
      <w:r w:rsidR="00E01719">
        <w:t xml:space="preserve"> b) p</w:t>
      </w:r>
      <w:r w:rsidR="008A35C8">
        <w:t xml:space="preserve">eople infected with </w:t>
      </w:r>
      <w:r w:rsidR="004D77CD" w:rsidRPr="00346565">
        <w:t xml:space="preserve">the </w:t>
      </w:r>
      <w:r w:rsidR="00C409F0">
        <w:t>Omicron</w:t>
      </w:r>
      <w:r w:rsidR="004D77CD" w:rsidRPr="00346565">
        <w:t xml:space="preserve"> variant of concern</w:t>
      </w:r>
      <w:r w:rsidR="00E01719">
        <w:t xml:space="preserve"> or c) </w:t>
      </w:r>
      <w:r w:rsidR="006D32A1">
        <w:t>c</w:t>
      </w:r>
      <w:r w:rsidR="008A35C8">
        <w:t>hildren</w:t>
      </w:r>
      <w:r w:rsidR="00E01719">
        <w:t xml:space="preserve"> and young people</w:t>
      </w:r>
      <w:r w:rsidR="006D32A1">
        <w:t xml:space="preserve"> (only 8 patients between age 12-18</w:t>
      </w:r>
      <w:r w:rsidR="007E2C00">
        <w:t xml:space="preserve"> </w:t>
      </w:r>
      <w:r w:rsidR="006D32A1">
        <w:t>y</w:t>
      </w:r>
      <w:r w:rsidR="007E2C00">
        <w:t xml:space="preserve">ears </w:t>
      </w:r>
      <w:r w:rsidR="006D32A1">
        <w:t>o</w:t>
      </w:r>
      <w:r w:rsidR="00DC3056">
        <w:t>f age</w:t>
      </w:r>
      <w:r w:rsidR="006D32A1">
        <w:t xml:space="preserve"> in PINETREE)</w:t>
      </w:r>
      <w:r w:rsidR="00E01719">
        <w:t>.</w:t>
      </w:r>
      <w:r w:rsidR="006D32A1">
        <w:rPr>
          <w:rFonts w:ascii="Calibri" w:hAnsi="Calibri" w:cs="Calibri"/>
          <w:color w:val="auto"/>
          <w:lang w:val="en-GB"/>
        </w:rPr>
        <w:fldChar w:fldCharType="begin"/>
      </w:r>
      <w:r w:rsidR="001B68DB">
        <w:rPr>
          <w:rFonts w:ascii="Calibri" w:hAnsi="Calibri" w:cs="Calibri"/>
          <w:color w:val="auto"/>
          <w:lang w:val="en-GB"/>
        </w:rPr>
        <w:instrText xml:space="preserve"> ADDIN PAPERS2_CITATIONS &lt;citation&gt;&lt;priority&gt;4&lt;/priority&gt;&lt;uuid&gt;3E87DF38-26B8-47B8-8127-C258E8F0ABC7&lt;/uuid&gt;&lt;publications&gt;&lt;publication&gt;&lt;subtype&gt;400&lt;/subtype&gt;&lt;publisher&gt;Massachusetts Medical Society&lt;/publisher&gt;&lt;title&gt;Early Remdesivir to Prevent Progression to Severe Covid-19 in Outpatients.&lt;/title&gt;&lt;url&gt;https://www.nejm.org/doi/10.1056/NEJMoa2116846&lt;/url&gt;&lt;publication_date&gt;99202112221200000000222000&lt;/publication_date&gt;&lt;uuid&gt;0F915BAD-6BDE-436C-9725-C68C49BEE3B3&lt;/uuid&gt;&lt;type&gt;400&lt;/type&gt;&lt;doi&gt;10.1056/NEJMoa2116846&lt;/doi&gt;&lt;institution&gt;From Baylor University Medical Center and Baylor Scott and White Research Institute, Dallas (R.L.G.), and Care United Research, Forney (S.M.) - all in Texas; the Nuren Medical and Research Center, Miami (C.E.V.), Evolution Clinical Trials, Hialeah Gardens (G.P.), the Midland Florida Clinical Research Center, DeLand (G.O.), Luminous Clinical Research-South Florida Urgent Care, Pembroke Pines (A.H.), and Triple O Research Institute Professional Association, West Palm Beach (O.O.) - all in Florida; Hospital Universitari Germans Trias i Pujol and IrsiCaixa AIDS Research Institute, Barcelona (R.P.), and Hospital Universitario Infanta Leonor and Gregorio Marañón Health Research Institute, Madrid (P.R.) - all in Spain; the Cherokee Nation Outpatient Health Center, Tahlequah, OK (J.M.); Intermountain Healthcare (B.J.W., S.M.B.) and the University of Utah School of Medicine (S.M.B.) - both in Murray; Copenhagen University Hospital-Rigshospitalet, Copenhagen (B.U.N.); University College London Hospitals NHS Foundation Trust and the London School of Hygiene and Tropical Medicine - both in London (M.B.); the Institute of Liver Health, Mesa, AZ (Y.S.); Kaiser Permanente, Oakland (J.S.), and Gilead Sciences, Foster City (K.J., R.H.H., A.O., S.C., G.C., M.A., S.D., N.B.-R., F.D.) - both in California; Brigham and Women's Hospital and Harvard Medical School - both in Boston (F.M.M.); Johns Hopkins University School of Medicine, Baltimore (M.J.K.); the University of Colorado School of Medicine, Aurora (A.A.G.); and the Fred Hutchinson Cancer Research Center and the University of Washington School of Medicine - both in Seattle (J.T.S., J.A.H.).&lt;/institution&gt;&lt;bundle&gt;&lt;publication&gt;&lt;title&gt;The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Gottlieb&lt;/lastName&gt;&lt;firstName&gt;Robert&lt;/firstName&gt;&lt;middleNames&gt;L&lt;/middleNames&gt;&lt;/author&gt;&lt;author&gt;&lt;lastName&gt;Vaca&lt;/lastName&gt;&lt;firstName&gt;Carlos&lt;/firstName&gt;&lt;middleNames&gt;E&lt;/middleNames&gt;&lt;/author&gt;&lt;author&gt;&lt;lastName&gt;Paredes&lt;/lastName&gt;&lt;firstName&gt;Roger&lt;/firstName&gt;&lt;/author&gt;&lt;author&gt;&lt;lastName&gt;Mera&lt;/lastName&gt;&lt;firstName&gt;Jorge&lt;/firstName&gt;&lt;/author&gt;&lt;author&gt;&lt;lastName&gt;Webb&lt;/lastName&gt;&lt;firstName&gt;Brandon&lt;/firstName&gt;&lt;middleNames&gt;J&lt;/middleNames&gt;&lt;/author&gt;&lt;author&gt;&lt;lastName&gt;Perez&lt;/lastName&gt;&lt;firstName&gt;Gilberto&lt;/firstName&gt;&lt;/author&gt;&lt;author&gt;&lt;lastName&gt;Oguchi&lt;/lastName&gt;&lt;firstName&gt;Godson&lt;/firstName&gt;&lt;/author&gt;&lt;author&gt;&lt;lastName&gt;Ryan&lt;/lastName&gt;&lt;firstName&gt;Pablo&lt;/firstName&gt;&lt;/author&gt;&lt;author&gt;&lt;lastName&gt;Nielsen&lt;/lastName&gt;&lt;firstName&gt;Bibi&lt;/firstName&gt;&lt;middleNames&gt;U&lt;/middleNames&gt;&lt;/author&gt;&lt;author&gt;&lt;lastName&gt;Brown&lt;/lastName&gt;&lt;firstName&gt;Michael&lt;/firstName&gt;&lt;/author&gt;&lt;author&gt;&lt;lastName&gt;Hidalgo&lt;/lastName&gt;&lt;firstName&gt;Ausberto&lt;/firstName&gt;&lt;/author&gt;&lt;author&gt;&lt;lastName&gt;Sachdeva&lt;/lastName&gt;&lt;firstName&gt;Yessica&lt;/firstName&gt;&lt;/author&gt;&lt;author&gt;&lt;lastName&gt;Mittal&lt;/lastName&gt;&lt;firstName&gt;Shilpi&lt;/firstName&gt;&lt;/author&gt;&lt;author&gt;&lt;lastName&gt;Osiyemi&lt;/lastName&gt;&lt;firstName&gt;Olayemi&lt;/firstName&gt;&lt;/author&gt;&lt;author&gt;&lt;lastName&gt;Skarbinski&lt;/lastName&gt;&lt;firstName&gt;Jacek&lt;/firstName&gt;&lt;/author&gt;&lt;author&gt;&lt;lastName&gt;Juneja&lt;/lastName&gt;&lt;firstName&gt;Kavita&lt;/firstName&gt;&lt;/author&gt;&lt;author&gt;&lt;lastName&gt;Hyland&lt;/lastName&gt;&lt;firstName&gt;Robert&lt;/firstName&gt;&lt;middleNames&gt;H&lt;/middleNames&gt;&lt;/author&gt;&lt;author&gt;&lt;lastName&gt;Osinusi&lt;/lastName&gt;&lt;firstName&gt;Anu&lt;/firstName&gt;&lt;/author&gt;&lt;author&gt;&lt;lastName&gt;Chen&lt;/lastName&gt;&lt;firstName&gt;Shuguang&lt;/firstName&gt;&lt;/author&gt;&lt;author&gt;&lt;lastName&gt;Camus&lt;/lastName&gt;&lt;firstName&gt;Gregory&lt;/firstName&gt;&lt;/author&gt;&lt;author&gt;&lt;lastName&gt;Abdelghany&lt;/lastName&gt;&lt;firstName&gt;Mazin&lt;/firstName&gt;&lt;/author&gt;&lt;author&gt;&lt;lastName&gt;Davies&lt;/lastName&gt;&lt;firstName&gt;Santosh&lt;/firstName&gt;&lt;/author&gt;&lt;author&gt;&lt;lastName&gt;Behenna-Renton&lt;/lastName&gt;&lt;firstName&gt;Nicole&lt;/firstName&gt;&lt;/author&gt;&lt;author&gt;&lt;lastName&gt;Duff&lt;/lastName&gt;&lt;firstName&gt;Frank&lt;/firstName&gt;&lt;/author&gt;&lt;author&gt;&lt;lastName&gt;Marty&lt;/lastName&gt;&lt;firstName&gt;Francisco&lt;/firstName&gt;&lt;middleNames&gt;M&lt;/middleNames&gt;&lt;/author&gt;&lt;author&gt;&lt;lastName&gt;Katz&lt;/lastName&gt;&lt;firstName&gt;Morgan&lt;/firstName&gt;&lt;middleNames&gt;J&lt;/middleNames&gt;&lt;/author&gt;&lt;author&gt;&lt;lastName&gt;Ginde&lt;/lastName&gt;&lt;firstName&gt;Adit&lt;/firstName&gt;&lt;middleNames&gt;A&lt;/middleNames&gt;&lt;/author&gt;&lt;author&gt;&lt;lastName&gt;Brown&lt;/lastName&gt;&lt;firstName&gt;Samuel&lt;/firstName&gt;&lt;middleNames&gt;M&lt;/middleNames&gt;&lt;/author&gt;&lt;author&gt;&lt;lastName&gt;Schiffer&lt;/lastName&gt;&lt;firstName&gt;Joshua&lt;/firstName&gt;&lt;middleNames&gt;T&lt;/middleNames&gt;&lt;/author&gt;&lt;author&gt;&lt;lastName&gt;Hill&lt;/lastName&gt;&lt;firstName&gt;Joshua&lt;/firstName&gt;&lt;middleNames&gt;A&lt;/middleNames&gt;&lt;/author&gt;&lt;author&gt;&lt;lastName&gt;GS-US-540-9012 (PINETREE) Investigators&lt;/lastName&gt;&lt;/author&gt;&lt;/authors&gt;&lt;/publication&gt;&lt;/publications&gt;&lt;cites&gt;&lt;/cites&gt;&lt;/citation&gt;</w:instrText>
      </w:r>
      <w:r w:rsidR="006D32A1">
        <w:rPr>
          <w:rFonts w:ascii="Calibri" w:hAnsi="Calibri" w:cs="Calibri"/>
          <w:color w:val="auto"/>
          <w:lang w:val="en-GB"/>
        </w:rPr>
        <w:fldChar w:fldCharType="separate"/>
      </w:r>
      <w:r w:rsidR="006D32A1">
        <w:rPr>
          <w:rFonts w:ascii="Calibri" w:hAnsi="Calibri" w:cs="Calibri"/>
          <w:color w:val="auto"/>
          <w:vertAlign w:val="superscript"/>
          <w:lang w:val="en-GB"/>
        </w:rPr>
        <w:t>1</w:t>
      </w:r>
      <w:r w:rsidR="006D32A1">
        <w:rPr>
          <w:rFonts w:ascii="Calibri" w:hAnsi="Calibri" w:cs="Calibri"/>
          <w:color w:val="auto"/>
          <w:lang w:val="en-GB"/>
        </w:rPr>
        <w:fldChar w:fldCharType="end"/>
      </w:r>
      <w:r w:rsidR="00E01719">
        <w:t xml:space="preserve"> </w:t>
      </w:r>
      <w:r w:rsidR="00056E0D">
        <w:t>Additionally, there</w:t>
      </w:r>
      <w:r w:rsidR="004D77CD" w:rsidRPr="00346565">
        <w:t xml:space="preserve"> </w:t>
      </w:r>
      <w:r w:rsidR="00056E0D">
        <w:t>were too few</w:t>
      </w:r>
      <w:r w:rsidR="00E01719">
        <w:t xml:space="preserve"> immunocompromised patients </w:t>
      </w:r>
      <w:r w:rsidR="00056E0D">
        <w:t xml:space="preserve">or patients with active </w:t>
      </w:r>
      <w:r w:rsidR="00624EBE">
        <w:t>cancer</w:t>
      </w:r>
      <w:r w:rsidR="00056E0D">
        <w:t xml:space="preserve"> included in</w:t>
      </w:r>
      <w:r w:rsidR="00E01719">
        <w:t xml:space="preserve"> these trials to allow </w:t>
      </w:r>
      <w:r w:rsidR="00624EBE">
        <w:t xml:space="preserve">for robust </w:t>
      </w:r>
      <w:r w:rsidR="00E01719">
        <w:t xml:space="preserve">estimation of </w:t>
      </w:r>
      <w:r w:rsidR="00056E0D">
        <w:t xml:space="preserve">efficacy in </w:t>
      </w:r>
      <w:r w:rsidR="00624EBE">
        <w:t>these</w:t>
      </w:r>
      <w:r w:rsidR="00056E0D">
        <w:t xml:space="preserve"> important subgroup</w:t>
      </w:r>
      <w:r w:rsidR="00E46AB7">
        <w:t>s</w:t>
      </w:r>
      <w:r w:rsidR="00624EBE">
        <w:t xml:space="preserve"> (10% in PINE </w:t>
      </w:r>
      <w:r w:rsidR="006D32A1">
        <w:t>TREE</w:t>
      </w:r>
      <w:r w:rsidR="00624EBE">
        <w:t>, &lt;1% in</w:t>
      </w:r>
      <w:r w:rsidR="00412791">
        <w:t xml:space="preserve"> EPIC-HR, 2% in </w:t>
      </w:r>
      <w:proofErr w:type="spellStart"/>
      <w:r w:rsidR="00412791">
        <w:t>MOVe</w:t>
      </w:r>
      <w:proofErr w:type="spellEnd"/>
      <w:r w:rsidR="00624EBE">
        <w:t>-OUT</w:t>
      </w:r>
      <w:r w:rsidR="00412791">
        <w:t>).</w:t>
      </w:r>
      <w:r w:rsidR="006D32A1">
        <w:rPr>
          <w:rFonts w:ascii="Helvetica" w:hAnsi="Helvetica" w:cs="Helvetica"/>
          <w:color w:val="auto"/>
          <w:sz w:val="24"/>
          <w:szCs w:val="24"/>
          <w:lang w:val="en-GB"/>
        </w:rPr>
        <w:fldChar w:fldCharType="begin"/>
      </w:r>
      <w:r w:rsidR="001B68DB">
        <w:rPr>
          <w:rFonts w:ascii="Helvetica" w:hAnsi="Helvetica" w:cs="Helvetica"/>
          <w:color w:val="auto"/>
          <w:sz w:val="24"/>
          <w:szCs w:val="24"/>
          <w:lang w:val="en-GB"/>
        </w:rPr>
        <w:instrText xml:space="preserve"> ADDIN PAPERS2_CITATIONS &lt;citation&gt;&lt;priority&gt;5&lt;/priority&gt;&lt;uuid&gt;6919FDC8-2332-4C38-AC4D-A4F7521B6045&lt;/uuid&gt;&lt;publications&gt;&lt;publication&gt;&lt;subtype&gt;400&lt;/subtype&gt;&lt;publisher&gt;Massachusetts Medical Society&lt;/publisher&gt;&lt;title&gt;Early Remdesivir to Prevent Progression to Severe Covid-19 in Outpatients.&lt;/title&gt;&lt;url&gt;https://www.nejm.org/doi/10.1056/NEJMoa2116846&lt;/url&gt;&lt;publication_date&gt;99202112221200000000222000&lt;/publication_date&gt;&lt;uuid&gt;0F915BAD-6BDE-436C-9725-C68C49BEE3B3&lt;/uuid&gt;&lt;type&gt;400&lt;/type&gt;&lt;doi&gt;10.1056/NEJMoa2116846&lt;/doi&gt;&lt;institution&gt;From Baylor University Medical Center and Baylor Scott and White Research Institute, Dallas (R.L.G.), and Care United Research, Forney (S.M.) - all in Texas; the Nuren Medical and Research Center, Miami (C.E.V.), Evolution Clinical Trials, Hialeah Gardens (G.P.), the Midland Florida Clinical Research Center, DeLand (G.O.), Luminous Clinical Research-South Florida Urgent Care, Pembroke Pines (A.H.), and Triple O Research Institute Professional Association, West Palm Beach (O.O.) - all in Florida; Hospital Universitari Germans Trias i Pujol and IrsiCaixa AIDS Research Institute, Barcelona (R.P.), and Hospital Universitario Infanta Leonor and Gregorio Marañón Health Research Institute, Madrid (P.R.) - all in Spain; the Cherokee Nation Outpatient Health Center, Tahlequah, OK (J.M.); Intermountain Healthcare (B.J.W., S.M.B.) and the University of Utah School of Medicine (S.M.B.) - both in Murray; Copenhagen University Hospital-Rigshospitalet, Copenhagen (B.U.N.); University College London Hospitals NHS Foundation Trust and the London School of Hygiene and Tropical Medicine - both in London (M.B.); the Institute of Liver Health, Mesa, AZ (Y.S.); Kaiser Permanente, Oakland (J.S.), and Gilead Sciences, Foster City (K.J., R.H.H., A.O., S.C., G.C., M.A., S.D., N.B.-R., F.D.) - both in California; Brigham and Women's Hospital and Harvard Medical School - both in Boston (F.M.M.); Johns Hopkins University School of Medicine, Baltimore (M.J.K.); the University of Colorado School of Medicine, Aurora (A.A.G.); and the Fred Hutchinson Cancer Research Center and the University of Washington School of Medicine - both in Seattle (J.T.S., J.A.H.).&lt;/institution&gt;&lt;bundle&gt;&lt;publication&gt;&lt;title&gt;The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Gottlieb&lt;/lastName&gt;&lt;firstName&gt;Robert&lt;/firstName&gt;&lt;middleNames&gt;L&lt;/middleNames&gt;&lt;/author&gt;&lt;author&gt;&lt;lastName&gt;Vaca&lt;/lastName&gt;&lt;firstName&gt;Carlos&lt;/firstName&gt;&lt;middleNames&gt;E&lt;/middleNames&gt;&lt;/author&gt;&lt;author&gt;&lt;lastName&gt;Paredes&lt;/lastName&gt;&lt;firstName&gt;Roger&lt;/firstName&gt;&lt;/author&gt;&lt;author&gt;&lt;lastName&gt;Mera&lt;/lastName&gt;&lt;firstName&gt;Jorge&lt;/firstName&gt;&lt;/author&gt;&lt;author&gt;&lt;lastName&gt;Webb&lt;/lastName&gt;&lt;firstName&gt;Brandon&lt;/firstName&gt;&lt;middleNames&gt;J&lt;/middleNames&gt;&lt;/author&gt;&lt;author&gt;&lt;lastName&gt;Perez&lt;/lastName&gt;&lt;firstName&gt;Gilberto&lt;/firstName&gt;&lt;/author&gt;&lt;author&gt;&lt;lastName&gt;Oguchi&lt;/lastName&gt;&lt;firstName&gt;Godson&lt;/firstName&gt;&lt;/author&gt;&lt;author&gt;&lt;lastName&gt;Ryan&lt;/lastName&gt;&lt;firstName&gt;Pablo&lt;/firstName&gt;&lt;/author&gt;&lt;author&gt;&lt;lastName&gt;Nielsen&lt;/lastName&gt;&lt;firstName&gt;Bibi&lt;/firstName&gt;&lt;middleNames&gt;U&lt;/middleNames&gt;&lt;/author&gt;&lt;author&gt;&lt;lastName&gt;Brown&lt;/lastName&gt;&lt;firstName&gt;Michael&lt;/firstName&gt;&lt;/author&gt;&lt;author&gt;&lt;lastName&gt;Hidalgo&lt;/lastName&gt;&lt;firstName&gt;Ausberto&lt;/firstName&gt;&lt;/author&gt;&lt;author&gt;&lt;lastName&gt;Sachdeva&lt;/lastName&gt;&lt;firstName&gt;Yessica&lt;/firstName&gt;&lt;/author&gt;&lt;author&gt;&lt;lastName&gt;Mittal&lt;/lastName&gt;&lt;firstName&gt;Shilpi&lt;/firstName&gt;&lt;/author&gt;&lt;author&gt;&lt;lastName&gt;Osiyemi&lt;/lastName&gt;&lt;firstName&gt;Olayemi&lt;/firstName&gt;&lt;/author&gt;&lt;author&gt;&lt;lastName&gt;Skarbinski&lt;/lastName&gt;&lt;firstName&gt;Jacek&lt;/firstName&gt;&lt;/author&gt;&lt;author&gt;&lt;lastName&gt;Juneja&lt;/lastName&gt;&lt;firstName&gt;Kavita&lt;/firstName&gt;&lt;/author&gt;&lt;author&gt;&lt;lastName&gt;Hyland&lt;/lastName&gt;&lt;firstName&gt;Robert&lt;/firstName&gt;&lt;middleNames&gt;H&lt;/middleNames&gt;&lt;/author&gt;&lt;author&gt;&lt;lastName&gt;Osinusi&lt;/lastName&gt;&lt;firstName&gt;Anu&lt;/firstName&gt;&lt;/author&gt;&lt;author&gt;&lt;lastName&gt;Chen&lt;/lastName&gt;&lt;firstName&gt;Shuguang&lt;/firstName&gt;&lt;/author&gt;&lt;author&gt;&lt;lastName&gt;Camus&lt;/lastName&gt;&lt;firstName&gt;Gregory&lt;/firstName&gt;&lt;/author&gt;&lt;author&gt;&lt;lastName&gt;Abdelghany&lt;/lastName&gt;&lt;firstName&gt;Mazin&lt;/firstName&gt;&lt;/author&gt;&lt;author&gt;&lt;lastName&gt;Davies&lt;/lastName&gt;&lt;firstName&gt;Santosh&lt;/firstName&gt;&lt;/author&gt;&lt;author&gt;&lt;lastName&gt;Behenna-Renton&lt;/lastName&gt;&lt;firstName&gt;Nicole&lt;/firstName&gt;&lt;/author&gt;&lt;author&gt;&lt;lastName&gt;Duff&lt;/lastName&gt;&lt;firstName&gt;Frank&lt;/firstName&gt;&lt;/author&gt;&lt;author&gt;&lt;lastName&gt;Marty&lt;/lastName&gt;&lt;firstName&gt;Francisco&lt;/firstName&gt;&lt;middleNames&gt;M&lt;/middleNames&gt;&lt;/author&gt;&lt;author&gt;&lt;lastName&gt;Katz&lt;/lastName&gt;&lt;firstName&gt;Morgan&lt;/firstName&gt;&lt;middleNames&gt;J&lt;/middleNames&gt;&lt;/author&gt;&lt;author&gt;&lt;lastName&gt;Ginde&lt;/lastName&gt;&lt;firstName&gt;Adit&lt;/firstName&gt;&lt;middleNames&gt;A&lt;/middleNames&gt;&lt;/author&gt;&lt;author&gt;&lt;lastName&gt;Brown&lt;/lastName&gt;&lt;firstName&gt;Samuel&lt;/firstName&gt;&lt;middleNames&gt;M&lt;/middleNames&gt;&lt;/author&gt;&lt;author&gt;&lt;lastName&gt;Schiffer&lt;/lastName&gt;&lt;firstName&gt;Joshua&lt;/firstName&gt;&lt;middleNames&gt;T&lt;/middleNames&gt;&lt;/author&gt;&lt;author&gt;&lt;lastName&gt;Hill&lt;/lastName&gt;&lt;firstName&gt;Joshua&lt;/firstName&gt;&lt;middleNames&gt;A&lt;/middleNames&gt;&lt;/author&gt;&lt;author&gt;&lt;lastName&gt;GS-US-540-9012 (PINETREE) Investigators&lt;/lastName&gt;&lt;/author&gt;&lt;/authors&gt;&lt;/publication&gt;&lt;publication&gt;&lt;subtype&gt;400&lt;/subtype&gt;&lt;publisher&gt;Massachusetts Medical Society&lt;/publisher&gt;&lt;title&gt;Molnupiravir for Oral Treatment of Covid-19 in Nonhospitalized Patients.&lt;/title&gt;&lt;url&gt;https://www.nejm.org/doi/10.1056/NEJMoa2116044&lt;/url&gt;&lt;publication_date&gt;99202112161200000000222000&lt;/publication_date&gt;&lt;uuid&gt;4FF1195F-DA51-461A-A0F7-1548FB0BD1D4&lt;/uuid&gt;&lt;type&gt;400&lt;/type&gt;&lt;doi&gt;10.1056/NEJMoa2116044&lt;/doi&gt;&lt;institution&gt;From IMAT Oncomédica, Monteria, Colombia (A.J.B.); the Department of Public Health, Hospital de Clínicas, Federal University of Paraná, Curitiba, Brazil (M.M.G.S.); Jongaie Research, Pretoria, South Africa (D.B.M.); Medical Research Institute, St. Petersburg, Russia (E.K.); Advanced Research for Health Improvement, Immokalee, FL (A.G.); Lung Center of the Philippines, Quezon City, Philippines (V.D.R.); Hospital Universitario La Paz, IdiPAZ, Madrid (A.M.-Q.); Clinical Pharmacology Unit, Hadassah-Hebrew University Medical Center, Jerusalem (Y.C.); and Merck, Kenilworth, NJ (A.W.-D., M.L.B., J.D., A. Pedley, C.A., J.S., J.A.G., H.H.S., R.T., H.W., A. Paschke, J.R.B., M.G.J., C.D.A.).&lt;/institution&gt;&lt;bundle&gt;&lt;publication&gt;&lt;title&gt;The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Society&lt;/publisher&gt;&lt;type&gt;-100&lt;/type&gt;&lt;/publication&gt;&lt;/bundle&gt;&lt;authors&gt;&lt;author&gt;&lt;lastName&gt;Jayk Bernal&lt;/lastName&gt;&lt;firstName&gt;Angélica&lt;/firstName&gt;&lt;/author&gt;&lt;author&gt;&lt;lastName&gt;Gomes da Silva&lt;/lastName&gt;&lt;firstName&gt;Monica&lt;/firstName&gt;&lt;middleNames&gt;M&lt;/middleNames&gt;&lt;/author&gt;&lt;author&gt;&lt;lastName&gt;Musungaie&lt;/lastName&gt;&lt;firstName&gt;Dany&lt;/firstName&gt;&lt;middleNames&gt;B&lt;/middleNames&gt;&lt;/author&gt;&lt;author&gt;&lt;lastName&gt;Kovalchuk&lt;/lastName&gt;&lt;firstName&gt;Evgeniy&lt;/firstName&gt;&lt;/author&gt;&lt;author&gt;&lt;lastName&gt;Gonzalez&lt;/lastName&gt;&lt;firstName&gt;Antonio&lt;/firstName&gt;&lt;/author&gt;&lt;author&gt;&lt;lastName&gt;Delos Reyes&lt;/lastName&gt;&lt;firstName&gt;Virginia&lt;/firstName&gt;&lt;/author&gt;&lt;author&gt;&lt;lastName&gt;Martín-Quirós&lt;/lastName&gt;&lt;firstName&gt;Alejandro&lt;/firstName&gt;&lt;/author&gt;&lt;author&gt;&lt;lastName&gt;Caraco&lt;/lastName&gt;&lt;firstName&gt;Yoseph&lt;/firstName&gt;&lt;/author&gt;&lt;author&gt;&lt;lastName&gt;Williams-Diaz&lt;/lastName&gt;&lt;firstName&gt;Angela&lt;/firstName&gt;&lt;/author&gt;&lt;author&gt;&lt;lastName&gt;Brown&lt;/lastName&gt;&lt;firstName&gt;Michelle&lt;/firstName&gt;&lt;middleNames&gt;L&lt;/middleNames&gt;&lt;/author&gt;&lt;author&gt;&lt;lastName&gt;Du&lt;/lastName&gt;&lt;firstName&gt;Jiejun&lt;/firstName&gt;&lt;/author&gt;&lt;author&gt;&lt;lastName&gt;Pedley&lt;/lastName&gt;&lt;firstName&gt;Alison&lt;/firstName&gt;&lt;/author&gt;&lt;author&gt;&lt;lastName&gt;Assaid&lt;/lastName&gt;&lt;firstName&gt;Christopher&lt;/firstName&gt;&lt;/author&gt;&lt;author&gt;&lt;lastName&gt;Strizki&lt;/lastName&gt;&lt;firstName&gt;Julie&lt;/firstName&gt;&lt;/author&gt;&lt;author&gt;&lt;lastName&gt;Grobler&lt;/lastName&gt;&lt;firstName&gt;Jay&lt;/firstName&gt;&lt;middleNames&gt;A&lt;/middleNames&gt;&lt;/author&gt;&lt;author&gt;&lt;lastName&gt;Shamsuddin&lt;/lastName&gt;&lt;firstName&gt;Hala&lt;/firstName&gt;&lt;middleNames&gt;H&lt;/middleNames&gt;&lt;/author&gt;&lt;author&gt;&lt;lastName&gt;Tipping&lt;/lastName&gt;&lt;firstName&gt;Robert&lt;/firstName&gt;&lt;/author&gt;&lt;author&gt;&lt;lastName&gt;Wan&lt;/lastName&gt;&lt;firstName&gt;Hong&lt;/firstName&gt;&lt;/author&gt;&lt;author&gt;&lt;lastName&gt;Paschke&lt;/lastName&gt;&lt;firstName&gt;Amanda&lt;/firstName&gt;&lt;/author&gt;&lt;author&gt;&lt;lastName&gt;Butterton&lt;/lastName&gt;&lt;firstName&gt;Joan&lt;/firstName&gt;&lt;middleNames&gt;R&lt;/middleNames&gt;&lt;/author&gt;&lt;author&gt;&lt;lastName&gt;Johnson&lt;/lastName&gt;&lt;firstName&gt;Matthew&lt;/firstName&gt;&lt;middleNames&gt;G&lt;/middleNames&gt;&lt;/author&gt;&lt;author&gt;&lt;lastName&gt;Anda&lt;/lastName&gt;&lt;nonDroppingParticle&gt;De&lt;/nonDroppingParticle&gt;&lt;firstName&gt;Carisa&lt;/firstName&gt;&lt;/author&gt;&lt;author&gt;&lt;lastName&gt;MOVe-OUT Study Group&lt;/lastName&gt;&lt;/author&gt;&lt;/authors&gt;&lt;/publication&gt;&lt;publication&gt;&lt;subtype&gt;400&lt;/subtype&gt;&lt;publisher&gt;Massachusetts Medical Society&lt;/publisher&gt;&lt;title&gt;Oral Nirmatrelvir for High-Risk, Nonhospitalized Adults with Covid-19.&lt;/title&gt;&lt;url&gt;https://www.nejm.org/doi/10.1056/NEJMoa2118542&lt;/url&gt;&lt;publication_date&gt;99202202161200000000222000&lt;/publication_date&gt;&lt;uuid&gt;FBDBBDEC-88A6-4A57-A548-CCD485D6EA26&lt;/uuid&gt;&lt;type&gt;400&lt;/type&gt;&lt;doi&gt;10.1056/NEJMoa2118542&lt;/doi&gt;&lt;institution&gt;From Global Product Development, Pfizer, Collegeville, PA (J.H., H.L.-T.); Global Product Development (A.G.) and Early Clinical Development (M.L.B.), Pfizer, Cambridge, MA; Global Product Development, Pfizer, New York (P.A., W.B., B.D., R.P.); Global Product Development, Pfizer, Lake Forest, IL (W.W.); Medical and Safety, Pfizer, Sandwich, United Kingdom (V.M.H.); Köhler and Milstein Research, Mérida, Yucatan, Mexico (A.S.-C.); and Global Product Development, Pfizer, Tampa, FL (J.M.R.).&lt;/institution&gt;&lt;bundle&gt;&lt;publication&gt;&lt;title&gt;The New England journal of medicine&lt;/title&gt;&lt;uuid&gt;3B75B3E0-C9F4-4997-B8E4-1B4A68BF2CA3&lt;/uuid&gt;&lt;subtype&gt;-100&lt;/subtype&gt;&lt;publisher&gt;Massachusetts Medical Society&lt;/publisher&gt;&lt;type&gt;-100&lt;/type&gt;&lt;/publication&gt;&lt;/bundle&gt;&lt;authors&gt;&lt;author&gt;&lt;lastName&gt;Hammond&lt;/lastName&gt;&lt;firstName&gt;Jennifer&lt;/firstName&gt;&lt;/author&gt;&lt;author&gt;&lt;lastName&gt;Leister-Tebbe&lt;/lastName&gt;&lt;firstName&gt;Heidi&lt;/firstName&gt;&lt;/author&gt;&lt;author&gt;&lt;lastName&gt;Gardner&lt;/lastName&gt;&lt;firstName&gt;Annie&lt;/firstName&gt;&lt;/author&gt;&lt;author&gt;&lt;lastName&gt;Abreu&lt;/lastName&gt;&lt;firstName&gt;Paula&lt;/firstName&gt;&lt;/author&gt;&lt;author&gt;&lt;lastName&gt;Bao&lt;/lastName&gt;&lt;firstName&gt;Weihang&lt;/firstName&gt;&lt;/author&gt;&lt;author&gt;&lt;lastName&gt;Wisemandle&lt;/lastName&gt;&lt;firstName&gt;Wayne&lt;/firstName&gt;&lt;/author&gt;&lt;author&gt;&lt;lastName&gt;Baniecki&lt;/lastName&gt;&lt;firstName&gt;MaryLynn&lt;/firstName&gt;&lt;/author&gt;&lt;author&gt;&lt;lastName&gt;Hendrick&lt;/lastName&gt;&lt;firstName&gt;Victoria&lt;/firstName&gt;&lt;middleNames&gt;M&lt;/middleNames&gt;&lt;/author&gt;&lt;author&gt;&lt;lastName&gt;Damle&lt;/lastName&gt;&lt;firstName&gt;Bharat&lt;/firstName&gt;&lt;/author&gt;&lt;author&gt;&lt;lastName&gt;Simón-Campos&lt;/lastName&gt;&lt;firstName&gt;Abraham&lt;/firstName&gt;&lt;/author&gt;&lt;author&gt;&lt;lastName&gt;Pypstra&lt;/lastName&gt;&lt;firstName&gt;Rienk&lt;/firstName&gt;&lt;/author&gt;&lt;author&gt;&lt;lastName&gt;Rusnak&lt;/lastName&gt;&lt;firstName&gt;James&lt;/firstName&gt;&lt;middleNames&gt;M&lt;/middleNames&gt;&lt;/author&gt;&lt;author&gt;&lt;lastName&gt;EPIC-HR Investigators&lt;/lastName&gt;&lt;/author&gt;&lt;/authors&gt;&lt;/publication&gt;&lt;/publications&gt;&lt;cites&gt;&lt;/cites&gt;&lt;/citation&gt;</w:instrText>
      </w:r>
      <w:r w:rsidR="006D32A1">
        <w:rPr>
          <w:rFonts w:ascii="Helvetica" w:hAnsi="Helvetica" w:cs="Helvetica"/>
          <w:color w:val="auto"/>
          <w:sz w:val="24"/>
          <w:szCs w:val="24"/>
          <w:lang w:val="en-GB"/>
        </w:rPr>
        <w:fldChar w:fldCharType="separate"/>
      </w:r>
      <w:r w:rsidR="006D32A1">
        <w:rPr>
          <w:rFonts w:ascii="Helvetica" w:hAnsi="Helvetica" w:cs="Helvetica"/>
          <w:color w:val="auto"/>
          <w:sz w:val="24"/>
          <w:szCs w:val="24"/>
          <w:vertAlign w:val="superscript"/>
          <w:lang w:val="en-GB"/>
        </w:rPr>
        <w:t>1,5,6</w:t>
      </w:r>
      <w:r w:rsidR="006D32A1">
        <w:rPr>
          <w:rFonts w:ascii="Helvetica" w:hAnsi="Helvetica" w:cs="Helvetica"/>
          <w:color w:val="auto"/>
          <w:sz w:val="24"/>
          <w:szCs w:val="24"/>
          <w:lang w:val="en-GB"/>
        </w:rPr>
        <w:fldChar w:fldCharType="end"/>
      </w:r>
      <w:r w:rsidR="00624EBE">
        <w:t xml:space="preserve"> </w:t>
      </w:r>
      <w:r w:rsidR="00E01719">
        <w:t xml:space="preserve"> </w:t>
      </w:r>
    </w:p>
    <w:p w14:paraId="0C0E3C66" w14:textId="5AF5CA5E" w:rsidR="001B68DB" w:rsidRDefault="003F0EFC" w:rsidP="00D27555">
      <w:pPr>
        <w:textAlignment w:val="baseline"/>
        <w:rPr>
          <w:rFonts w:ascii="Calibri" w:hAnsi="Calibri" w:cs="Calibri"/>
          <w:color w:val="auto"/>
          <w:lang w:val="en-GB"/>
        </w:rPr>
      </w:pPr>
      <w:r>
        <w:t>The contemporary</w:t>
      </w:r>
      <w:r w:rsidR="00C2648F">
        <w:t xml:space="preserve"> NNT for early remdesivir treatment to prevent one hospitalisation </w:t>
      </w:r>
      <w:r>
        <w:t>is estimated to</w:t>
      </w:r>
      <w:r w:rsidR="00C2648F">
        <w:t xml:space="preserve"> be significan</w:t>
      </w:r>
      <w:r w:rsidR="004150CD">
        <w:t>t</w:t>
      </w:r>
      <w:r w:rsidR="00C2648F">
        <w:t>ly higher tha</w:t>
      </w:r>
      <w:r>
        <w:t>n</w:t>
      </w:r>
      <w:r w:rsidR="00C2648F">
        <w:t xml:space="preserve"> the 22 observed in the PINETREE trial. </w:t>
      </w:r>
      <w:r w:rsidR="00774BF7">
        <w:t xml:space="preserve">Firstly, the </w:t>
      </w:r>
      <w:r w:rsidR="005D78CA">
        <w:t>rate</w:t>
      </w:r>
      <w:r w:rsidR="00774BF7">
        <w:t xml:space="preserve"> of </w:t>
      </w:r>
      <w:r w:rsidR="005D78CA">
        <w:t xml:space="preserve">COVID-19 </w:t>
      </w:r>
      <w:r w:rsidR="00774BF7">
        <w:t>hospitalisation associated with</w:t>
      </w:r>
      <w:r w:rsidR="005D78CA">
        <w:t xml:space="preserve"> the</w:t>
      </w:r>
      <w:r w:rsidR="00774BF7">
        <w:t xml:space="preserve"> </w:t>
      </w:r>
      <w:r w:rsidR="00C409F0">
        <w:t>Omicron</w:t>
      </w:r>
      <w:r w:rsidR="0086140B">
        <w:t xml:space="preserve"> variant</w:t>
      </w:r>
      <w:r w:rsidR="005D78CA">
        <w:t xml:space="preserve"> is only</w:t>
      </w:r>
      <w:r w:rsidR="00ED3487">
        <w:t xml:space="preserve"> 40-50% of </w:t>
      </w:r>
      <w:r w:rsidR="005D78CA">
        <w:t>that observed with</w:t>
      </w:r>
      <w:r w:rsidR="00ED3487">
        <w:t xml:space="preserve"> </w:t>
      </w:r>
      <w:r w:rsidR="005D78CA">
        <w:t xml:space="preserve">the </w:t>
      </w:r>
      <w:r w:rsidR="00ED3487">
        <w:t>Delta variant</w:t>
      </w:r>
      <w:r w:rsidR="005E2BC0">
        <w:t>.</w:t>
      </w:r>
      <w:r w:rsidR="00AD5E57">
        <w:rPr>
          <w:rFonts w:ascii="Helvetica" w:hAnsi="Helvetica" w:cs="Helvetica"/>
          <w:color w:val="auto"/>
          <w:sz w:val="24"/>
          <w:szCs w:val="24"/>
          <w:lang w:val="en-GB"/>
        </w:rPr>
        <w:fldChar w:fldCharType="begin"/>
      </w:r>
      <w:r w:rsidR="001B68DB">
        <w:rPr>
          <w:rFonts w:ascii="Helvetica" w:hAnsi="Helvetica" w:cs="Helvetica"/>
          <w:color w:val="auto"/>
          <w:sz w:val="24"/>
          <w:szCs w:val="24"/>
          <w:lang w:val="en-GB"/>
        </w:rPr>
        <w:instrText xml:space="preserve"> ADDIN PAPERS2_CITATIONS &lt;citation&gt;&lt;priority&gt;5&lt;/priority&gt;&lt;uuid&gt;52EBBD62-71E8-4CA3-A8E1-C62D8D77E00F&lt;/uuid&gt;&lt;publications&gt;&lt;publication&gt;&lt;subtype&gt;400&lt;/subtype&gt;&lt;title&gt;COVID-19 will continue but the end of the pandemic is near.&lt;/title&gt;&lt;url&gt;https://www.thelancet.com/action/showPdf?pii=S0140-6736%2822%2900100-3&lt;/url&gt;&lt;volume&gt;399&lt;/volume&gt;&lt;publication_date&gt;99202201291200000000222000&lt;/publication_date&gt;&lt;uuid&gt;D86F99FF-64DF-4918-8CBC-9338D4CA8A2A&lt;/uuid&gt;&lt;type&gt;400&lt;/type&gt;&lt;accepted_date&gt;99202201181200000000222000&lt;/accepted_date&gt;&lt;number&gt;10323&lt;/number&gt;&lt;citekey&gt;Murray:2022di&lt;/citekey&gt;&lt;submission_date&gt;99202201171200000000222000&lt;/submission_date&gt;&lt;doi&gt;10.1016/S0140-6736(22)00100-3&lt;/doi&gt;&lt;institution&gt;Institute for Health Metrics and Evaluation, Seattle, WA 98105, USA. Electronic address: cjlm@uw.edu.&lt;/institution&gt;&lt;startpage&gt;417&lt;/startpage&gt;&lt;endpage&gt;419&lt;/endpage&gt;&lt;bundle&gt;&lt;publication&gt;&lt;title&gt;Lancet (London, England)&lt;/title&gt;&lt;uuid&gt;4C156BDA-E5F0-4E3A-B621-C8C9EAAF05D4&lt;/uuid&gt;&lt;subtype&gt;-100&lt;/subtype&gt;&lt;type&gt;-100&lt;/type&gt;&lt;/publication&gt;&lt;/bundle&gt;&lt;authors&gt;&lt;author&gt;&lt;lastName&gt;Murray&lt;/lastName&gt;&lt;firstName&gt;Christopher&lt;/firstName&gt;&lt;middleNames&gt;J L&lt;/middleNames&gt;&lt;/author&gt;&lt;/authors&gt;&lt;/publication&gt;&lt;publication&gt;&lt;subtype&gt;400&lt;/subtype&gt;&lt;title&gt;Comparative Analysis of the Risks of Hospitalisation and Death Associated with SARS-CoV-2 Omicron (B.1.1.529) and Delta (B.1.617.2) Variants in England&lt;/title&gt;&lt;url&gt;https://www.thelancet.com/journals/lancet/article/PIIS0140-6736(22)00462-7/fulltext&lt;/url&gt;&lt;publication_date&gt;99202200001200000000200000&lt;/publication_date&gt;&lt;uuid&gt;0706D0C0-3745-4130-BDE4-59C3ED857B61&lt;/uuid&gt;&lt;type&gt;400&lt;/type&gt;&lt;doi&gt;10.2139/ssrn.4025932&lt;/doi&gt;&lt;authors&gt;&lt;author&gt;&lt;lastName&gt;Nyberg&lt;/lastName&gt;&lt;firstName&gt;Tommy&lt;/firstName&gt;&lt;/author&gt;&lt;author&gt;&lt;lastName&gt;Ferguson&lt;/lastName&gt;&lt;firstName&gt;Neil&lt;/firstName&gt;&lt;middleNames&gt;M&lt;/middleNames&gt;&lt;/author&gt;&lt;author&gt;&lt;lastName&gt;Nash&lt;/lastName&gt;&lt;firstName&gt;Sophie&lt;/firstName&gt;&lt;middleNames&gt;G&lt;/middleNames&gt;&lt;/author&gt;&lt;author&gt;&lt;lastName&gt;Webster&lt;/lastName&gt;&lt;firstName&gt;Harriet&lt;/firstName&gt;&lt;middleNames&gt;H&lt;/middleNames&gt;&lt;/author&gt;&lt;author&gt;&lt;lastName&gt;Flaxman&lt;/lastName&gt;&lt;firstName&gt;Seth&lt;/firstName&gt;&lt;/author&gt;&lt;author&gt;&lt;lastName&gt;Andrews&lt;/lastName&gt;&lt;firstName&gt;Nick&lt;/firstName&gt;&lt;/author&gt;&lt;author&gt;&lt;lastName&gt;Hinsley&lt;/lastName&gt;&lt;firstName&gt;Wes&lt;/firstName&gt;&lt;/author&gt;&lt;author&gt;&lt;lastName&gt;Bernal&lt;/lastName&gt;&lt;firstName&gt;Jamie&lt;/firstName&gt;&lt;middleNames&gt;Lopez&lt;/middleNames&gt;&lt;/author&gt;&lt;author&gt;&lt;lastName&gt;Kall&lt;/lastName&gt;&lt;firstName&gt;Meaghan&lt;/firstName&gt;&lt;/author&gt;&lt;author&gt;&lt;lastName&gt;Bhatt&lt;/lastName&gt;&lt;firstName&gt;Samir&lt;/firstName&gt;&lt;/author&gt;&lt;author&gt;&lt;lastName&gt;Blomquist&lt;/lastName&gt;&lt;firstName&gt;Paula&lt;/firstName&gt;&lt;middleNames&gt;Bianca&lt;/middleNames&gt;&lt;/author&gt;&lt;author&gt;&lt;lastName&gt;Zaidi&lt;/lastName&gt;&lt;firstName&gt;Asad&lt;/firstName&gt;&lt;/author&gt;&lt;author&gt;&lt;lastName&gt;Volz&lt;/lastName&gt;&lt;firstName&gt;Erik&lt;/firstName&gt;&lt;/author&gt;&lt;author&gt;&lt;lastName&gt;Abdul Aziz&lt;/lastName&gt;&lt;firstName&gt;Nurin&lt;/firstName&gt;&lt;/author&gt;&lt;author&gt;&lt;lastName&gt;Harman&lt;/lastName&gt;&lt;firstName&gt;Katie&lt;/firstName&gt;&lt;/author&gt;&lt;author&gt;&lt;lastName&gt;Hope&lt;/lastName&gt;&lt;firstName&gt;Russell&lt;/firstName&gt;&lt;/author&gt;&lt;author&gt;&lt;lastName&gt;Charlett&lt;/lastName&gt;&lt;firstName&gt;Andre&lt;/firstName&gt;&lt;/author&gt;&lt;author&gt;&lt;lastName&gt;Chand&lt;/lastName&gt;&lt;firstName&gt;Meera&lt;/firstName&gt;&lt;middleNames&gt;A&lt;/middleNames&gt;&lt;/author&gt;&lt;author&gt;&lt;lastName&gt;Ghani&lt;/lastName&gt;&lt;firstName&gt;Azra&lt;/firstName&gt;&lt;/author&gt;&lt;author&gt;&lt;lastName&gt;Seaman&lt;/lastName&gt;&lt;firstName&gt;Shaun&lt;/firstName&gt;&lt;/author&gt;&lt;author&gt;&lt;lastName&gt;Dabrera&lt;/lastName&gt;&lt;firstName&gt;Gavin&lt;/firstName&gt;&lt;/author&gt;&lt;author&gt;&lt;lastName&gt;DeAngelis&lt;/lastName&gt;&lt;firstName&gt;Daniela&lt;/firstName&gt;&lt;/author&gt;&lt;author&gt;&lt;lastName&gt;Presanis&lt;/lastName&gt;&lt;firstName&gt;Anne&lt;/firstName&gt;&lt;middleNames&gt;M&lt;/middleNames&gt;&lt;/author&gt;&lt;author&gt;&lt;lastName&gt;Thelwall&lt;/lastName&gt;&lt;firstName&gt;Simon&lt;/firstName&gt;&lt;/author&gt;&lt;/authors&gt;&lt;/publication&gt;&lt;/publications&gt;&lt;cites&gt;&lt;/cites&gt;&lt;/citation&gt;</w:instrText>
      </w:r>
      <w:r w:rsidR="00AD5E57">
        <w:rPr>
          <w:rFonts w:ascii="Helvetica" w:hAnsi="Helvetica" w:cs="Helvetica"/>
          <w:color w:val="auto"/>
          <w:sz w:val="24"/>
          <w:szCs w:val="24"/>
          <w:lang w:val="en-GB"/>
        </w:rPr>
        <w:fldChar w:fldCharType="separate"/>
      </w:r>
      <w:r w:rsidR="00AD5E57">
        <w:rPr>
          <w:rFonts w:ascii="Helvetica" w:hAnsi="Helvetica" w:cs="Helvetica"/>
          <w:color w:val="auto"/>
          <w:sz w:val="24"/>
          <w:szCs w:val="24"/>
          <w:vertAlign w:val="superscript"/>
          <w:lang w:val="en-GB"/>
        </w:rPr>
        <w:t>7,8</w:t>
      </w:r>
      <w:r w:rsidR="00AD5E57">
        <w:rPr>
          <w:rFonts w:ascii="Helvetica" w:hAnsi="Helvetica" w:cs="Helvetica"/>
          <w:color w:val="auto"/>
          <w:sz w:val="24"/>
          <w:szCs w:val="24"/>
          <w:lang w:val="en-GB"/>
        </w:rPr>
        <w:fldChar w:fldCharType="end"/>
      </w:r>
      <w:r w:rsidR="005E2BC0">
        <w:t xml:space="preserve">  </w:t>
      </w:r>
      <w:r w:rsidR="005D78CA">
        <w:t xml:space="preserve">Secondly, in spite of the immune-evasiveness of the </w:t>
      </w:r>
      <w:r w:rsidR="00C409F0">
        <w:t>Omicron</w:t>
      </w:r>
      <w:r w:rsidR="005D78CA">
        <w:t xml:space="preserve"> variant, </w:t>
      </w:r>
      <w:r w:rsidR="006D32A1">
        <w:t xml:space="preserve">three vaccine doses </w:t>
      </w:r>
      <w:r w:rsidR="005D78CA">
        <w:t>continues to afford significant protection against COVID-19 hospitalisation (</w:t>
      </w:r>
      <w:r w:rsidR="00916EC7">
        <w:t xml:space="preserve">over 70% </w:t>
      </w:r>
      <w:r w:rsidR="005C527B">
        <w:t xml:space="preserve">in </w:t>
      </w:r>
      <w:r w:rsidR="006D32A1">
        <w:t xml:space="preserve">the </w:t>
      </w:r>
      <w:r w:rsidR="005C527B">
        <w:t>UK</w:t>
      </w:r>
      <w:r w:rsidR="00916EC7">
        <w:t>)</w:t>
      </w:r>
      <w:r w:rsidR="00AD5E57">
        <w:rPr>
          <w:rFonts w:ascii="Helvetica" w:hAnsi="Helvetica" w:cs="Helvetica"/>
          <w:color w:val="auto"/>
          <w:sz w:val="24"/>
          <w:szCs w:val="24"/>
          <w:lang w:val="en-GB"/>
        </w:rPr>
        <w:fldChar w:fldCharType="begin"/>
      </w:r>
      <w:r w:rsidR="001B68DB">
        <w:rPr>
          <w:rFonts w:ascii="Helvetica" w:hAnsi="Helvetica" w:cs="Helvetica"/>
          <w:color w:val="auto"/>
          <w:sz w:val="24"/>
          <w:szCs w:val="24"/>
          <w:lang w:val="en-GB"/>
        </w:rPr>
        <w:instrText xml:space="preserve"> ADDIN PAPERS2_CITATIONS &lt;citation&gt;&lt;priority&gt;6&lt;/priority&gt;&lt;uuid&gt;C6414469-A5DB-446B-9B81-C17C1DBDFB7E&lt;/uuid&gt;&lt;publications&gt;&lt;publication&gt;&lt;subtype&gt;400&lt;/subtype&gt;&lt;title&gt;Comparative Analysis of the Risks of Hospitalisation and Death Associated with SARS-CoV-2 Omicron (B.1.1.529) and Delta (B.1.617.2) Variants in England&lt;/title&gt;&lt;url&gt;https://www.thelancet.com/journals/lancet/article/PIIS0140-6736(22)00462-7/fulltext&lt;/url&gt;&lt;publication_date&gt;99202200001200000000200000&lt;/publication_date&gt;&lt;uuid&gt;0706D0C0-3745-4130-BDE4-59C3ED857B61&lt;/uuid&gt;&lt;type&gt;400&lt;/type&gt;&lt;doi&gt;10.2139/ssrn.4025932&lt;/doi&gt;&lt;authors&gt;&lt;author&gt;&lt;lastName&gt;Nyberg&lt;/lastName&gt;&lt;firstName&gt;Tommy&lt;/firstName&gt;&lt;/author&gt;&lt;author&gt;&lt;lastName&gt;Ferguson&lt;/lastName&gt;&lt;firstName&gt;Neil&lt;/firstName&gt;&lt;middleNames&gt;M&lt;/middleNames&gt;&lt;/author&gt;&lt;author&gt;&lt;lastName&gt;Nash&lt;/lastName&gt;&lt;firstName&gt;Sophie&lt;/firstName&gt;&lt;middleNames&gt;G&lt;/middleNames&gt;&lt;/author&gt;&lt;author&gt;&lt;lastName&gt;Webster&lt;/lastName&gt;&lt;firstName&gt;Harriet&lt;/firstName&gt;&lt;middleNames&gt;H&lt;/middleNames&gt;&lt;/author&gt;&lt;author&gt;&lt;lastName&gt;Flaxman&lt;/lastName&gt;&lt;firstName&gt;Seth&lt;/firstName&gt;&lt;/author&gt;&lt;author&gt;&lt;lastName&gt;Andrews&lt;/lastName&gt;&lt;firstName&gt;Nick&lt;/firstName&gt;&lt;/author&gt;&lt;author&gt;&lt;lastName&gt;Hinsley&lt;/lastName&gt;&lt;firstName&gt;Wes&lt;/firstName&gt;&lt;/author&gt;&lt;author&gt;&lt;lastName&gt;Bernal&lt;/lastName&gt;&lt;firstName&gt;Jamie&lt;/firstName&gt;&lt;middleNames&gt;Lopez&lt;/middleNames&gt;&lt;/author&gt;&lt;author&gt;&lt;lastName&gt;Kall&lt;/lastName&gt;&lt;firstName&gt;Meaghan&lt;/firstName&gt;&lt;/author&gt;&lt;author&gt;&lt;lastName&gt;Bhatt&lt;/lastName&gt;&lt;firstName&gt;Samir&lt;/firstName&gt;&lt;/author&gt;&lt;author&gt;&lt;lastName&gt;Blomquist&lt;/lastName&gt;&lt;firstName&gt;Paula&lt;/firstName&gt;&lt;middleNames&gt;Bianca&lt;/middleNames&gt;&lt;/author&gt;&lt;author&gt;&lt;lastName&gt;Zaidi&lt;/lastName&gt;&lt;firstName&gt;Asad&lt;/firstName&gt;&lt;/author&gt;&lt;author&gt;&lt;lastName&gt;Volz&lt;/lastName&gt;&lt;firstName&gt;Erik&lt;/firstName&gt;&lt;/author&gt;&lt;author&gt;&lt;lastName&gt;Abdul Aziz&lt;/lastName&gt;&lt;firstName&gt;Nurin&lt;/firstName&gt;&lt;/author&gt;&lt;author&gt;&lt;lastName&gt;Harman&lt;/lastName&gt;&lt;firstName&gt;Katie&lt;/firstName&gt;&lt;/author&gt;&lt;author&gt;&lt;lastName&gt;Hope&lt;/lastName&gt;&lt;firstName&gt;Russell&lt;/firstName&gt;&lt;/author&gt;&lt;author&gt;&lt;lastName&gt;Charlett&lt;/lastName&gt;&lt;firstName&gt;Andre&lt;/firstName&gt;&lt;/author&gt;&lt;author&gt;&lt;lastName&gt;Chand&lt;/lastName&gt;&lt;firstName&gt;Meera&lt;/firstName&gt;&lt;middleNames&gt;A&lt;/middleNames&gt;&lt;/author&gt;&lt;author&gt;&lt;lastName&gt;Ghani&lt;/lastName&gt;&lt;firstName&gt;Azra&lt;/firstName&gt;&lt;/author&gt;&lt;author&gt;&lt;lastName&gt;Seaman&lt;/lastName&gt;&lt;firstName&gt;Shaun&lt;/firstName&gt;&lt;/author&gt;&lt;author&gt;&lt;lastName&gt;Dabrera&lt;/lastName&gt;&lt;firstName&gt;Gavin&lt;/firstName&gt;&lt;/author&gt;&lt;author&gt;&lt;lastName&gt;DeAngelis&lt;/lastName&gt;&lt;firstName&gt;Daniela&lt;/firstName&gt;&lt;/author&gt;&lt;author&gt;&lt;lastName&gt;Presanis&lt;/lastName&gt;&lt;firstName&gt;Anne&lt;/firstName&gt;&lt;middleNames&gt;M&lt;/middleNames&gt;&lt;/author&gt;&lt;author&gt;&lt;lastName&gt;Thelwall&lt;/lastName&gt;&lt;firstName&gt;Simon&lt;/firstName&gt;&lt;/author&gt;&lt;/authors&gt;&lt;/publication&gt;&lt;/publications&gt;&lt;cites&gt;&lt;/cites&gt;&lt;/citation&gt;</w:instrText>
      </w:r>
      <w:r w:rsidR="00AD5E57">
        <w:rPr>
          <w:rFonts w:ascii="Helvetica" w:hAnsi="Helvetica" w:cs="Helvetica"/>
          <w:color w:val="auto"/>
          <w:sz w:val="24"/>
          <w:szCs w:val="24"/>
          <w:lang w:val="en-GB"/>
        </w:rPr>
        <w:fldChar w:fldCharType="separate"/>
      </w:r>
      <w:r w:rsidR="00AD5E57">
        <w:rPr>
          <w:rFonts w:ascii="Helvetica" w:hAnsi="Helvetica" w:cs="Helvetica"/>
          <w:color w:val="auto"/>
          <w:sz w:val="24"/>
          <w:szCs w:val="24"/>
          <w:vertAlign w:val="superscript"/>
          <w:lang w:val="en-GB"/>
        </w:rPr>
        <w:t>8</w:t>
      </w:r>
      <w:r w:rsidR="00AD5E57">
        <w:rPr>
          <w:rFonts w:ascii="Helvetica" w:hAnsi="Helvetica" w:cs="Helvetica"/>
          <w:color w:val="auto"/>
          <w:sz w:val="24"/>
          <w:szCs w:val="24"/>
          <w:lang w:val="en-GB"/>
        </w:rPr>
        <w:fldChar w:fldCharType="end"/>
      </w:r>
      <w:r w:rsidR="007D4314">
        <w:t xml:space="preserve"> </w:t>
      </w:r>
      <w:r w:rsidR="005D78CA">
        <w:t xml:space="preserve">and </w:t>
      </w:r>
      <w:r w:rsidR="005C527B">
        <w:t>mechanical ventilation or death</w:t>
      </w:r>
      <w:r w:rsidR="005D78CA">
        <w:t xml:space="preserve"> (</w:t>
      </w:r>
      <w:r w:rsidR="004E7592">
        <w:t>94</w:t>
      </w:r>
      <w:r w:rsidR="005D78CA">
        <w:t>%</w:t>
      </w:r>
      <w:r w:rsidR="005C527B">
        <w:t xml:space="preserve"> in </w:t>
      </w:r>
      <w:r w:rsidR="006D32A1">
        <w:t xml:space="preserve">the </w:t>
      </w:r>
      <w:r w:rsidR="005C527B">
        <w:t>USA)</w:t>
      </w:r>
      <w:r w:rsidR="001B68DB">
        <w:t>.</w:t>
      </w:r>
      <w:r w:rsidR="001B68DB">
        <w:rPr>
          <w:rFonts w:ascii="Calibri" w:hAnsi="Calibri" w:cs="Calibri"/>
          <w:color w:val="auto"/>
          <w:lang w:val="en-GB"/>
        </w:rPr>
        <w:fldChar w:fldCharType="begin"/>
      </w:r>
      <w:r w:rsidR="001B68DB">
        <w:rPr>
          <w:rFonts w:ascii="Calibri" w:hAnsi="Calibri" w:cs="Calibri"/>
          <w:color w:val="auto"/>
          <w:lang w:val="en-GB"/>
        </w:rPr>
        <w:instrText xml:space="preserve"> ADDIN PAPERS2_CITATIONS &lt;citation&gt;&lt;priority&gt;8&lt;/priority&gt;&lt;uuid&gt;06E8CA52-D626-4D17-99DA-8676315558B6&lt;/uuid&gt;&lt;publications&gt;&lt;publication&gt;&lt;subtype&gt;400&lt;/subtype&gt;&lt;title&gt;Effectiveness of mRNA Vaccination in Preventing COVID-19–Associated Invasive Mechanical Ventilation and Death — United States, March 2021–January 2022</w:instrText>
      </w:r>
    </w:p>
    <w:p w14:paraId="598760C3" w14:textId="22616373" w:rsidR="00D01860" w:rsidRDefault="001B68DB" w:rsidP="00D27555">
      <w:pPr>
        <w:textAlignment w:val="baseline"/>
      </w:pPr>
      <w:r>
        <w:rPr>
          <w:rFonts w:ascii="Calibri" w:hAnsi="Calibri" w:cs="Calibri"/>
          <w:color w:val="auto"/>
          <w:lang w:val="en-GB"/>
        </w:rPr>
        <w:instrText>&lt;/title&gt;&lt;url&gt;http://dx.doi.org/10.15585/mmwr.mm7112e1&lt;/url&gt;&lt;publication_date&gt;99202203181200000000222000&lt;/publication_date&gt;&lt;uuid&gt;B4F6F213-53CC-4CE4-AE2F-479687DCF7D9&lt;/uuid&gt;&lt;type&gt;400&lt;/type&gt;&lt;doi&gt;http://dx.doi.org/10.15585/mmwr.mm7112e1&lt;/doi&gt;&lt;bundle&gt;&lt;publication&gt;&lt;title&gt;MMWR. Morbidity and mortality weekly report&lt;/title&gt;&lt;uuid&gt;73504D10-B426-4625-B2BF-B7D829855A11&lt;/uuid&gt;&lt;subtype&gt;-100&lt;/subtype&gt;&lt;type&gt;-100&lt;/type&gt;&lt;/publication&gt;&lt;/bundle&gt;&lt;authors&gt;&lt;author&gt;&lt;lastName&gt;Tenforde&lt;/lastName&gt;&lt;firstName&gt;Mark&lt;/firstName&gt;&lt;middleNames&gt;W&lt;/middleNames&gt;&lt;/author&gt;&lt;author&gt;&lt;lastName&gt;Self&lt;/lastName&gt;&lt;firstName&gt;Wesley&lt;/firstName&gt;&lt;middleNames&gt;H&lt;/middleNames&gt;&lt;/author&gt;&lt;author&gt;&lt;lastName&gt;Gaglani&lt;/lastName&gt;&lt;firstName&gt;Manjusha&lt;/firstName&gt;&lt;/author&gt;&lt;author&gt;&lt;lastName&gt;Ginde&lt;/lastName&gt;&lt;firstName&gt;Adit&lt;/firstName&gt;&lt;middleNames&gt;A&lt;/middleNames&gt;&lt;/author&gt;&lt;/authors&gt;&lt;/publication&gt;&lt;/publications&gt;&lt;cites&gt;&lt;/cites&gt;&lt;/citation&gt;</w:instrText>
      </w:r>
      <w:r>
        <w:rPr>
          <w:rFonts w:ascii="Calibri" w:hAnsi="Calibri" w:cs="Calibri"/>
          <w:color w:val="auto"/>
          <w:lang w:val="en-GB"/>
        </w:rPr>
        <w:fldChar w:fldCharType="separate"/>
      </w:r>
      <w:r>
        <w:rPr>
          <w:rFonts w:ascii="Calibri" w:hAnsi="Calibri" w:cs="Calibri"/>
          <w:color w:val="auto"/>
          <w:vertAlign w:val="superscript"/>
          <w:lang w:val="en-GB"/>
        </w:rPr>
        <w:t>9</w:t>
      </w:r>
      <w:r>
        <w:rPr>
          <w:rFonts w:ascii="Calibri" w:hAnsi="Calibri" w:cs="Calibri"/>
          <w:color w:val="auto"/>
          <w:lang w:val="en-GB"/>
        </w:rPr>
        <w:fldChar w:fldCharType="end"/>
      </w:r>
      <w:r w:rsidR="00761787">
        <w:rPr>
          <w:rFonts w:ascii="Calibri" w:hAnsi="Calibri" w:cs="Calibri"/>
          <w:color w:val="auto"/>
          <w:lang w:val="en-GB"/>
        </w:rPr>
        <w:t xml:space="preserve"> </w:t>
      </w:r>
      <w:r w:rsidR="00761787">
        <w:t xml:space="preserve">However, the </w:t>
      </w:r>
      <w:r w:rsidR="00B564C5">
        <w:t xml:space="preserve">protective </w:t>
      </w:r>
      <w:r w:rsidR="00D54729">
        <w:t>effect</w:t>
      </w:r>
      <w:r w:rsidR="00B564C5">
        <w:t xml:space="preserve"> of </w:t>
      </w:r>
      <w:r w:rsidR="00916FEE">
        <w:t>three doses of mRNA vaccine</w:t>
      </w:r>
      <w:r w:rsidR="00B564C5">
        <w:t xml:space="preserve"> against</w:t>
      </w:r>
      <w:r w:rsidR="00D01860">
        <w:t xml:space="preserve"> </w:t>
      </w:r>
      <w:r w:rsidR="00C409F0">
        <w:t>Omicron</w:t>
      </w:r>
      <w:r w:rsidR="00D01860">
        <w:t>-associated</w:t>
      </w:r>
      <w:r w:rsidR="00B564C5">
        <w:t xml:space="preserve"> hospitalisation </w:t>
      </w:r>
      <w:r w:rsidR="00A04F04">
        <w:t xml:space="preserve">is reduced in older adults with multiple comorbidities and </w:t>
      </w:r>
      <w:r w:rsidR="00944D97">
        <w:t>may be</w:t>
      </w:r>
      <w:r w:rsidR="00B564C5">
        <w:t xml:space="preserve"> reduced in </w:t>
      </w:r>
      <w:proofErr w:type="spellStart"/>
      <w:r w:rsidR="00B564C5">
        <w:t>immuncompromised</w:t>
      </w:r>
      <w:proofErr w:type="spellEnd"/>
      <w:r w:rsidR="00B564C5">
        <w:t xml:space="preserve"> people</w:t>
      </w:r>
      <w:r w:rsidR="00A04F04">
        <w:t>.</w:t>
      </w:r>
      <w:r w:rsidR="00AD5E57">
        <w:rPr>
          <w:rFonts w:ascii="Helvetica" w:hAnsi="Helvetica" w:cs="Helvetica"/>
          <w:color w:val="auto"/>
          <w:sz w:val="24"/>
          <w:szCs w:val="24"/>
          <w:lang w:val="en-GB"/>
        </w:rPr>
        <w:fldChar w:fldCharType="begin"/>
      </w:r>
      <w:r>
        <w:rPr>
          <w:rFonts w:ascii="Helvetica" w:hAnsi="Helvetica" w:cs="Helvetica"/>
          <w:color w:val="auto"/>
          <w:sz w:val="24"/>
          <w:szCs w:val="24"/>
          <w:lang w:val="en-GB"/>
        </w:rPr>
        <w:instrText xml:space="preserve"> ADDIN PAPERS2_CITATIONS &lt;citation&gt;&lt;priority&gt;7&lt;/priority&gt;&lt;uuid&gt;36413452-B987-44B0-A6A4-17BDDCE298A4&lt;/uuid&gt;&lt;publications&gt;&lt;publication&gt;&lt;subtype&gt;400&lt;/subtype&gt;&lt;publisher&gt;European Centre for Disease Prevention and Control&lt;/publisher&gt;&lt;title&gt;Risk of severe COVID-19 from the Delta and Omicron variants in relation to vaccination status, sex, age and comorbidities – surveillance results from southern Sweden, July 2021 to January 2022&lt;/title&gt;&lt;url&gt;https://www.eurosurveillance.org/content/10.2807/1560-7917.ES.2022.27.9.2200121&lt;/url&gt;&lt;volume&gt;27&lt;/volume&gt;&lt;publication_date&gt;99202203031200000000222000&lt;/publication_date&gt;&lt;uuid&gt;A3CD6F8C-4FFC-46CA-8C95-780B2D03CE09&lt;/uuid&gt;&lt;type&gt;400&lt;/type&gt;&lt;number&gt;9&lt;/number&gt;&lt;doi&gt;10.2807/1560-7917.ES.2022.27.9.2200121&lt;/doi&gt;&lt;startpage&gt;2200121&lt;/startpage&gt;&lt;bundle&gt;&lt;publication&gt;&lt;title&gt;Euro surveillance : bulletin Europeen sur les maladies transmissibles = European communicable disease bulletin&lt;/title&gt;&lt;uuid&gt;0536DA89-48E1-4778-A068-6659F1A8CFF6&lt;/uuid&gt;&lt;subtype&gt;-100&lt;/subtype&gt;&lt;publisher&gt;European Centre for Disease Prevention and Control&lt;/publisher&gt;&lt;type&gt;-100&lt;/type&gt;&lt;/publication&gt;&lt;/bundle&gt;&lt;authors&gt;&lt;author&gt;&lt;lastName&gt;Kahn&lt;/lastName&gt;&lt;firstName&gt;Fredrik&lt;/firstName&gt;&lt;/author&gt;&lt;author&gt;&lt;lastName&gt;Bonander&lt;/lastName&gt;&lt;firstName&gt;Carl&lt;/firstName&gt;&lt;/author&gt;&lt;author&gt;&lt;lastName&gt;Moghaddassi&lt;/lastName&gt;&lt;firstName&gt;Mahnaz&lt;/firstName&gt;&lt;/author&gt;&lt;author&gt;&lt;lastName&gt;Rasmussen&lt;/lastName&gt;&lt;firstName&gt;Magnus&lt;/firstName&gt;&lt;/author&gt;&lt;author&gt;&lt;lastName&gt;Malmqvist&lt;/lastName&gt;&lt;firstName&gt;Ulf&lt;/firstName&gt;&lt;/author&gt;&lt;author&gt;&lt;lastName&gt;Inghammar&lt;/lastName&gt;&lt;firstName&gt;Malin&lt;/firstName&gt;&lt;/author&gt;&lt;author&gt;&lt;lastName&gt;Björk&lt;/lastName&gt;&lt;firstName&gt;Jonas&lt;/firstName&gt;&lt;/author&gt;&lt;/authors&gt;&lt;/publication&gt;&lt;publication&gt;&lt;subtype&gt;400&lt;/subtype&gt;&lt;title&gt;Effectiveness of a Third Dose of Pfizer-BioNTech and Moderna Vaccines in Preventing COVID-19 Hospitalization Among Immunocompetent and Immunocompromised Adults - United States, August-December 2021.&lt;/title&gt;&lt;url&gt;https://www.cdc.gov/mmwr/volumes/71/wr/mm7104a2.htm&lt;/url&gt;&lt;volume&gt;71&lt;/volume&gt;&lt;publication_date&gt;99202201281200000000222000&lt;/publication_date&gt;&lt;uuid&gt;C4200407-3CB9-4D85-8578-CACF7F6095D1&lt;/uuid&gt;&lt;type&gt;400&lt;/type&gt;&lt;number&gt;4&lt;/number&gt;&lt;doi&gt;10.15585/mmwr.mm7104a2&lt;/doi&gt;&lt;institution&gt;Baylor Scott &amp;amp; White Health.&lt;/institution&gt;&lt;startpage&gt;118&lt;/startpage&gt;&lt;endpage&gt;124&lt;/endpage&gt;&lt;bundle&gt;&lt;publication&gt;&lt;title&gt;MMWR. Morbidity and mortality weekly report&lt;/title&gt;&lt;uuid&gt;73504D10-B426-4625-B2BF-B7D829855A11&lt;/uuid&gt;&lt;subtype&gt;-100&lt;/subtype&gt;&lt;type&gt;-100&lt;/type&gt;&lt;/publication&gt;&lt;/bundle&gt;&lt;authors&gt;&lt;author&gt;&lt;lastName&gt;Tenforde&lt;/lastName&gt;&lt;firstName&gt;Mark&lt;/firstName&gt;&lt;middleNames&gt;W&lt;/middleNames&gt;&lt;/author&gt;&lt;author&gt;&lt;lastName&gt;Patel&lt;/lastName&gt;&lt;firstName&gt;Manish&lt;/firstName&gt;&lt;middleNames&gt;M&lt;/middleNames&gt;&lt;/author&gt;&lt;author&gt;&lt;lastName&gt;Gaglani&lt;/lastName&gt;&lt;firstName&gt;Manjusha&lt;/firstName&gt;&lt;/author&gt;&lt;author&gt;&lt;lastName&gt;Ginde&lt;/lastName&gt;&lt;firstName&gt;Adit&lt;/firstName&gt;&lt;middleNames&gt;A&lt;/middleNames&gt;&lt;/author&gt;&lt;author&gt;&lt;lastName&gt;Douin&lt;/lastName&gt;&lt;firstName&gt;David&lt;/firstName&gt;&lt;middleNames&gt;J&lt;/middleNames&gt;&lt;/author&gt;&lt;author&gt;&lt;lastName&gt;Talbot&lt;/lastName&gt;&lt;firstName&gt;H&lt;/firstName&gt;&lt;middleNames&gt;Keipp&lt;/middleNames&gt;&lt;/author&gt;&lt;author&gt;&lt;lastName&gt;Casey&lt;/lastName&gt;&lt;firstName&gt;Jonathan&lt;/firstName&gt;&lt;middleNames&gt;D&lt;/middleNames&gt;&lt;/author&gt;&lt;author&gt;&lt;lastName&gt;Mohr&lt;/lastName&gt;&lt;firstName&gt;Nicholas&lt;/firstName&gt;&lt;middleNames&gt;M&lt;/middleNames&gt;&lt;/author&gt;&lt;author&gt;&lt;lastName&gt;Zepeski&lt;/lastName&gt;&lt;firstName&gt;Anne&lt;/firstName&gt;&lt;/author&gt;&lt;author&gt;&lt;lastName&gt;McNeal&lt;/lastName&gt;&lt;firstName&gt;Tresa&lt;/firstName&gt;&lt;/author&gt;&lt;author&gt;&lt;lastName&gt;Ghamande&lt;/lastName&gt;&lt;firstName&gt;Shekhar&lt;/firstName&gt;&lt;/author&gt;&lt;author&gt;&lt;lastName&gt;Gibbs&lt;/lastName&gt;&lt;firstName&gt;Kevin&lt;/firstName&gt;&lt;middleNames&gt;W&lt;/middleNames&gt;&lt;/author&gt;&lt;author&gt;&lt;lastName&gt;Files&lt;/lastName&gt;&lt;firstName&gt;D&lt;/firstName&gt;&lt;middleNames&gt;Clark&lt;/middleNames&gt;&lt;/author&gt;&lt;author&gt;&lt;lastName&gt;Hager&lt;/lastName&gt;&lt;firstName&gt;David&lt;/firstName&gt;&lt;middleNames&gt;N&lt;/middleNames&gt;&lt;/author&gt;&lt;author&gt;&lt;lastName&gt;Shehu&lt;/lastName&gt;&lt;firstName&gt;Arber&lt;/firstName&gt;&lt;/author&gt;&lt;author&gt;&lt;lastName&gt;Prekker&lt;/lastName&gt;&lt;firstName&gt;Matthew&lt;/firstName&gt;&lt;middleNames&gt;E&lt;/middleNames&gt;&lt;/author&gt;&lt;author&gt;&lt;lastName&gt;Erickson&lt;/lastName&gt;&lt;firstName&gt;Heidi&lt;/firstName&gt;&lt;middleNames&gt;L&lt;/middleNames&gt;&lt;/author&gt;&lt;author&gt;&lt;lastName&gt;Gong&lt;/lastName&gt;&lt;firstName&gt;Michelle&lt;/firstName&gt;&lt;middleNames&gt;N&lt;/middleNames&gt;&lt;/author&gt;&lt;author&gt;&lt;lastName&gt;Mohamed&lt;/lastName&gt;&lt;firstName&gt;Amira&lt;/firstName&gt;&lt;/author&gt;&lt;author&gt;&lt;lastName&gt;Johnson&lt;/lastName&gt;&lt;firstName&gt;Nicholas&lt;/firstName&gt;&lt;middleNames&gt;J&lt;/middleNames&gt;&lt;/author&gt;&lt;author&gt;&lt;lastName&gt;Srinivasan&lt;/lastName&gt;&lt;firstName&gt;Vasisht&lt;/firstName&gt;&lt;/author&gt;&lt;author&gt;&lt;lastName&gt;Steingrub&lt;/lastName&gt;&lt;firstName&gt;Jay&lt;/firstName&gt;&lt;middleNames&gt;S&lt;/middleNames&gt;&lt;/author&gt;&lt;author&gt;&lt;lastName&gt;Peltan&lt;/lastName&gt;&lt;firstName&gt;Ithan&lt;/firstName&gt;&lt;middleNames&gt;D&lt;/middleNames&gt;&lt;/author&gt;&lt;author&gt;&lt;lastName&gt;Brown&lt;/lastName&gt;&lt;firstName&gt;Samuel&lt;/firstName&gt;&lt;middleNames&gt;M&lt;/middleNames&gt;&lt;/author&gt;&lt;author&gt;&lt;lastName&gt;Martin&lt;/lastName&gt;&lt;firstName&gt;Emily&lt;/firstName&gt;&lt;middleNames&gt;T&lt;/middleNames&gt;&lt;/author&gt;&lt;author&gt;&lt;lastName&gt;Monto&lt;/lastName&gt;&lt;firstName&gt;Arnold&lt;/firstName&gt;&lt;middleNames&gt;S&lt;/middleNames&gt;&lt;/author&gt;&lt;author&gt;&lt;lastName&gt;Khan&lt;/lastName&gt;&lt;firstName&gt;Akram&lt;/firstName&gt;&lt;/author&gt;&lt;author&gt;&lt;lastName&gt;Hough&lt;/lastName&gt;&lt;firstName&gt;Catherine&lt;/firstName&gt;&lt;middleNames&gt;L&lt;/middleNames&gt;&lt;/author&gt;&lt;author&gt;&lt;lastName&gt;Busse&lt;/lastName&gt;&lt;firstName&gt;Laurence&lt;/firstName&gt;&lt;middleNames&gt;W&lt;/middleNames&gt;&lt;/author&gt;&lt;author&gt;&lt;lastName&gt;Duggal&lt;/lastName&gt;&lt;firstName&gt;Abhijit&lt;/firstName&gt;&lt;/author&gt;&lt;author&gt;&lt;lastName&gt;Wilson&lt;/lastName&gt;&lt;firstName&gt;Jennifer&lt;/firstName&gt;&lt;middleNames&gt;G&lt;/middleNames&gt;&lt;/author&gt;&lt;author&gt;&lt;lastName&gt;Qadir&lt;/lastName&gt;&lt;firstName&gt;Nida&lt;/firstName&gt;&lt;/author&gt;&lt;author&gt;&lt;lastName&gt;Chang&lt;/lastName&gt;&lt;firstName&gt;Steven&lt;/firstName&gt;&lt;middleNames&gt;Y&lt;/middleNames&gt;&lt;/author&gt;&lt;author&gt;&lt;lastName&gt;Mallow&lt;/lastName&gt;&lt;firstName&gt;Christopher&lt;/firstName&gt;&lt;/author&gt;&lt;author&gt;&lt;lastName&gt;Rivas&lt;/lastName&gt;&lt;firstName&gt;Carolina&lt;/firstName&gt;&lt;/author&gt;&lt;author&gt;&lt;lastName&gt;Babcock&lt;/lastName&gt;&lt;firstName&gt;Hilary&lt;/firstName&gt;&lt;middleNames&gt;M&lt;/middleNames&gt;&lt;/author&gt;&lt;author&gt;&lt;lastName&gt;Kwon&lt;/lastName&gt;&lt;firstName&gt;Jennie&lt;/firstName&gt;&lt;middleNames&gt;H&lt;/middleNames&gt;&lt;/author&gt;&lt;author&gt;&lt;lastName&gt;Exline&lt;/lastName&gt;&lt;firstName&gt;Matthew&lt;/firstName&gt;&lt;middleNames&gt;C&lt;/middleNames&gt;&lt;/author&gt;&lt;author&gt;&lt;lastName&gt;Botros&lt;/lastName&gt;&lt;firstName&gt;Mena&lt;/firstName&gt;&lt;/author&gt;&lt;author&gt;&lt;lastName&gt;Lauring&lt;/lastName&gt;&lt;firstName&gt;Adam&lt;/firstName&gt;&lt;middleNames&gt;S&lt;/middleNames&gt;&lt;/author&gt;&lt;author&gt;&lt;lastName&gt;Shapiro&lt;/lastName&gt;&lt;firstName&gt;Nathan&lt;/firstName&gt;&lt;middleNames&gt;I&lt;/middleNames&gt;&lt;/author&gt;&lt;author&gt;&lt;lastName&gt;Halasa&lt;/lastName&gt;&lt;firstName&gt;Natasha&lt;/firstName&gt;&lt;/author&gt;&lt;author&gt;&lt;lastName&gt;Chappell&lt;/lastName&gt;&lt;firstName&gt;James&lt;/firstName&gt;&lt;middleNames&gt;D&lt;/middleNames&gt;&lt;/author&gt;&lt;author&gt;&lt;lastName&gt;Grijalva&lt;/lastName&gt;&lt;firstName&gt;Carlos&lt;/firstName&gt;&lt;middleNames&gt;G&lt;/middleNames&gt;&lt;/author&gt;&lt;author&gt;&lt;lastName&gt;Rice&lt;/lastName&gt;&lt;firstName&gt;Todd&lt;/firstName&gt;&lt;middleNames&gt;W&lt;/middleNames&gt;&lt;/author&gt;&lt;author&gt;&lt;lastName&gt;Jones&lt;/lastName&gt;&lt;firstName&gt;Ian&lt;/firstName&gt;&lt;middleNames&gt;D&lt;/middleNames&gt;&lt;/author&gt;&lt;author&gt;&lt;lastName&gt;Stubblefield&lt;/lastName&gt;&lt;firstName&gt;William&lt;/firstName&gt;&lt;middleNames&gt;B&lt;/middleNames&gt;&lt;/author&gt;&lt;author&gt;&lt;lastName&gt;Baughman&lt;/lastName&gt;&lt;firstName&gt;Adrienne&lt;/firstName&gt;&lt;/author&gt;&lt;author&gt;&lt;lastName&gt;Womack&lt;/lastName&gt;&lt;firstName&gt;Kelsey&lt;/firstName&gt;&lt;middleNames&gt;N&lt;/middleNames&gt;&lt;/author&gt;&lt;author&gt;&lt;lastName&gt;Rhoads&lt;/lastName&gt;&lt;firstName&gt;Jillian&lt;/firstName&gt;&lt;middleNames&gt;P&lt;/middleNames&gt;&lt;/author&gt;&lt;author&gt;&lt;lastName&gt;Lindsell&lt;/lastName&gt;&lt;firstName&gt;Christopher&lt;/firstName&gt;&lt;middleNames&gt;J&lt;/middleNames&gt;&lt;/author&gt;&lt;author&gt;&lt;lastName&gt;Hart&lt;/lastName&gt;&lt;firstName&gt;Kimberly&lt;/firstName&gt;&lt;middleNames&gt;W&lt;/middleNames&gt;&lt;/author&gt;&lt;author&gt;&lt;lastName&gt;Zhu&lt;/lastName&gt;&lt;firstName&gt;Yuwei&lt;/firstName&gt;&lt;/author&gt;&lt;author&gt;&lt;lastName&gt;Naioti&lt;/lastName&gt;&lt;firstName&gt;Eric&lt;/firstName&gt;&lt;middleNames&gt;A&lt;/middleNames&gt;&lt;/author&gt;&lt;author&gt;&lt;lastName&gt;Adams&lt;/lastName&gt;&lt;firstName&gt;Katherine&lt;/firstName&gt;&lt;/author&gt;&lt;author&gt;&lt;lastName&gt;Lewis&lt;/lastName&gt;&lt;firstName&gt;Nathaniel&lt;/firstName&gt;&lt;middleNames&gt;M&lt;/middleNames&gt;&lt;/author&gt;&lt;author&gt;&lt;lastName&gt;Surie&lt;/lastName&gt;&lt;firstName&gt;Diya&lt;/firstName&gt;&lt;/author&gt;&lt;author&gt;&lt;lastName&gt;McMorrow&lt;/lastName&gt;&lt;firstName&gt;Meredith&lt;/firstName&gt;&lt;middleNames&gt;L&lt;/middleNames&gt;&lt;/author&gt;&lt;author&gt;&lt;lastName&gt;Self&lt;/lastName&gt;&lt;firstName&gt;Wesley&lt;/firstName&gt;&lt;middleNames&gt;H&lt;/middleNames&gt;&lt;/author&gt;&lt;author&gt;&lt;lastName&gt;IVY Network&lt;/lastName&gt;&lt;/author&gt;&lt;/authors&gt;&lt;/publication&gt;&lt;publication&gt;&lt;subtype&gt;400&lt;/subtype&gt;&lt;publisher&gt;Nature Publishing Group&lt;/publisher&gt;&lt;title&gt;Effectiveness of mRNA-1273 against SARS-CoV-2 Omicron and Delta variants.&lt;/title&gt;&lt;url&gt;https://www.nature.com/articles/s41591-022-01753-y&lt;/url&gt;&lt;publication_date&gt;99202202211200000000222000&lt;/publication_date&gt;&lt;uuid&gt;6FA98635-5832-41BE-9859-63216EFFB96E&lt;/uuid&gt;&lt;type&gt;400&lt;/type&gt;&lt;accepted_date&gt;99202202171200000000222000&lt;/accepted_date&gt;&lt;submission_date&gt;99202201211200000000222000&lt;/submission_date&gt;&lt;doi&gt;10.1038/s41591-022-01753-y&lt;/doi&gt;&lt;institution&gt;Department of Research and Evaluation, Kaiser Permanente Southern California, Pasadena, CA, USA. Hung-Fu.X.Tseng@kp.org.&lt;/institution&gt;&lt;startpage&gt;1&lt;/startpage&gt;&lt;endpage&gt;1&lt;/endpage&gt;&lt;bundle&gt;&lt;publication&gt;&lt;title&gt;Nature medicine&lt;/title&gt;&lt;uuid&gt;C41FC3DA-E99B-4D7E-91A6-4BC560E947E8&lt;/uuid&gt;&lt;subtype&gt;-100&lt;/subtype&gt;&lt;type&gt;-100&lt;/type&gt;&lt;/publication&gt;&lt;/bundle&gt;&lt;authors&gt;&lt;author&gt;&lt;lastName&gt;Tseng&lt;/lastName&gt;&lt;firstName&gt;Hung&lt;/firstName&gt;&lt;middleNames&gt;Fu&lt;/middleNames&gt;&lt;/author&gt;&lt;author&gt;&lt;lastName&gt;Ackerson&lt;/lastName&gt;&lt;firstName&gt;Bradley&lt;/firstName&gt;&lt;middleNames&gt;K&lt;/middleNames&gt;&lt;/author&gt;&lt;author&gt;&lt;lastName&gt;Luo&lt;/lastName&gt;&lt;firstName&gt;Yi&lt;/firstName&gt;&lt;/author&gt;&lt;author&gt;&lt;lastName&gt;Sy&lt;/lastName&gt;&lt;firstName&gt;Lina&lt;/firstName&gt;&lt;middleNames&gt;S&lt;/middleNames&gt;&lt;/author&gt;&lt;author&gt;&lt;lastName&gt;Talarico&lt;/lastName&gt;&lt;firstName&gt;Carla&lt;/firstName&gt;&lt;middleNames&gt;A&lt;/middleNames&gt;&lt;/author&gt;&lt;author&gt;&lt;lastName&gt;Tian&lt;/lastName&gt;&lt;firstName&gt;Yun&lt;/firstName&gt;&lt;/author&gt;&lt;author&gt;&lt;lastName&gt;Bruxvoort&lt;/lastName&gt;&lt;firstName&gt;Katia&lt;/firstName&gt;&lt;middleNames&gt;J&lt;/middleNames&gt;&lt;/author&gt;&lt;author&gt;&lt;lastName&gt;Tubert&lt;/lastName&gt;&lt;firstName&gt;Julia&lt;/firstName&gt;&lt;middleNames&gt;E&lt;/middleNames&gt;&lt;/author&gt;&lt;author&gt;&lt;lastName&gt;Florea&lt;/lastName&gt;&lt;firstName&gt;Ana&lt;/firstName&gt;&lt;/author&gt;&lt;author&gt;&lt;lastName&gt;Ku&lt;/lastName&gt;&lt;firstName&gt;Jennifer&lt;/firstName&gt;&lt;middleNames&gt;H&lt;/middleNames&gt;&lt;/author&gt;&lt;author&gt;&lt;lastName&gt;Lee&lt;/lastName&gt;&lt;firstName&gt;Gina&lt;/firstName&gt;&lt;middleNames&gt;S&lt;/middleNames&gt;&lt;/author&gt;&lt;author&gt;&lt;lastName&gt;Choi&lt;/lastName&gt;&lt;firstName&gt;Soon&lt;/firstName&gt;&lt;middleNames&gt;Kyu&lt;/middleNames&gt;&lt;/author&gt;&lt;author&gt;&lt;lastName&gt;Takhar&lt;/lastName&gt;&lt;firstName&gt;Harpreet&lt;/firstName&gt;&lt;middleNames&gt;S&lt;/middleNames&gt;&lt;/author&gt;&lt;author&gt;&lt;lastName&gt;Aragones&lt;/lastName&gt;&lt;firstName&gt;Michael&lt;/firstName&gt;&lt;/author&gt;&lt;author&gt;&lt;lastName&gt;Qian&lt;/lastName&gt;&lt;firstName&gt;Lei&lt;/firstName&gt;&lt;/author&gt;&lt;/authors&gt;&lt;/publication&gt;&lt;/publications&gt;&lt;cites&gt;&lt;/cites&gt;&lt;/citation&gt;</w:instrText>
      </w:r>
      <w:r w:rsidR="00AD5E57">
        <w:rPr>
          <w:rFonts w:ascii="Helvetica" w:hAnsi="Helvetica" w:cs="Helvetica"/>
          <w:color w:val="auto"/>
          <w:sz w:val="24"/>
          <w:szCs w:val="24"/>
          <w:lang w:val="en-GB"/>
        </w:rPr>
        <w:fldChar w:fldCharType="separate"/>
      </w:r>
      <w:r>
        <w:rPr>
          <w:rFonts w:ascii="Helvetica" w:hAnsi="Helvetica" w:cs="Helvetica"/>
          <w:color w:val="auto"/>
          <w:sz w:val="24"/>
          <w:szCs w:val="24"/>
          <w:vertAlign w:val="superscript"/>
          <w:lang w:val="en-GB"/>
        </w:rPr>
        <w:t>10-12</w:t>
      </w:r>
      <w:r w:rsidR="00AD5E57">
        <w:rPr>
          <w:rFonts w:ascii="Helvetica" w:hAnsi="Helvetica" w:cs="Helvetica"/>
          <w:color w:val="auto"/>
          <w:sz w:val="24"/>
          <w:szCs w:val="24"/>
          <w:lang w:val="en-GB"/>
        </w:rPr>
        <w:fldChar w:fldCharType="end"/>
      </w:r>
    </w:p>
    <w:p w14:paraId="48EB7E76" w14:textId="276710FA" w:rsidR="00D01860" w:rsidRDefault="00D54729" w:rsidP="00D27555">
      <w:pPr>
        <w:textAlignment w:val="baseline"/>
      </w:pPr>
      <w:r>
        <w:lastRenderedPageBreak/>
        <w:t>In summary</w:t>
      </w:r>
      <w:r w:rsidR="004B7975">
        <w:t>,</w:t>
      </w:r>
      <w:r w:rsidR="00D01860">
        <w:t xml:space="preserve"> there is </w:t>
      </w:r>
      <w:r w:rsidR="001339FD">
        <w:t xml:space="preserve">moderate </w:t>
      </w:r>
      <w:r w:rsidR="00D01860">
        <w:t xml:space="preserve">evidence from a single study to suggest that treatment with a </w:t>
      </w:r>
      <w:proofErr w:type="gramStart"/>
      <w:r w:rsidR="00D01860">
        <w:t>3 day</w:t>
      </w:r>
      <w:proofErr w:type="gramEnd"/>
      <w:r w:rsidR="00D01860">
        <w:t xml:space="preserve"> course of intravenous remdesivir reduces risk of hospitalisation in unvaccinated ‘high risk’ adults. The relative benefit of remdesivir treatment is likely to be </w:t>
      </w:r>
      <w:r w:rsidR="001339FD">
        <w:t>at least</w:t>
      </w:r>
      <w:r w:rsidR="00D01860">
        <w:t xml:space="preserve"> halved by infection with the </w:t>
      </w:r>
      <w:r w:rsidR="00C409F0">
        <w:t>Omicron</w:t>
      </w:r>
      <w:r w:rsidR="00D01860">
        <w:t xml:space="preserve"> </w:t>
      </w:r>
      <w:proofErr w:type="gramStart"/>
      <w:r w:rsidR="00D01860">
        <w:t>variant, and</w:t>
      </w:r>
      <w:proofErr w:type="gramEnd"/>
      <w:r w:rsidR="00D01860">
        <w:t xml:space="preserve"> may be</w:t>
      </w:r>
      <w:r w:rsidR="001339FD">
        <w:t xml:space="preserve"> reduced to</w:t>
      </w:r>
      <w:r w:rsidR="00D01860">
        <w:t xml:space="preserve"> insignifican</w:t>
      </w:r>
      <w:r w:rsidR="001339FD">
        <w:t>ce</w:t>
      </w:r>
      <w:r w:rsidR="00D01860">
        <w:t xml:space="preserve"> in most people who have completed vaccination with a booster. </w:t>
      </w:r>
      <w:r w:rsidR="001339FD">
        <w:t xml:space="preserve">Some groups of patients with a </w:t>
      </w:r>
      <w:r w:rsidR="00CA61AA">
        <w:t xml:space="preserve">very </w:t>
      </w:r>
      <w:r w:rsidR="001339FD">
        <w:t>high absolute risk of hospitalisation may be more likely to benefit from remdesivir treatment</w:t>
      </w:r>
      <w:r w:rsidR="00CA61AA">
        <w:t xml:space="preserve"> than others</w:t>
      </w:r>
      <w:r w:rsidR="001339FD">
        <w:t xml:space="preserve">, </w:t>
      </w:r>
      <w:r w:rsidR="00CA61AA">
        <w:t>but</w:t>
      </w:r>
      <w:r w:rsidR="001339FD">
        <w:t xml:space="preserve"> there are no published data to support this </w:t>
      </w:r>
      <w:r w:rsidR="00CA61AA">
        <w:t>hypothesis</w:t>
      </w:r>
      <w:r w:rsidR="001339FD">
        <w:t xml:space="preserve">. </w:t>
      </w:r>
    </w:p>
    <w:p w14:paraId="35BF1603" w14:textId="1644CC6E" w:rsidR="00500172" w:rsidRDefault="00500172" w:rsidP="00D27555">
      <w:pPr>
        <w:textAlignment w:val="baseline"/>
      </w:pPr>
    </w:p>
    <w:p w14:paraId="106CE489" w14:textId="3803162C" w:rsidR="00500172" w:rsidRDefault="001F7AA4" w:rsidP="00D27555">
      <w:pPr>
        <w:textAlignment w:val="baseline"/>
        <w:rPr>
          <w:bCs/>
        </w:rPr>
      </w:pPr>
      <w:r>
        <w:t>In</w:t>
      </w:r>
      <w:r w:rsidR="00500172">
        <w:t xml:space="preserve"> New Zealand, the </w:t>
      </w:r>
      <w:r w:rsidR="00F52AAD">
        <w:t xml:space="preserve">critical </w:t>
      </w:r>
      <w:r w:rsidR="00500172">
        <w:t xml:space="preserve">consideration for </w:t>
      </w:r>
      <w:r w:rsidR="00D54729">
        <w:t>use</w:t>
      </w:r>
      <w:r w:rsidR="00500172">
        <w:t xml:space="preserve"> of remdesivir is</w:t>
      </w:r>
      <w:r w:rsidR="00D54729">
        <w:t xml:space="preserve"> its </w:t>
      </w:r>
      <w:r w:rsidR="00500172">
        <w:t xml:space="preserve">extremely limited </w:t>
      </w:r>
      <w:r w:rsidR="00D54729">
        <w:t xml:space="preserve">availability, which is currently </w:t>
      </w:r>
      <w:r w:rsidR="00500172">
        <w:t xml:space="preserve">sufficient to treat fewer than 1000 patients. </w:t>
      </w:r>
      <w:r w:rsidR="00E44CE1">
        <w:t xml:space="preserve">This supply is mismatched </w:t>
      </w:r>
      <w:r w:rsidR="00D54729">
        <w:t>against</w:t>
      </w:r>
      <w:r w:rsidR="00E44CE1">
        <w:t xml:space="preserve"> </w:t>
      </w:r>
      <w:r w:rsidR="00500172">
        <w:t xml:space="preserve">the vast numbers of people with </w:t>
      </w:r>
      <w:r w:rsidR="00E44CE1">
        <w:t xml:space="preserve">active </w:t>
      </w:r>
      <w:r w:rsidR="00500172">
        <w:t>COVID-19 in the community</w:t>
      </w:r>
      <w:r w:rsidR="00E44CE1">
        <w:t xml:space="preserve"> </w:t>
      </w:r>
      <w:hyperlink r:id="rId19" w:history="1">
        <w:r w:rsidR="00E44CE1" w:rsidRPr="006D32A1">
          <w:rPr>
            <w:rStyle w:val="Hyperlink"/>
          </w:rPr>
          <w:t>(120,000 on March 18</w:t>
        </w:r>
        <w:r w:rsidR="00E44CE1" w:rsidRPr="006D32A1">
          <w:rPr>
            <w:rStyle w:val="Hyperlink"/>
            <w:vertAlign w:val="superscript"/>
          </w:rPr>
          <w:t>th</w:t>
        </w:r>
        <w:r w:rsidR="00E44CE1" w:rsidRPr="006D32A1">
          <w:rPr>
            <w:rStyle w:val="Hyperlink"/>
          </w:rPr>
          <w:t>)</w:t>
        </w:r>
        <w:r w:rsidR="00A91513" w:rsidRPr="006D32A1">
          <w:rPr>
            <w:rStyle w:val="Hyperlink"/>
          </w:rPr>
          <w:t>.</w:t>
        </w:r>
      </w:hyperlink>
      <w:r w:rsidR="00A91513">
        <w:t xml:space="preserve"> As a result</w:t>
      </w:r>
      <w:r w:rsidR="007D6E7F">
        <w:t xml:space="preserve">, it is predicted that </w:t>
      </w:r>
      <w:r w:rsidR="00A91513">
        <w:t xml:space="preserve">there </w:t>
      </w:r>
      <w:r w:rsidR="007D6E7F">
        <w:t>will be</w:t>
      </w:r>
      <w:r w:rsidR="00A91513">
        <w:t xml:space="preserve"> insufficient </w:t>
      </w:r>
      <w:r w:rsidR="007D6E7F">
        <w:t>courses</w:t>
      </w:r>
      <w:r w:rsidR="00A91513">
        <w:t xml:space="preserve"> of remdesivir to treat the eligible population described by the revised PHARMAC </w:t>
      </w:r>
      <w:hyperlink r:id="rId20" w:history="1">
        <w:r w:rsidR="00E44CE1" w:rsidRPr="009A6033">
          <w:rPr>
            <w:rStyle w:val="Hyperlink"/>
            <w:bCs/>
          </w:rPr>
          <w:t>temporary access criteria for remdesivir</w:t>
        </w:r>
      </w:hyperlink>
      <w:r w:rsidR="00A91513">
        <w:rPr>
          <w:bCs/>
        </w:rPr>
        <w:t>, and further prioritisation</w:t>
      </w:r>
      <w:r w:rsidR="007D6E7F">
        <w:rPr>
          <w:bCs/>
        </w:rPr>
        <w:t xml:space="preserve"> will be</w:t>
      </w:r>
      <w:r w:rsidR="00A91513">
        <w:rPr>
          <w:bCs/>
        </w:rPr>
        <w:t xml:space="preserve"> required. A second significant consideration is the large healthcare resource required to deliver a three-day course of intravenous remdesivir to people in the community</w:t>
      </w:r>
      <w:r w:rsidR="0030242F">
        <w:rPr>
          <w:bCs/>
        </w:rPr>
        <w:t xml:space="preserve">. Furthermore, </w:t>
      </w:r>
      <w:r w:rsidR="007D6E7F">
        <w:rPr>
          <w:bCs/>
        </w:rPr>
        <w:t xml:space="preserve">these </w:t>
      </w:r>
      <w:r w:rsidR="0030242F">
        <w:rPr>
          <w:bCs/>
        </w:rPr>
        <w:t xml:space="preserve">healthcare worker, healthcare facility and healthcare system resources are all </w:t>
      </w:r>
      <w:r w:rsidR="007D6E7F">
        <w:rPr>
          <w:bCs/>
        </w:rPr>
        <w:t xml:space="preserve">currently </w:t>
      </w:r>
      <w:r w:rsidR="0030242F">
        <w:rPr>
          <w:bCs/>
        </w:rPr>
        <w:t>under unprecedented strain due to th</w:t>
      </w:r>
      <w:r w:rsidR="007D6E7F">
        <w:rPr>
          <w:bCs/>
        </w:rPr>
        <w:t xml:space="preserve">e surge of </w:t>
      </w:r>
      <w:r w:rsidR="00C409F0">
        <w:rPr>
          <w:bCs/>
        </w:rPr>
        <w:t>Omicron</w:t>
      </w:r>
      <w:r w:rsidR="007D6E7F">
        <w:rPr>
          <w:bCs/>
        </w:rPr>
        <w:t xml:space="preserve">-variant COVID-19 </w:t>
      </w:r>
      <w:r w:rsidR="00E92695">
        <w:rPr>
          <w:bCs/>
        </w:rPr>
        <w:t>cases</w:t>
      </w:r>
      <w:r w:rsidR="0030242F">
        <w:rPr>
          <w:bCs/>
        </w:rPr>
        <w:t xml:space="preserve">. Lastly, due to the over-representation of Māori and Pasifika among people hospitalised with COVID-19, it is critical that </w:t>
      </w:r>
      <w:r w:rsidR="0064468F">
        <w:rPr>
          <w:bCs/>
        </w:rPr>
        <w:t xml:space="preserve">additional </w:t>
      </w:r>
      <w:r w:rsidR="0030242F">
        <w:rPr>
          <w:bCs/>
        </w:rPr>
        <w:t xml:space="preserve">healthcare resource </w:t>
      </w:r>
      <w:r w:rsidR="007D6E7F">
        <w:rPr>
          <w:bCs/>
        </w:rPr>
        <w:t xml:space="preserve">is </w:t>
      </w:r>
      <w:r w:rsidR="0064468F">
        <w:rPr>
          <w:bCs/>
        </w:rPr>
        <w:t xml:space="preserve">deployed to overcome this inequity. </w:t>
      </w:r>
    </w:p>
    <w:p w14:paraId="0E08488E" w14:textId="6ED4296E" w:rsidR="0064468F" w:rsidRDefault="0064468F" w:rsidP="00D27555">
      <w:pPr>
        <w:textAlignment w:val="baseline"/>
        <w:rPr>
          <w:bCs/>
        </w:rPr>
      </w:pPr>
    </w:p>
    <w:p w14:paraId="7E0229A3" w14:textId="64C4472E" w:rsidR="00A2060C" w:rsidRDefault="57DA3E62" w:rsidP="00E92695">
      <w:pPr>
        <w:textAlignment w:val="baseline"/>
      </w:pPr>
      <w:r>
        <w:t xml:space="preserve">After considering the relevant literature and the practical challenges facing the New Zealand healthcare system during the </w:t>
      </w:r>
      <w:r w:rsidR="00C409F0">
        <w:t>Omicron</w:t>
      </w:r>
      <w:r>
        <w:t xml:space="preserve"> ‘surge’ in community cases, the Therapeutics </w:t>
      </w:r>
      <w:r w:rsidR="008834EB">
        <w:t>TAG</w:t>
      </w:r>
      <w:r>
        <w:t xml:space="preserve"> considers that it is reasonable to offer remdesivir to people with early COVID-19 who are at very high risk of requiring hospital treatment, as outlined in the </w:t>
      </w:r>
      <w:hyperlink w:anchor="recommendations">
        <w:r w:rsidRPr="57DA3E62">
          <w:rPr>
            <w:rStyle w:val="Hyperlink"/>
          </w:rPr>
          <w:t>recommendations</w:t>
        </w:r>
      </w:hyperlink>
      <w:r>
        <w:t xml:space="preserve"> above. However, given limitations in the evidence, and the significant resource constraints highlighted, we consider community remdesivir treatment to be </w:t>
      </w:r>
      <w:r w:rsidR="00FA0968">
        <w:t>a</w:t>
      </w:r>
      <w:r w:rsidR="00081E5B">
        <w:t xml:space="preserve">n optional </w:t>
      </w:r>
      <w:r>
        <w:t>component of COVID-19 care</w:t>
      </w:r>
      <w:r w:rsidR="00081E5B">
        <w:t xml:space="preserve">, which may be considered where it </w:t>
      </w:r>
      <w:r w:rsidR="002A0017">
        <w:t>is</w:t>
      </w:r>
      <w:r w:rsidR="00081E5B">
        <w:t xml:space="preserve"> practicable</w:t>
      </w:r>
      <w:r>
        <w:t>.</w:t>
      </w:r>
    </w:p>
    <w:p w14:paraId="088D6A41" w14:textId="77777777" w:rsidR="00E92695" w:rsidRDefault="00E92695" w:rsidP="00E92695">
      <w:pPr>
        <w:textAlignment w:val="baseline"/>
        <w:rPr>
          <w:bCs/>
        </w:rPr>
      </w:pPr>
    </w:p>
    <w:p w14:paraId="68635FBD" w14:textId="7E306449" w:rsidR="00500172" w:rsidRDefault="00A2060C" w:rsidP="00D27555">
      <w:pPr>
        <w:textAlignment w:val="baseline"/>
      </w:pPr>
      <w:r>
        <w:t xml:space="preserve">These recommendations are temporary, and </w:t>
      </w:r>
      <w:r w:rsidR="00081E5B">
        <w:t>may</w:t>
      </w:r>
      <w:r>
        <w:t xml:space="preserve"> be revised following increased availability of </w:t>
      </w:r>
      <w:proofErr w:type="gramStart"/>
      <w:r>
        <w:t>remdesivir,  arrival</w:t>
      </w:r>
      <w:proofErr w:type="gramEnd"/>
      <w:r>
        <w:t xml:space="preserve"> of other therapeutic agents for treatment of early COVID-19 (such as </w:t>
      </w:r>
      <w:proofErr w:type="spellStart"/>
      <w:r>
        <w:t>nirmatrelvir</w:t>
      </w:r>
      <w:proofErr w:type="spellEnd"/>
      <w:r>
        <w:t xml:space="preserve">/ritonavir and </w:t>
      </w:r>
      <w:proofErr w:type="spellStart"/>
      <w:r>
        <w:t>molnupiravir</w:t>
      </w:r>
      <w:proofErr w:type="spellEnd"/>
      <w:r>
        <w:t xml:space="preserve">) or both. </w:t>
      </w:r>
    </w:p>
    <w:p w14:paraId="58917332" w14:textId="77777777" w:rsidR="00071734" w:rsidRPr="00926BF6" w:rsidRDefault="00071734" w:rsidP="00071734">
      <w:pPr>
        <w:pStyle w:val="Default"/>
        <w:rPr>
          <w:b/>
          <w:sz w:val="22"/>
          <w:szCs w:val="22"/>
        </w:rPr>
      </w:pPr>
    </w:p>
    <w:p w14:paraId="5EFD2A2A" w14:textId="77777777" w:rsidR="00071734" w:rsidRPr="00926BF6" w:rsidRDefault="00071734" w:rsidP="00071734">
      <w:pPr>
        <w:pStyle w:val="Default"/>
        <w:spacing w:before="120" w:after="120" w:line="288" w:lineRule="auto"/>
        <w:rPr>
          <w:sz w:val="22"/>
          <w:szCs w:val="22"/>
        </w:rPr>
      </w:pPr>
    </w:p>
    <w:p w14:paraId="314787C4" w14:textId="77777777" w:rsidR="00071734" w:rsidRPr="00926BF6" w:rsidRDefault="00071734" w:rsidP="00071734">
      <w:pPr>
        <w:spacing w:before="120" w:line="288" w:lineRule="auto"/>
      </w:pPr>
    </w:p>
    <w:p w14:paraId="2030435F" w14:textId="77777777" w:rsidR="00071734" w:rsidRPr="00926BF6" w:rsidRDefault="00071734" w:rsidP="00071734"/>
    <w:p w14:paraId="78E90650" w14:textId="77777777" w:rsidR="00E92695" w:rsidRDefault="00E92695">
      <w:pPr>
        <w:spacing w:after="160" w:line="259" w:lineRule="auto"/>
        <w:rPr>
          <w:rFonts w:ascii="Tahoma" w:eastAsia="Times New Roman" w:hAnsi="Tahoma" w:cs="Arial"/>
          <w:b/>
          <w:color w:val="1F3864" w:themeColor="accent1" w:themeShade="80"/>
          <w:szCs w:val="20"/>
          <w:lang w:val="en-US" w:eastAsia="en-GB"/>
        </w:rPr>
      </w:pPr>
      <w:r>
        <w:br w:type="page"/>
      </w:r>
    </w:p>
    <w:p w14:paraId="6476134E" w14:textId="3431E348" w:rsidR="001B68DB" w:rsidRPr="001B68DB" w:rsidRDefault="00071734" w:rsidP="001B68DB">
      <w:pPr>
        <w:pStyle w:val="Heading4"/>
      </w:pPr>
      <w:r w:rsidRPr="00926BF6">
        <w:lastRenderedPageBreak/>
        <w:t>References</w:t>
      </w:r>
    </w:p>
    <w:p w14:paraId="071BE6E0" w14:textId="6BD1E93D"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1.</w:t>
      </w:r>
      <w:r>
        <w:rPr>
          <w:rFonts w:ascii="Calibri" w:hAnsi="Calibri" w:cs="Calibri"/>
          <w:color w:val="auto"/>
          <w:lang w:val="en-GB"/>
        </w:rPr>
        <w:tab/>
        <w:t xml:space="preserve">Gottlieb RL, </w:t>
      </w:r>
      <w:proofErr w:type="spellStart"/>
      <w:r>
        <w:rPr>
          <w:rFonts w:ascii="Calibri" w:hAnsi="Calibri" w:cs="Calibri"/>
          <w:color w:val="auto"/>
          <w:lang w:val="en-GB"/>
        </w:rPr>
        <w:t>Vaca</w:t>
      </w:r>
      <w:proofErr w:type="spellEnd"/>
      <w:r>
        <w:rPr>
          <w:rFonts w:ascii="Calibri" w:hAnsi="Calibri" w:cs="Calibri"/>
          <w:color w:val="auto"/>
          <w:lang w:val="en-GB"/>
        </w:rPr>
        <w:t xml:space="preserve"> CE, Paredes R, et al. Early Remdesivir to Prevent Progression to Severe Covid-19 in Outpatients. N </w:t>
      </w:r>
      <w:proofErr w:type="spellStart"/>
      <w:r>
        <w:rPr>
          <w:rFonts w:ascii="Calibri" w:hAnsi="Calibri" w:cs="Calibri"/>
          <w:color w:val="auto"/>
          <w:lang w:val="en-GB"/>
        </w:rPr>
        <w:t>Engl</w:t>
      </w:r>
      <w:proofErr w:type="spellEnd"/>
      <w:r>
        <w:rPr>
          <w:rFonts w:ascii="Calibri" w:hAnsi="Calibri" w:cs="Calibri"/>
          <w:color w:val="auto"/>
          <w:lang w:val="en-GB"/>
        </w:rPr>
        <w:t xml:space="preserve"> J Med 2021;</w:t>
      </w:r>
      <w:r w:rsidR="004713FD">
        <w:rPr>
          <w:rFonts w:ascii="Calibri" w:hAnsi="Calibri" w:cs="Calibri"/>
          <w:color w:val="auto"/>
          <w:lang w:val="en-GB"/>
        </w:rPr>
        <w:t>386</w:t>
      </w:r>
      <w:r w:rsidR="006C15CB">
        <w:rPr>
          <w:rFonts w:ascii="Calibri" w:hAnsi="Calibri" w:cs="Calibri"/>
          <w:color w:val="auto"/>
          <w:lang w:val="en-GB"/>
        </w:rPr>
        <w:t>(4):305-315.</w:t>
      </w:r>
    </w:p>
    <w:p w14:paraId="5474C12B" w14:textId="77777777"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2.</w:t>
      </w:r>
      <w:r>
        <w:rPr>
          <w:rFonts w:ascii="Calibri" w:hAnsi="Calibri" w:cs="Calibri"/>
          <w:color w:val="auto"/>
          <w:lang w:val="en-GB"/>
        </w:rPr>
        <w:tab/>
        <w:t xml:space="preserve">WHO Solidarity Trial Consortium, Pan H, </w:t>
      </w:r>
      <w:proofErr w:type="spellStart"/>
      <w:r>
        <w:rPr>
          <w:rFonts w:ascii="Calibri" w:hAnsi="Calibri" w:cs="Calibri"/>
          <w:color w:val="auto"/>
          <w:lang w:val="en-GB"/>
        </w:rPr>
        <w:t>Peto</w:t>
      </w:r>
      <w:proofErr w:type="spellEnd"/>
      <w:r>
        <w:rPr>
          <w:rFonts w:ascii="Calibri" w:hAnsi="Calibri" w:cs="Calibri"/>
          <w:color w:val="auto"/>
          <w:lang w:val="en-GB"/>
        </w:rPr>
        <w:t xml:space="preserve"> R, et al. Repurposed Antiviral Drugs for Covid-19 - Interim WHO Solidarity Trial Results. N </w:t>
      </w:r>
      <w:proofErr w:type="spellStart"/>
      <w:r>
        <w:rPr>
          <w:rFonts w:ascii="Calibri" w:hAnsi="Calibri" w:cs="Calibri"/>
          <w:color w:val="auto"/>
          <w:lang w:val="en-GB"/>
        </w:rPr>
        <w:t>Engl</w:t>
      </w:r>
      <w:proofErr w:type="spellEnd"/>
      <w:r>
        <w:rPr>
          <w:rFonts w:ascii="Calibri" w:hAnsi="Calibri" w:cs="Calibri"/>
          <w:color w:val="auto"/>
          <w:lang w:val="en-GB"/>
        </w:rPr>
        <w:t xml:space="preserve"> J Med 2021;384(6):497–511. </w:t>
      </w:r>
    </w:p>
    <w:p w14:paraId="1E237C62" w14:textId="77777777"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3.</w:t>
      </w:r>
      <w:r>
        <w:rPr>
          <w:rFonts w:ascii="Calibri" w:hAnsi="Calibri" w:cs="Calibri"/>
          <w:color w:val="auto"/>
          <w:lang w:val="en-GB"/>
        </w:rPr>
        <w:tab/>
        <w:t xml:space="preserve">Beigel JH, </w:t>
      </w:r>
      <w:proofErr w:type="spellStart"/>
      <w:r>
        <w:rPr>
          <w:rFonts w:ascii="Calibri" w:hAnsi="Calibri" w:cs="Calibri"/>
          <w:color w:val="auto"/>
          <w:lang w:val="en-GB"/>
        </w:rPr>
        <w:t>Tomashek</w:t>
      </w:r>
      <w:proofErr w:type="spellEnd"/>
      <w:r>
        <w:rPr>
          <w:rFonts w:ascii="Calibri" w:hAnsi="Calibri" w:cs="Calibri"/>
          <w:color w:val="auto"/>
          <w:lang w:val="en-GB"/>
        </w:rPr>
        <w:t xml:space="preserve"> KM, Dodd LE, et al. Remdesivir for the Treatment of Covid-19 - Final Report. N </w:t>
      </w:r>
      <w:proofErr w:type="spellStart"/>
      <w:r>
        <w:rPr>
          <w:rFonts w:ascii="Calibri" w:hAnsi="Calibri" w:cs="Calibri"/>
          <w:color w:val="auto"/>
          <w:lang w:val="en-GB"/>
        </w:rPr>
        <w:t>Engl</w:t>
      </w:r>
      <w:proofErr w:type="spellEnd"/>
      <w:r>
        <w:rPr>
          <w:rFonts w:ascii="Calibri" w:hAnsi="Calibri" w:cs="Calibri"/>
          <w:color w:val="auto"/>
          <w:lang w:val="en-GB"/>
        </w:rPr>
        <w:t xml:space="preserve"> J Med 2020;383(19):1813–26. </w:t>
      </w:r>
    </w:p>
    <w:p w14:paraId="52678A20" w14:textId="7F6B4F25"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4.</w:t>
      </w:r>
      <w:r>
        <w:rPr>
          <w:rFonts w:ascii="Calibri" w:hAnsi="Calibri" w:cs="Calibri"/>
          <w:color w:val="auto"/>
          <w:lang w:val="en-GB"/>
        </w:rPr>
        <w:tab/>
      </w:r>
      <w:proofErr w:type="spellStart"/>
      <w:r>
        <w:rPr>
          <w:rFonts w:ascii="Calibri" w:hAnsi="Calibri" w:cs="Calibri"/>
          <w:color w:val="auto"/>
          <w:lang w:val="en-GB"/>
        </w:rPr>
        <w:t>Ader</w:t>
      </w:r>
      <w:proofErr w:type="spellEnd"/>
      <w:r>
        <w:rPr>
          <w:rFonts w:ascii="Calibri" w:hAnsi="Calibri" w:cs="Calibri"/>
          <w:color w:val="auto"/>
          <w:lang w:val="en-GB"/>
        </w:rPr>
        <w:t xml:space="preserve"> F, </w:t>
      </w:r>
      <w:proofErr w:type="spellStart"/>
      <w:r>
        <w:rPr>
          <w:rFonts w:ascii="Calibri" w:hAnsi="Calibri" w:cs="Calibri"/>
          <w:color w:val="auto"/>
          <w:lang w:val="en-GB"/>
        </w:rPr>
        <w:t>Bouscambert</w:t>
      </w:r>
      <w:proofErr w:type="spellEnd"/>
      <w:r>
        <w:rPr>
          <w:rFonts w:ascii="Calibri" w:hAnsi="Calibri" w:cs="Calibri"/>
          <w:color w:val="auto"/>
          <w:lang w:val="en-GB"/>
        </w:rPr>
        <w:t xml:space="preserve">-Duchamp M, </w:t>
      </w:r>
      <w:proofErr w:type="spellStart"/>
      <w:r>
        <w:rPr>
          <w:rFonts w:ascii="Calibri" w:hAnsi="Calibri" w:cs="Calibri"/>
          <w:color w:val="auto"/>
          <w:lang w:val="en-GB"/>
        </w:rPr>
        <w:t>Hites</w:t>
      </w:r>
      <w:proofErr w:type="spellEnd"/>
      <w:r>
        <w:rPr>
          <w:rFonts w:ascii="Calibri" w:hAnsi="Calibri" w:cs="Calibri"/>
          <w:color w:val="auto"/>
          <w:lang w:val="en-GB"/>
        </w:rPr>
        <w:t xml:space="preserve"> M, et al. </w:t>
      </w:r>
      <w:proofErr w:type="spellStart"/>
      <w:r>
        <w:rPr>
          <w:rFonts w:ascii="Calibri" w:hAnsi="Calibri" w:cs="Calibri"/>
          <w:color w:val="auto"/>
          <w:lang w:val="en-GB"/>
        </w:rPr>
        <w:t>Remdesivir</w:t>
      </w:r>
      <w:proofErr w:type="spellEnd"/>
      <w:r>
        <w:rPr>
          <w:rFonts w:ascii="Calibri" w:hAnsi="Calibri" w:cs="Calibri"/>
          <w:color w:val="auto"/>
          <w:lang w:val="en-GB"/>
        </w:rPr>
        <w:t xml:space="preserve"> plus </w:t>
      </w:r>
      <w:r w:rsidR="00EF796E">
        <w:rPr>
          <w:rFonts w:ascii="Calibri" w:hAnsi="Calibri" w:cs="Calibri"/>
          <w:color w:val="auto"/>
          <w:lang w:val="en-GB"/>
        </w:rPr>
        <w:t>S</w:t>
      </w:r>
      <w:r>
        <w:rPr>
          <w:rFonts w:ascii="Calibri" w:hAnsi="Calibri" w:cs="Calibri"/>
          <w:color w:val="auto"/>
          <w:lang w:val="en-GB"/>
        </w:rPr>
        <w:t xml:space="preserve">tandard of </w:t>
      </w:r>
      <w:r w:rsidR="00EF796E">
        <w:rPr>
          <w:rFonts w:ascii="Calibri" w:hAnsi="Calibri" w:cs="Calibri"/>
          <w:color w:val="auto"/>
          <w:lang w:val="en-GB"/>
        </w:rPr>
        <w:t>C</w:t>
      </w:r>
      <w:r>
        <w:rPr>
          <w:rFonts w:ascii="Calibri" w:hAnsi="Calibri" w:cs="Calibri"/>
          <w:color w:val="auto"/>
          <w:lang w:val="en-GB"/>
        </w:rPr>
        <w:t xml:space="preserve">are versus </w:t>
      </w:r>
      <w:r w:rsidR="00EF796E">
        <w:rPr>
          <w:rFonts w:ascii="Calibri" w:hAnsi="Calibri" w:cs="Calibri"/>
          <w:color w:val="auto"/>
          <w:lang w:val="en-GB"/>
        </w:rPr>
        <w:t>S</w:t>
      </w:r>
      <w:r>
        <w:rPr>
          <w:rFonts w:ascii="Calibri" w:hAnsi="Calibri" w:cs="Calibri"/>
          <w:color w:val="auto"/>
          <w:lang w:val="en-GB"/>
        </w:rPr>
        <w:t xml:space="preserve">tandard of </w:t>
      </w:r>
      <w:r w:rsidR="00EF796E">
        <w:rPr>
          <w:rFonts w:ascii="Calibri" w:hAnsi="Calibri" w:cs="Calibri"/>
          <w:color w:val="auto"/>
          <w:lang w:val="en-GB"/>
        </w:rPr>
        <w:t>C</w:t>
      </w:r>
      <w:r>
        <w:rPr>
          <w:rFonts w:ascii="Calibri" w:hAnsi="Calibri" w:cs="Calibri"/>
          <w:color w:val="auto"/>
          <w:lang w:val="en-GB"/>
        </w:rPr>
        <w:t xml:space="preserve">are </w:t>
      </w:r>
      <w:r w:rsidR="00EF796E">
        <w:rPr>
          <w:rFonts w:ascii="Calibri" w:hAnsi="Calibri" w:cs="Calibri"/>
          <w:color w:val="auto"/>
          <w:lang w:val="en-GB"/>
        </w:rPr>
        <w:t>A</w:t>
      </w:r>
      <w:r>
        <w:rPr>
          <w:rFonts w:ascii="Calibri" w:hAnsi="Calibri" w:cs="Calibri"/>
          <w:color w:val="auto"/>
          <w:lang w:val="en-GB"/>
        </w:rPr>
        <w:t xml:space="preserve">lone for the </w:t>
      </w:r>
      <w:r w:rsidR="00EF796E">
        <w:rPr>
          <w:rFonts w:ascii="Calibri" w:hAnsi="Calibri" w:cs="Calibri"/>
          <w:color w:val="auto"/>
          <w:lang w:val="en-GB"/>
        </w:rPr>
        <w:t>T</w:t>
      </w:r>
      <w:r>
        <w:rPr>
          <w:rFonts w:ascii="Calibri" w:hAnsi="Calibri" w:cs="Calibri"/>
          <w:color w:val="auto"/>
          <w:lang w:val="en-GB"/>
        </w:rPr>
        <w:t xml:space="preserve">reatment of </w:t>
      </w:r>
      <w:r w:rsidR="00EF796E">
        <w:rPr>
          <w:rFonts w:ascii="Calibri" w:hAnsi="Calibri" w:cs="Calibri"/>
          <w:color w:val="auto"/>
          <w:lang w:val="en-GB"/>
        </w:rPr>
        <w:t>P</w:t>
      </w:r>
      <w:r>
        <w:rPr>
          <w:rFonts w:ascii="Calibri" w:hAnsi="Calibri" w:cs="Calibri"/>
          <w:color w:val="auto"/>
          <w:lang w:val="en-GB"/>
        </w:rPr>
        <w:t xml:space="preserve">atients </w:t>
      </w:r>
      <w:r w:rsidR="00EF796E">
        <w:rPr>
          <w:rFonts w:ascii="Calibri" w:hAnsi="Calibri" w:cs="Calibri"/>
          <w:color w:val="auto"/>
          <w:lang w:val="en-GB"/>
        </w:rPr>
        <w:t>A</w:t>
      </w:r>
      <w:r>
        <w:rPr>
          <w:rFonts w:ascii="Calibri" w:hAnsi="Calibri" w:cs="Calibri"/>
          <w:color w:val="auto"/>
          <w:lang w:val="en-GB"/>
        </w:rPr>
        <w:t xml:space="preserve">dmitted to </w:t>
      </w:r>
      <w:r w:rsidR="00EF796E">
        <w:rPr>
          <w:rFonts w:ascii="Calibri" w:hAnsi="Calibri" w:cs="Calibri"/>
          <w:color w:val="auto"/>
          <w:lang w:val="en-GB"/>
        </w:rPr>
        <w:t>H</w:t>
      </w:r>
      <w:r>
        <w:rPr>
          <w:rFonts w:ascii="Calibri" w:hAnsi="Calibri" w:cs="Calibri"/>
          <w:color w:val="auto"/>
          <w:lang w:val="en-GB"/>
        </w:rPr>
        <w:t>ospital with COVID-19 (</w:t>
      </w:r>
      <w:proofErr w:type="spellStart"/>
      <w:r>
        <w:rPr>
          <w:rFonts w:ascii="Calibri" w:hAnsi="Calibri" w:cs="Calibri"/>
          <w:color w:val="auto"/>
          <w:lang w:val="en-GB"/>
        </w:rPr>
        <w:t>DisCoVeRy</w:t>
      </w:r>
      <w:proofErr w:type="spellEnd"/>
      <w:r>
        <w:rPr>
          <w:rFonts w:ascii="Calibri" w:hAnsi="Calibri" w:cs="Calibri"/>
          <w:color w:val="auto"/>
          <w:lang w:val="en-GB"/>
        </w:rPr>
        <w:t xml:space="preserve">): </w:t>
      </w:r>
      <w:proofErr w:type="gramStart"/>
      <w:r>
        <w:rPr>
          <w:rFonts w:ascii="Calibri" w:hAnsi="Calibri" w:cs="Calibri"/>
          <w:color w:val="auto"/>
          <w:lang w:val="en-GB"/>
        </w:rPr>
        <w:t>a</w:t>
      </w:r>
      <w:proofErr w:type="gramEnd"/>
      <w:r>
        <w:rPr>
          <w:rFonts w:ascii="Calibri" w:hAnsi="Calibri" w:cs="Calibri"/>
          <w:color w:val="auto"/>
          <w:lang w:val="en-GB"/>
        </w:rPr>
        <w:t xml:space="preserve"> </w:t>
      </w:r>
      <w:r w:rsidR="00402978">
        <w:rPr>
          <w:rFonts w:ascii="Calibri" w:hAnsi="Calibri" w:cs="Calibri"/>
          <w:color w:val="auto"/>
          <w:lang w:val="en-GB"/>
        </w:rPr>
        <w:t>P</w:t>
      </w:r>
      <w:r>
        <w:rPr>
          <w:rFonts w:ascii="Calibri" w:hAnsi="Calibri" w:cs="Calibri"/>
          <w:color w:val="auto"/>
          <w:lang w:val="en-GB"/>
        </w:rPr>
        <w:t xml:space="preserve">hase 3, </w:t>
      </w:r>
      <w:r w:rsidR="00402978">
        <w:rPr>
          <w:rFonts w:ascii="Calibri" w:hAnsi="Calibri" w:cs="Calibri"/>
          <w:color w:val="auto"/>
          <w:lang w:val="en-GB"/>
        </w:rPr>
        <w:t>R</w:t>
      </w:r>
      <w:r>
        <w:rPr>
          <w:rFonts w:ascii="Calibri" w:hAnsi="Calibri" w:cs="Calibri"/>
          <w:color w:val="auto"/>
          <w:lang w:val="en-GB"/>
        </w:rPr>
        <w:t xml:space="preserve">andomised, </w:t>
      </w:r>
      <w:r w:rsidR="00402978">
        <w:rPr>
          <w:rFonts w:ascii="Calibri" w:hAnsi="Calibri" w:cs="Calibri"/>
          <w:color w:val="auto"/>
          <w:lang w:val="en-GB"/>
        </w:rPr>
        <w:t>C</w:t>
      </w:r>
      <w:r>
        <w:rPr>
          <w:rFonts w:ascii="Calibri" w:hAnsi="Calibri" w:cs="Calibri"/>
          <w:color w:val="auto"/>
          <w:lang w:val="en-GB"/>
        </w:rPr>
        <w:t xml:space="preserve">ontrolled, </w:t>
      </w:r>
      <w:r w:rsidR="00402978">
        <w:rPr>
          <w:rFonts w:ascii="Calibri" w:hAnsi="Calibri" w:cs="Calibri"/>
          <w:color w:val="auto"/>
          <w:lang w:val="en-GB"/>
        </w:rPr>
        <w:t>O</w:t>
      </w:r>
      <w:r>
        <w:rPr>
          <w:rFonts w:ascii="Calibri" w:hAnsi="Calibri" w:cs="Calibri"/>
          <w:color w:val="auto"/>
          <w:lang w:val="en-GB"/>
        </w:rPr>
        <w:t xml:space="preserve">pen-label </w:t>
      </w:r>
      <w:r w:rsidR="00402978">
        <w:rPr>
          <w:rFonts w:ascii="Calibri" w:hAnsi="Calibri" w:cs="Calibri"/>
          <w:color w:val="auto"/>
          <w:lang w:val="en-GB"/>
        </w:rPr>
        <w:t>T</w:t>
      </w:r>
      <w:r>
        <w:rPr>
          <w:rFonts w:ascii="Calibri" w:hAnsi="Calibri" w:cs="Calibri"/>
          <w:color w:val="auto"/>
          <w:lang w:val="en-GB"/>
        </w:rPr>
        <w:t xml:space="preserve">rial. Lancet Infect Dis </w:t>
      </w:r>
      <w:proofErr w:type="gramStart"/>
      <w:r>
        <w:rPr>
          <w:rFonts w:ascii="Calibri" w:hAnsi="Calibri" w:cs="Calibri"/>
          <w:color w:val="auto"/>
          <w:lang w:val="en-GB"/>
        </w:rPr>
        <w:t>2021;</w:t>
      </w:r>
      <w:r w:rsidR="004713FD">
        <w:rPr>
          <w:rFonts w:ascii="Calibri" w:hAnsi="Calibri" w:cs="Calibri"/>
          <w:color w:val="auto"/>
          <w:lang w:val="en-GB"/>
        </w:rPr>
        <w:t>22:209</w:t>
      </w:r>
      <w:proofErr w:type="gramEnd"/>
      <w:r w:rsidR="004713FD">
        <w:rPr>
          <w:rFonts w:ascii="Calibri" w:hAnsi="Calibri" w:cs="Calibri"/>
          <w:color w:val="auto"/>
          <w:lang w:val="en-GB"/>
        </w:rPr>
        <w:t>-221.</w:t>
      </w:r>
    </w:p>
    <w:p w14:paraId="692AD540" w14:textId="33E95D32"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5.</w:t>
      </w:r>
      <w:r>
        <w:rPr>
          <w:rFonts w:ascii="Calibri" w:hAnsi="Calibri" w:cs="Calibri"/>
          <w:color w:val="auto"/>
          <w:lang w:val="en-GB"/>
        </w:rPr>
        <w:tab/>
      </w:r>
      <w:proofErr w:type="spellStart"/>
      <w:r>
        <w:rPr>
          <w:rFonts w:ascii="Calibri" w:hAnsi="Calibri" w:cs="Calibri"/>
          <w:color w:val="auto"/>
          <w:lang w:val="en-GB"/>
        </w:rPr>
        <w:t>Jayk</w:t>
      </w:r>
      <w:proofErr w:type="spellEnd"/>
      <w:r>
        <w:rPr>
          <w:rFonts w:ascii="Calibri" w:hAnsi="Calibri" w:cs="Calibri"/>
          <w:color w:val="auto"/>
          <w:lang w:val="en-GB"/>
        </w:rPr>
        <w:t xml:space="preserve"> Bernal A, Gomes da Silva MM, </w:t>
      </w:r>
      <w:proofErr w:type="spellStart"/>
      <w:r>
        <w:rPr>
          <w:rFonts w:ascii="Calibri" w:hAnsi="Calibri" w:cs="Calibri"/>
          <w:color w:val="auto"/>
          <w:lang w:val="en-GB"/>
        </w:rPr>
        <w:t>Musungaie</w:t>
      </w:r>
      <w:proofErr w:type="spellEnd"/>
      <w:r>
        <w:rPr>
          <w:rFonts w:ascii="Calibri" w:hAnsi="Calibri" w:cs="Calibri"/>
          <w:color w:val="auto"/>
          <w:lang w:val="en-GB"/>
        </w:rPr>
        <w:t xml:space="preserve"> DB, et al. </w:t>
      </w:r>
      <w:proofErr w:type="spellStart"/>
      <w:r>
        <w:rPr>
          <w:rFonts w:ascii="Calibri" w:hAnsi="Calibri" w:cs="Calibri"/>
          <w:color w:val="auto"/>
          <w:lang w:val="en-GB"/>
        </w:rPr>
        <w:t>Molnupiravir</w:t>
      </w:r>
      <w:proofErr w:type="spellEnd"/>
      <w:r>
        <w:rPr>
          <w:rFonts w:ascii="Calibri" w:hAnsi="Calibri" w:cs="Calibri"/>
          <w:color w:val="auto"/>
          <w:lang w:val="en-GB"/>
        </w:rPr>
        <w:t xml:space="preserve"> for Oral Treatment of Covid-19 in </w:t>
      </w:r>
      <w:proofErr w:type="spellStart"/>
      <w:r>
        <w:rPr>
          <w:rFonts w:ascii="Calibri" w:hAnsi="Calibri" w:cs="Calibri"/>
          <w:color w:val="auto"/>
          <w:lang w:val="en-GB"/>
        </w:rPr>
        <w:t>Nonhospitalized</w:t>
      </w:r>
      <w:proofErr w:type="spellEnd"/>
      <w:r>
        <w:rPr>
          <w:rFonts w:ascii="Calibri" w:hAnsi="Calibri" w:cs="Calibri"/>
          <w:color w:val="auto"/>
          <w:lang w:val="en-GB"/>
        </w:rPr>
        <w:t xml:space="preserve"> Patients. N </w:t>
      </w:r>
      <w:proofErr w:type="spellStart"/>
      <w:r>
        <w:rPr>
          <w:rFonts w:ascii="Calibri" w:hAnsi="Calibri" w:cs="Calibri"/>
          <w:color w:val="auto"/>
          <w:lang w:val="en-GB"/>
        </w:rPr>
        <w:t>Engl</w:t>
      </w:r>
      <w:proofErr w:type="spellEnd"/>
      <w:r>
        <w:rPr>
          <w:rFonts w:ascii="Calibri" w:hAnsi="Calibri" w:cs="Calibri"/>
          <w:color w:val="auto"/>
          <w:lang w:val="en-GB"/>
        </w:rPr>
        <w:t xml:space="preserve"> J Med </w:t>
      </w:r>
      <w:proofErr w:type="gramStart"/>
      <w:r>
        <w:rPr>
          <w:rFonts w:ascii="Calibri" w:hAnsi="Calibri" w:cs="Calibri"/>
          <w:color w:val="auto"/>
          <w:lang w:val="en-GB"/>
        </w:rPr>
        <w:t>2021;</w:t>
      </w:r>
      <w:r w:rsidR="00024D30">
        <w:rPr>
          <w:rFonts w:ascii="Calibri" w:hAnsi="Calibri" w:cs="Calibri"/>
          <w:color w:val="auto"/>
          <w:lang w:val="en-GB"/>
        </w:rPr>
        <w:t>386:509</w:t>
      </w:r>
      <w:proofErr w:type="gramEnd"/>
      <w:r w:rsidR="00024D30">
        <w:rPr>
          <w:rFonts w:ascii="Calibri" w:hAnsi="Calibri" w:cs="Calibri"/>
          <w:color w:val="auto"/>
          <w:lang w:val="en-GB"/>
        </w:rPr>
        <w:t>-20</w:t>
      </w:r>
      <w:r w:rsidR="00EF796E">
        <w:rPr>
          <w:rFonts w:ascii="Calibri" w:hAnsi="Calibri" w:cs="Calibri"/>
          <w:color w:val="auto"/>
          <w:lang w:val="en-GB"/>
        </w:rPr>
        <w:t>.</w:t>
      </w:r>
    </w:p>
    <w:p w14:paraId="2B43DA1C" w14:textId="1DA94FFF"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6.</w:t>
      </w:r>
      <w:r>
        <w:rPr>
          <w:rFonts w:ascii="Calibri" w:hAnsi="Calibri" w:cs="Calibri"/>
          <w:color w:val="auto"/>
          <w:lang w:val="en-GB"/>
        </w:rPr>
        <w:tab/>
        <w:t>Hammond J, Leister-</w:t>
      </w:r>
      <w:proofErr w:type="spellStart"/>
      <w:r>
        <w:rPr>
          <w:rFonts w:ascii="Calibri" w:hAnsi="Calibri" w:cs="Calibri"/>
          <w:color w:val="auto"/>
          <w:lang w:val="en-GB"/>
        </w:rPr>
        <w:t>Tebbe</w:t>
      </w:r>
      <w:proofErr w:type="spellEnd"/>
      <w:r>
        <w:rPr>
          <w:rFonts w:ascii="Calibri" w:hAnsi="Calibri" w:cs="Calibri"/>
          <w:color w:val="auto"/>
          <w:lang w:val="en-GB"/>
        </w:rPr>
        <w:t xml:space="preserve"> H, Gardner A, et al. Oral </w:t>
      </w:r>
      <w:proofErr w:type="spellStart"/>
      <w:r>
        <w:rPr>
          <w:rFonts w:ascii="Calibri" w:hAnsi="Calibri" w:cs="Calibri"/>
          <w:color w:val="auto"/>
          <w:lang w:val="en-GB"/>
        </w:rPr>
        <w:t>Nirmatrelvir</w:t>
      </w:r>
      <w:proofErr w:type="spellEnd"/>
      <w:r>
        <w:rPr>
          <w:rFonts w:ascii="Calibri" w:hAnsi="Calibri" w:cs="Calibri"/>
          <w:color w:val="auto"/>
          <w:lang w:val="en-GB"/>
        </w:rPr>
        <w:t xml:space="preserve"> for High-Risk, </w:t>
      </w:r>
      <w:proofErr w:type="spellStart"/>
      <w:r>
        <w:rPr>
          <w:rFonts w:ascii="Calibri" w:hAnsi="Calibri" w:cs="Calibri"/>
          <w:color w:val="auto"/>
          <w:lang w:val="en-GB"/>
        </w:rPr>
        <w:t>Nonhospitalized</w:t>
      </w:r>
      <w:proofErr w:type="spellEnd"/>
      <w:r>
        <w:rPr>
          <w:rFonts w:ascii="Calibri" w:hAnsi="Calibri" w:cs="Calibri"/>
          <w:color w:val="auto"/>
          <w:lang w:val="en-GB"/>
        </w:rPr>
        <w:t xml:space="preserve"> Adults with Covid-19. N </w:t>
      </w:r>
      <w:proofErr w:type="spellStart"/>
      <w:r>
        <w:rPr>
          <w:rFonts w:ascii="Calibri" w:hAnsi="Calibri" w:cs="Calibri"/>
          <w:color w:val="auto"/>
          <w:lang w:val="en-GB"/>
        </w:rPr>
        <w:t>Engl</w:t>
      </w:r>
      <w:proofErr w:type="spellEnd"/>
      <w:r>
        <w:rPr>
          <w:rFonts w:ascii="Calibri" w:hAnsi="Calibri" w:cs="Calibri"/>
          <w:color w:val="auto"/>
          <w:lang w:val="en-GB"/>
        </w:rPr>
        <w:t xml:space="preserve"> J Med 2022</w:t>
      </w:r>
      <w:r w:rsidR="00B02AD1">
        <w:rPr>
          <w:rFonts w:ascii="Calibri" w:hAnsi="Calibri" w:cs="Calibri"/>
          <w:color w:val="auto"/>
          <w:lang w:val="en-GB"/>
        </w:rPr>
        <w:t xml:space="preserve">. </w:t>
      </w:r>
      <w:r w:rsidR="00B02AD1">
        <w:t>DOI: 10.1056/NEJMoa2118542</w:t>
      </w:r>
    </w:p>
    <w:p w14:paraId="65132030" w14:textId="59E1F091"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7.</w:t>
      </w:r>
      <w:r>
        <w:rPr>
          <w:rFonts w:ascii="Calibri" w:hAnsi="Calibri" w:cs="Calibri"/>
          <w:color w:val="auto"/>
          <w:lang w:val="en-GB"/>
        </w:rPr>
        <w:tab/>
        <w:t>Murray CJ. COVID-19 will continue but the end of the pandemic is near. Lancet [Internet] 2022;399(10323):417–9. Available from: https://www.thelancet.com/action/showPdf?pii=S0140-6736%2822%2900100-3</w:t>
      </w:r>
    </w:p>
    <w:p w14:paraId="29C6BE3C" w14:textId="1AC5D6C4"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8.</w:t>
      </w:r>
      <w:r>
        <w:rPr>
          <w:rFonts w:ascii="Calibri" w:hAnsi="Calibri" w:cs="Calibri"/>
          <w:color w:val="auto"/>
          <w:lang w:val="en-GB"/>
        </w:rPr>
        <w:tab/>
        <w:t xml:space="preserve">Nyberg T, Ferguson NM, Nash SG, et al. Comparative Analysis of the Risks of Hospitalisation and Death Associated with SARS-CoV-2 </w:t>
      </w:r>
      <w:r w:rsidR="00C409F0">
        <w:rPr>
          <w:rFonts w:ascii="Calibri" w:hAnsi="Calibri" w:cs="Calibri"/>
          <w:color w:val="auto"/>
          <w:lang w:val="en-GB"/>
        </w:rPr>
        <w:t>Omicron</w:t>
      </w:r>
      <w:r>
        <w:rPr>
          <w:rFonts w:ascii="Calibri" w:hAnsi="Calibri" w:cs="Calibri"/>
          <w:color w:val="auto"/>
          <w:lang w:val="en-GB"/>
        </w:rPr>
        <w:t xml:space="preserve"> (B.1.1.529) and Delta (B.1.617.2) Variants in England. 2022</w:t>
      </w:r>
      <w:r w:rsidR="006A7998">
        <w:rPr>
          <w:rFonts w:ascii="Calibri" w:hAnsi="Calibri" w:cs="Calibri"/>
          <w:color w:val="auto"/>
          <w:lang w:val="en-GB"/>
        </w:rPr>
        <w:t xml:space="preserve">. </w:t>
      </w:r>
      <w:r>
        <w:rPr>
          <w:rFonts w:ascii="Calibri" w:hAnsi="Calibri" w:cs="Calibri"/>
          <w:color w:val="auto"/>
          <w:lang w:val="en-GB"/>
        </w:rPr>
        <w:t>Available from: https://www.thelancet.com/journals/lancet/article/PIIS0140-6736(22)00462-7/fulltext</w:t>
      </w:r>
    </w:p>
    <w:p w14:paraId="77D418F4" w14:textId="07B04BC7" w:rsidR="001B68DB" w:rsidRPr="001B68DB" w:rsidRDefault="001B68DB" w:rsidP="001B68DB">
      <w:pPr>
        <w:tabs>
          <w:tab w:val="left" w:pos="1200"/>
        </w:tabs>
        <w:autoSpaceDE w:val="0"/>
        <w:autoSpaceDN w:val="0"/>
        <w:adjustRightInd w:val="0"/>
        <w:spacing w:after="240"/>
        <w:ind w:left="1200" w:hanging="1200"/>
        <w:rPr>
          <w:rFonts w:ascii="Calibri" w:hAnsi="Calibri" w:cs="Calibri"/>
          <w:b/>
          <w:bCs/>
          <w:color w:val="auto"/>
          <w:lang w:val="en-GB"/>
        </w:rPr>
      </w:pPr>
      <w:r>
        <w:rPr>
          <w:rFonts w:ascii="Calibri" w:hAnsi="Calibri" w:cs="Calibri"/>
          <w:color w:val="auto"/>
          <w:lang w:val="en-GB"/>
        </w:rPr>
        <w:t>9.</w:t>
      </w:r>
      <w:r>
        <w:rPr>
          <w:rFonts w:ascii="Calibri" w:hAnsi="Calibri" w:cs="Calibri"/>
          <w:color w:val="auto"/>
          <w:lang w:val="en-GB"/>
        </w:rPr>
        <w:tab/>
      </w:r>
      <w:proofErr w:type="spellStart"/>
      <w:r>
        <w:rPr>
          <w:rFonts w:ascii="Calibri" w:hAnsi="Calibri" w:cs="Calibri"/>
          <w:color w:val="auto"/>
          <w:lang w:val="en-GB"/>
        </w:rPr>
        <w:t>Tenforde</w:t>
      </w:r>
      <w:proofErr w:type="spellEnd"/>
      <w:r>
        <w:rPr>
          <w:rFonts w:ascii="Calibri" w:hAnsi="Calibri" w:cs="Calibri"/>
          <w:color w:val="auto"/>
          <w:lang w:val="en-GB"/>
        </w:rPr>
        <w:t xml:space="preserve"> MW, Self WH, </w:t>
      </w:r>
      <w:proofErr w:type="spellStart"/>
      <w:r>
        <w:rPr>
          <w:rFonts w:ascii="Calibri" w:hAnsi="Calibri" w:cs="Calibri"/>
          <w:color w:val="auto"/>
          <w:lang w:val="en-GB"/>
        </w:rPr>
        <w:t>Gaglani</w:t>
      </w:r>
      <w:proofErr w:type="spellEnd"/>
      <w:r>
        <w:rPr>
          <w:rFonts w:ascii="Calibri" w:hAnsi="Calibri" w:cs="Calibri"/>
          <w:color w:val="auto"/>
          <w:lang w:val="en-GB"/>
        </w:rPr>
        <w:t xml:space="preserve"> M, </w:t>
      </w:r>
      <w:proofErr w:type="spellStart"/>
      <w:r>
        <w:rPr>
          <w:rFonts w:ascii="Calibri" w:hAnsi="Calibri" w:cs="Calibri"/>
          <w:color w:val="auto"/>
          <w:lang w:val="en-GB"/>
        </w:rPr>
        <w:t>Ginde</w:t>
      </w:r>
      <w:proofErr w:type="spellEnd"/>
      <w:r>
        <w:rPr>
          <w:rFonts w:ascii="Calibri" w:hAnsi="Calibri" w:cs="Calibri"/>
          <w:color w:val="auto"/>
          <w:lang w:val="en-GB"/>
        </w:rPr>
        <w:t xml:space="preserve"> AA. </w:t>
      </w:r>
      <w:r w:rsidRPr="006A7998">
        <w:rPr>
          <w:rFonts w:ascii="Calibri" w:hAnsi="Calibri" w:cs="Calibri"/>
          <w:color w:val="auto"/>
          <w:lang w:val="en-GB"/>
        </w:rPr>
        <w:t>Effectiveness of mRNA Vaccination in Preventing COVID-19–Associated Invasive Mechanical Ventilation and Death — United States, March 2021–January 2022.</w:t>
      </w:r>
      <w:r>
        <w:rPr>
          <w:rFonts w:ascii="Calibri" w:hAnsi="Calibri" w:cs="Calibri"/>
          <w:b/>
          <w:bCs/>
          <w:color w:val="auto"/>
          <w:lang w:val="en-GB"/>
        </w:rPr>
        <w:t xml:space="preserve"> </w:t>
      </w:r>
      <w:r>
        <w:rPr>
          <w:rFonts w:ascii="Calibri" w:hAnsi="Calibri" w:cs="Calibri"/>
          <w:color w:val="auto"/>
          <w:lang w:val="en-GB"/>
        </w:rPr>
        <w:t xml:space="preserve">MMWR </w:t>
      </w:r>
      <w:proofErr w:type="spellStart"/>
      <w:r>
        <w:rPr>
          <w:rFonts w:ascii="Calibri" w:hAnsi="Calibri" w:cs="Calibri"/>
          <w:color w:val="auto"/>
          <w:lang w:val="en-GB"/>
        </w:rPr>
        <w:t>Morb</w:t>
      </w:r>
      <w:proofErr w:type="spellEnd"/>
      <w:r>
        <w:rPr>
          <w:rFonts w:ascii="Calibri" w:hAnsi="Calibri" w:cs="Calibri"/>
          <w:color w:val="auto"/>
          <w:lang w:val="en-GB"/>
        </w:rPr>
        <w:t xml:space="preserve"> Mortal </w:t>
      </w:r>
      <w:proofErr w:type="spellStart"/>
      <w:r>
        <w:rPr>
          <w:rFonts w:ascii="Calibri" w:hAnsi="Calibri" w:cs="Calibri"/>
          <w:color w:val="auto"/>
          <w:lang w:val="en-GB"/>
        </w:rPr>
        <w:t>Wkly</w:t>
      </w:r>
      <w:proofErr w:type="spellEnd"/>
      <w:r>
        <w:rPr>
          <w:rFonts w:ascii="Calibri" w:hAnsi="Calibri" w:cs="Calibri"/>
          <w:color w:val="auto"/>
          <w:lang w:val="en-GB"/>
        </w:rPr>
        <w:t xml:space="preserve"> Rep [Internet] 2022</w:t>
      </w:r>
      <w:r w:rsidR="006C15CB">
        <w:rPr>
          <w:rFonts w:ascii="Calibri" w:hAnsi="Calibri" w:cs="Calibri"/>
          <w:color w:val="auto"/>
          <w:lang w:val="en-GB"/>
        </w:rPr>
        <w:t xml:space="preserve">. </w:t>
      </w:r>
      <w:r>
        <w:rPr>
          <w:rFonts w:ascii="Calibri" w:hAnsi="Calibri" w:cs="Calibri"/>
          <w:color w:val="auto"/>
          <w:lang w:val="en-GB"/>
        </w:rPr>
        <w:t>Available from: http://dx.doi.org/10.15585/mmwr.mm7112e1</w:t>
      </w:r>
    </w:p>
    <w:p w14:paraId="1ECE4F4A" w14:textId="488BFCCF"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10.</w:t>
      </w:r>
      <w:r>
        <w:rPr>
          <w:rFonts w:ascii="Calibri" w:hAnsi="Calibri" w:cs="Calibri"/>
          <w:color w:val="auto"/>
          <w:lang w:val="en-GB"/>
        </w:rPr>
        <w:tab/>
        <w:t xml:space="preserve">Kahn F, </w:t>
      </w:r>
      <w:proofErr w:type="spellStart"/>
      <w:r>
        <w:rPr>
          <w:rFonts w:ascii="Calibri" w:hAnsi="Calibri" w:cs="Calibri"/>
          <w:color w:val="auto"/>
          <w:lang w:val="en-GB"/>
        </w:rPr>
        <w:t>Bonander</w:t>
      </w:r>
      <w:proofErr w:type="spellEnd"/>
      <w:r>
        <w:rPr>
          <w:rFonts w:ascii="Calibri" w:hAnsi="Calibri" w:cs="Calibri"/>
          <w:color w:val="auto"/>
          <w:lang w:val="en-GB"/>
        </w:rPr>
        <w:t xml:space="preserve"> C, </w:t>
      </w:r>
      <w:proofErr w:type="spellStart"/>
      <w:r>
        <w:rPr>
          <w:rFonts w:ascii="Calibri" w:hAnsi="Calibri" w:cs="Calibri"/>
          <w:color w:val="auto"/>
          <w:lang w:val="en-GB"/>
        </w:rPr>
        <w:t>Moghaddassi</w:t>
      </w:r>
      <w:proofErr w:type="spellEnd"/>
      <w:r>
        <w:rPr>
          <w:rFonts w:ascii="Calibri" w:hAnsi="Calibri" w:cs="Calibri"/>
          <w:color w:val="auto"/>
          <w:lang w:val="en-GB"/>
        </w:rPr>
        <w:t xml:space="preserve"> M, et al. Risk of </w:t>
      </w:r>
      <w:r w:rsidR="006A7998">
        <w:rPr>
          <w:rFonts w:ascii="Calibri" w:hAnsi="Calibri" w:cs="Calibri"/>
          <w:color w:val="auto"/>
          <w:lang w:val="en-GB"/>
        </w:rPr>
        <w:t>S</w:t>
      </w:r>
      <w:r>
        <w:rPr>
          <w:rFonts w:ascii="Calibri" w:hAnsi="Calibri" w:cs="Calibri"/>
          <w:color w:val="auto"/>
          <w:lang w:val="en-GB"/>
        </w:rPr>
        <w:t xml:space="preserve">evere COVID-19 from the Delta and </w:t>
      </w:r>
      <w:r w:rsidR="00C409F0">
        <w:rPr>
          <w:rFonts w:ascii="Calibri" w:hAnsi="Calibri" w:cs="Calibri"/>
          <w:color w:val="auto"/>
          <w:lang w:val="en-GB"/>
        </w:rPr>
        <w:t>Omicron</w:t>
      </w:r>
      <w:r>
        <w:rPr>
          <w:rFonts w:ascii="Calibri" w:hAnsi="Calibri" w:cs="Calibri"/>
          <w:color w:val="auto"/>
          <w:lang w:val="en-GB"/>
        </w:rPr>
        <w:t xml:space="preserve"> </w:t>
      </w:r>
      <w:r w:rsidR="006A7998">
        <w:rPr>
          <w:rFonts w:ascii="Calibri" w:hAnsi="Calibri" w:cs="Calibri"/>
          <w:color w:val="auto"/>
          <w:lang w:val="en-GB"/>
        </w:rPr>
        <w:t>V</w:t>
      </w:r>
      <w:r>
        <w:rPr>
          <w:rFonts w:ascii="Calibri" w:hAnsi="Calibri" w:cs="Calibri"/>
          <w:color w:val="auto"/>
          <w:lang w:val="en-GB"/>
        </w:rPr>
        <w:t xml:space="preserve">ariants in </w:t>
      </w:r>
      <w:r w:rsidR="006A7998">
        <w:rPr>
          <w:rFonts w:ascii="Calibri" w:hAnsi="Calibri" w:cs="Calibri"/>
          <w:color w:val="auto"/>
          <w:lang w:val="en-GB"/>
        </w:rPr>
        <w:t>R</w:t>
      </w:r>
      <w:r>
        <w:rPr>
          <w:rFonts w:ascii="Calibri" w:hAnsi="Calibri" w:cs="Calibri"/>
          <w:color w:val="auto"/>
          <w:lang w:val="en-GB"/>
        </w:rPr>
        <w:t xml:space="preserve">elation to </w:t>
      </w:r>
      <w:r w:rsidR="006A7998">
        <w:rPr>
          <w:rFonts w:ascii="Calibri" w:hAnsi="Calibri" w:cs="Calibri"/>
          <w:color w:val="auto"/>
          <w:lang w:val="en-GB"/>
        </w:rPr>
        <w:t>V</w:t>
      </w:r>
      <w:r>
        <w:rPr>
          <w:rFonts w:ascii="Calibri" w:hAnsi="Calibri" w:cs="Calibri"/>
          <w:color w:val="auto"/>
          <w:lang w:val="en-GB"/>
        </w:rPr>
        <w:t xml:space="preserve">accination </w:t>
      </w:r>
      <w:r w:rsidR="006A7998">
        <w:rPr>
          <w:rFonts w:ascii="Calibri" w:hAnsi="Calibri" w:cs="Calibri"/>
          <w:color w:val="auto"/>
          <w:lang w:val="en-GB"/>
        </w:rPr>
        <w:t>S</w:t>
      </w:r>
      <w:r>
        <w:rPr>
          <w:rFonts w:ascii="Calibri" w:hAnsi="Calibri" w:cs="Calibri"/>
          <w:color w:val="auto"/>
          <w:lang w:val="en-GB"/>
        </w:rPr>
        <w:t xml:space="preserve">tatus, </w:t>
      </w:r>
      <w:r w:rsidR="006A7998">
        <w:rPr>
          <w:rFonts w:ascii="Calibri" w:hAnsi="Calibri" w:cs="Calibri"/>
          <w:color w:val="auto"/>
          <w:lang w:val="en-GB"/>
        </w:rPr>
        <w:t>S</w:t>
      </w:r>
      <w:r>
        <w:rPr>
          <w:rFonts w:ascii="Calibri" w:hAnsi="Calibri" w:cs="Calibri"/>
          <w:color w:val="auto"/>
          <w:lang w:val="en-GB"/>
        </w:rPr>
        <w:t xml:space="preserve">ex, </w:t>
      </w:r>
      <w:r w:rsidR="006A7998">
        <w:rPr>
          <w:rFonts w:ascii="Calibri" w:hAnsi="Calibri" w:cs="Calibri"/>
          <w:color w:val="auto"/>
          <w:lang w:val="en-GB"/>
        </w:rPr>
        <w:t>A</w:t>
      </w:r>
      <w:r>
        <w:rPr>
          <w:rFonts w:ascii="Calibri" w:hAnsi="Calibri" w:cs="Calibri"/>
          <w:color w:val="auto"/>
          <w:lang w:val="en-GB"/>
        </w:rPr>
        <w:t xml:space="preserve">ge and </w:t>
      </w:r>
      <w:r w:rsidR="006A7998">
        <w:rPr>
          <w:rFonts w:ascii="Calibri" w:hAnsi="Calibri" w:cs="Calibri"/>
          <w:color w:val="auto"/>
          <w:lang w:val="en-GB"/>
        </w:rPr>
        <w:t>C</w:t>
      </w:r>
      <w:r>
        <w:rPr>
          <w:rFonts w:ascii="Calibri" w:hAnsi="Calibri" w:cs="Calibri"/>
          <w:color w:val="auto"/>
          <w:lang w:val="en-GB"/>
        </w:rPr>
        <w:t xml:space="preserve">omorbidities – </w:t>
      </w:r>
      <w:r w:rsidR="006A7998">
        <w:rPr>
          <w:rFonts w:ascii="Calibri" w:hAnsi="Calibri" w:cs="Calibri"/>
          <w:color w:val="auto"/>
          <w:lang w:val="en-GB"/>
        </w:rPr>
        <w:t>S</w:t>
      </w:r>
      <w:r>
        <w:rPr>
          <w:rFonts w:ascii="Calibri" w:hAnsi="Calibri" w:cs="Calibri"/>
          <w:color w:val="auto"/>
          <w:lang w:val="en-GB"/>
        </w:rPr>
        <w:t xml:space="preserve">urveillance </w:t>
      </w:r>
      <w:r w:rsidR="006A7998">
        <w:rPr>
          <w:rFonts w:ascii="Calibri" w:hAnsi="Calibri" w:cs="Calibri"/>
          <w:color w:val="auto"/>
          <w:lang w:val="en-GB"/>
        </w:rPr>
        <w:t>R</w:t>
      </w:r>
      <w:r>
        <w:rPr>
          <w:rFonts w:ascii="Calibri" w:hAnsi="Calibri" w:cs="Calibri"/>
          <w:color w:val="auto"/>
          <w:lang w:val="en-GB"/>
        </w:rPr>
        <w:t xml:space="preserve">esults from </w:t>
      </w:r>
      <w:r w:rsidR="006A7998">
        <w:rPr>
          <w:rFonts w:ascii="Calibri" w:hAnsi="Calibri" w:cs="Calibri"/>
          <w:color w:val="auto"/>
          <w:lang w:val="en-GB"/>
        </w:rPr>
        <w:t>S</w:t>
      </w:r>
      <w:r>
        <w:rPr>
          <w:rFonts w:ascii="Calibri" w:hAnsi="Calibri" w:cs="Calibri"/>
          <w:color w:val="auto"/>
          <w:lang w:val="en-GB"/>
        </w:rPr>
        <w:t xml:space="preserve">outhern Sweden, July 2021 to January 2022. Euro </w:t>
      </w:r>
      <w:proofErr w:type="spellStart"/>
      <w:r>
        <w:rPr>
          <w:rFonts w:ascii="Calibri" w:hAnsi="Calibri" w:cs="Calibri"/>
          <w:color w:val="auto"/>
          <w:lang w:val="en-GB"/>
        </w:rPr>
        <w:t>Surveill</w:t>
      </w:r>
      <w:proofErr w:type="spellEnd"/>
      <w:r>
        <w:rPr>
          <w:rFonts w:ascii="Calibri" w:hAnsi="Calibri" w:cs="Calibri"/>
          <w:color w:val="auto"/>
          <w:lang w:val="en-GB"/>
        </w:rPr>
        <w:t xml:space="preserve"> 2022;27(9):2200121. </w:t>
      </w:r>
    </w:p>
    <w:p w14:paraId="6BC48D17" w14:textId="77777777"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11.</w:t>
      </w:r>
      <w:r>
        <w:rPr>
          <w:rFonts w:ascii="Calibri" w:hAnsi="Calibri" w:cs="Calibri"/>
          <w:color w:val="auto"/>
          <w:lang w:val="en-GB"/>
        </w:rPr>
        <w:tab/>
      </w:r>
      <w:proofErr w:type="spellStart"/>
      <w:r>
        <w:rPr>
          <w:rFonts w:ascii="Calibri" w:hAnsi="Calibri" w:cs="Calibri"/>
          <w:color w:val="auto"/>
          <w:lang w:val="en-GB"/>
        </w:rPr>
        <w:t>Tenforde</w:t>
      </w:r>
      <w:proofErr w:type="spellEnd"/>
      <w:r>
        <w:rPr>
          <w:rFonts w:ascii="Calibri" w:hAnsi="Calibri" w:cs="Calibri"/>
          <w:color w:val="auto"/>
          <w:lang w:val="en-GB"/>
        </w:rPr>
        <w:t xml:space="preserve"> MW, Patel MM, </w:t>
      </w:r>
      <w:proofErr w:type="spellStart"/>
      <w:r>
        <w:rPr>
          <w:rFonts w:ascii="Calibri" w:hAnsi="Calibri" w:cs="Calibri"/>
          <w:color w:val="auto"/>
          <w:lang w:val="en-GB"/>
        </w:rPr>
        <w:t>Gaglani</w:t>
      </w:r>
      <w:proofErr w:type="spellEnd"/>
      <w:r>
        <w:rPr>
          <w:rFonts w:ascii="Calibri" w:hAnsi="Calibri" w:cs="Calibri"/>
          <w:color w:val="auto"/>
          <w:lang w:val="en-GB"/>
        </w:rPr>
        <w:t xml:space="preserve"> M, et al. Effectiveness of a Third Dose of Pfizer-BioNTech and Moderna Vaccines in Preventing COVID-19 Hospitalization Among Immunocompetent and Immunocompromised Adults - United States, August-December 2021. MMWR </w:t>
      </w:r>
      <w:proofErr w:type="spellStart"/>
      <w:r>
        <w:rPr>
          <w:rFonts w:ascii="Calibri" w:hAnsi="Calibri" w:cs="Calibri"/>
          <w:color w:val="auto"/>
          <w:lang w:val="en-GB"/>
        </w:rPr>
        <w:t>Morb</w:t>
      </w:r>
      <w:proofErr w:type="spellEnd"/>
      <w:r>
        <w:rPr>
          <w:rFonts w:ascii="Calibri" w:hAnsi="Calibri" w:cs="Calibri"/>
          <w:color w:val="auto"/>
          <w:lang w:val="en-GB"/>
        </w:rPr>
        <w:t xml:space="preserve"> Mortal </w:t>
      </w:r>
      <w:proofErr w:type="spellStart"/>
      <w:r>
        <w:rPr>
          <w:rFonts w:ascii="Calibri" w:hAnsi="Calibri" w:cs="Calibri"/>
          <w:color w:val="auto"/>
          <w:lang w:val="en-GB"/>
        </w:rPr>
        <w:t>Wkly</w:t>
      </w:r>
      <w:proofErr w:type="spellEnd"/>
      <w:r>
        <w:rPr>
          <w:rFonts w:ascii="Calibri" w:hAnsi="Calibri" w:cs="Calibri"/>
          <w:color w:val="auto"/>
          <w:lang w:val="en-GB"/>
        </w:rPr>
        <w:t xml:space="preserve"> Rep 2022;71(4):118–24. </w:t>
      </w:r>
    </w:p>
    <w:p w14:paraId="6E65A8EF" w14:textId="1210065D" w:rsidR="001B68DB" w:rsidRDefault="001B68DB" w:rsidP="001B68DB">
      <w:pPr>
        <w:tabs>
          <w:tab w:val="left" w:pos="1200"/>
        </w:tabs>
        <w:autoSpaceDE w:val="0"/>
        <w:autoSpaceDN w:val="0"/>
        <w:adjustRightInd w:val="0"/>
        <w:spacing w:after="240"/>
        <w:ind w:left="1200" w:hanging="1200"/>
        <w:rPr>
          <w:rFonts w:ascii="Calibri" w:hAnsi="Calibri" w:cs="Calibri"/>
          <w:color w:val="auto"/>
          <w:lang w:val="en-GB"/>
        </w:rPr>
      </w:pPr>
      <w:r>
        <w:rPr>
          <w:rFonts w:ascii="Calibri" w:hAnsi="Calibri" w:cs="Calibri"/>
          <w:color w:val="auto"/>
          <w:lang w:val="en-GB"/>
        </w:rPr>
        <w:t>12.</w:t>
      </w:r>
      <w:r>
        <w:rPr>
          <w:rFonts w:ascii="Calibri" w:hAnsi="Calibri" w:cs="Calibri"/>
          <w:color w:val="auto"/>
          <w:lang w:val="en-GB"/>
        </w:rPr>
        <w:tab/>
        <w:t xml:space="preserve">Tseng HF, Ackerson BK, Luo Y, et al. Effectiveness of mRNA-1273 against SARS-CoV-2 </w:t>
      </w:r>
      <w:r w:rsidR="00C409F0">
        <w:rPr>
          <w:rFonts w:ascii="Calibri" w:hAnsi="Calibri" w:cs="Calibri"/>
          <w:color w:val="auto"/>
          <w:lang w:val="en-GB"/>
        </w:rPr>
        <w:t>Omicron</w:t>
      </w:r>
      <w:r>
        <w:rPr>
          <w:rFonts w:ascii="Calibri" w:hAnsi="Calibri" w:cs="Calibri"/>
          <w:color w:val="auto"/>
          <w:lang w:val="en-GB"/>
        </w:rPr>
        <w:t xml:space="preserve"> and Delta variants. Nat Med 2022;1–1. </w:t>
      </w:r>
    </w:p>
    <w:p w14:paraId="07D81301" w14:textId="72272218" w:rsidR="00071734" w:rsidRPr="00926BF6" w:rsidRDefault="001B68DB" w:rsidP="00467560">
      <w:pPr>
        <w:spacing w:before="120" w:line="288" w:lineRule="auto"/>
      </w:pPr>
      <w:r>
        <w:fldChar w:fldCharType="begin"/>
      </w:r>
      <w:r>
        <w:instrText xml:space="preserve"> ADDIN PAPERS2_CITATIONS &lt;papers2_bibliography/&gt;</w:instrText>
      </w:r>
      <w:r>
        <w:fldChar w:fldCharType="end"/>
      </w:r>
    </w:p>
    <w:sectPr w:rsidR="00071734" w:rsidRPr="00926BF6" w:rsidSect="00513AAF">
      <w:footerReference w:type="default" r:id="rId21"/>
      <w:headerReference w:type="first" r:id="rId22"/>
      <w:footerReference w:type="first" r:id="rId23"/>
      <w:pgSz w:w="11906" w:h="16838"/>
      <w:pgMar w:top="1134"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28E4" w14:textId="77777777" w:rsidR="00964F0E" w:rsidRDefault="00964F0E" w:rsidP="006F3367">
      <w:pPr>
        <w:spacing w:after="0"/>
      </w:pPr>
      <w:r>
        <w:separator/>
      </w:r>
    </w:p>
  </w:endnote>
  <w:endnote w:type="continuationSeparator" w:id="0">
    <w:p w14:paraId="2389FF1C" w14:textId="77777777" w:rsidR="00964F0E" w:rsidRDefault="00964F0E" w:rsidP="006F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54773" w14:textId="77777777" w:rsidR="00467560" w:rsidRDefault="00467560" w:rsidP="00467560">
    <w:pPr>
      <w:pStyle w:val="Footer"/>
      <w:spacing w:after="120"/>
      <w:rPr>
        <w:lang w:val="en-US"/>
      </w:rPr>
    </w:pPr>
  </w:p>
  <w:p w14:paraId="1282C845" w14:textId="40C890CF" w:rsidR="00467560" w:rsidRPr="00C26D72" w:rsidRDefault="00513AAF" w:rsidP="00C26D72">
    <w:pPr>
      <w:pStyle w:val="BodyText"/>
      <w:spacing w:before="120"/>
      <w:rPr>
        <w:sz w:val="20"/>
      </w:rPr>
    </w:pPr>
    <w:r w:rsidRPr="00C26D72">
      <w:rPr>
        <w:szCs w:val="22"/>
      </w:rPr>
      <w:t xml:space="preserve">Therapeutics TAG: </w:t>
    </w:r>
    <w:r w:rsidR="001A5F12" w:rsidRPr="00C26D72">
      <w:rPr>
        <w:szCs w:val="22"/>
      </w:rPr>
      <w:t xml:space="preserve">Guidance for temporary </w:t>
    </w:r>
    <w:proofErr w:type="spellStart"/>
    <w:r w:rsidR="001A5F12" w:rsidRPr="00C26D72">
      <w:rPr>
        <w:szCs w:val="22"/>
      </w:rPr>
      <w:t>prioritisation</w:t>
    </w:r>
    <w:proofErr w:type="spellEnd"/>
    <w:r w:rsidR="001A5F12" w:rsidRPr="00C26D72">
      <w:rPr>
        <w:szCs w:val="22"/>
      </w:rPr>
      <w:t xml:space="preserve"> of </w:t>
    </w:r>
    <w:proofErr w:type="spellStart"/>
    <w:r w:rsidR="001A5F12" w:rsidRPr="00C26D72">
      <w:rPr>
        <w:szCs w:val="22"/>
      </w:rPr>
      <w:t>remdesivir</w:t>
    </w:r>
    <w:proofErr w:type="spellEnd"/>
    <w:r w:rsidR="001A5F12" w:rsidRPr="00C26D72">
      <w:rPr>
        <w:szCs w:val="22"/>
      </w:rPr>
      <w:t xml:space="preserve"> for early COVID-19 in people not requiring oxygen</w:t>
    </w:r>
    <w:r w:rsidR="00C26D72">
      <w:rPr>
        <w:sz w:val="20"/>
      </w:rPr>
      <w:t xml:space="preserve">  </w:t>
    </w:r>
    <w:r w:rsidR="003C7E71">
      <w:rPr>
        <w:sz w:val="20"/>
      </w:rPr>
      <w:t xml:space="preserve">   </w:t>
    </w:r>
    <w:r w:rsidR="00E870E7">
      <w:t>March 2022</w:t>
    </w:r>
    <w:r w:rsidR="00467560">
      <w:tab/>
    </w:r>
    <w:sdt>
      <w:sdtPr>
        <w:id w:val="-86155225"/>
        <w:docPartObj>
          <w:docPartGallery w:val="Page Numbers (Bottom of Page)"/>
          <w:docPartUnique/>
        </w:docPartObj>
      </w:sdtPr>
      <w:sdtEndPr>
        <w:rPr>
          <w:noProof/>
        </w:rPr>
      </w:sdtEndPr>
      <w:sdtContent>
        <w:r w:rsidR="003C7E71">
          <w:t xml:space="preserve">                                                                                                                      </w:t>
        </w:r>
        <w:r w:rsidR="00467560">
          <w:rPr>
            <w:b/>
            <w:bCs/>
          </w:rPr>
          <w:fldChar w:fldCharType="begin"/>
        </w:r>
        <w:r w:rsidR="00467560">
          <w:rPr>
            <w:b/>
            <w:bCs/>
          </w:rPr>
          <w:instrText xml:space="preserve"> PAGE  \* Arabic  \* MERGEFORMAT </w:instrText>
        </w:r>
        <w:r w:rsidR="00467560">
          <w:rPr>
            <w:b/>
            <w:bCs/>
          </w:rPr>
          <w:fldChar w:fldCharType="separate"/>
        </w:r>
        <w:r w:rsidR="00A4483E">
          <w:rPr>
            <w:b/>
            <w:bCs/>
            <w:noProof/>
          </w:rPr>
          <w:t>1</w:t>
        </w:r>
        <w:r w:rsidR="00467560">
          <w:rPr>
            <w:b/>
            <w:bCs/>
          </w:rPr>
          <w:fldChar w:fldCharType="end"/>
        </w:r>
        <w:r w:rsidR="00467560">
          <w:t xml:space="preserve"> of </w:t>
        </w:r>
        <w:r w:rsidR="00467560">
          <w:rPr>
            <w:b/>
            <w:bCs/>
          </w:rPr>
          <w:fldChar w:fldCharType="begin"/>
        </w:r>
        <w:r w:rsidR="00467560">
          <w:rPr>
            <w:b/>
            <w:bCs/>
          </w:rPr>
          <w:instrText xml:space="preserve"> NUMPAGES  \* Arabic  \* MERGEFORMAT </w:instrText>
        </w:r>
        <w:r w:rsidR="00467560">
          <w:rPr>
            <w:b/>
            <w:bCs/>
          </w:rPr>
          <w:fldChar w:fldCharType="separate"/>
        </w:r>
        <w:r w:rsidR="00A4483E">
          <w:rPr>
            <w:b/>
            <w:bCs/>
            <w:noProof/>
          </w:rPr>
          <w:t>5</w:t>
        </w:r>
        <w:r w:rsidR="00467560">
          <w:rPr>
            <w:b/>
            <w:bCs/>
          </w:rPr>
          <w:fldChar w:fldCharType="end"/>
        </w:r>
      </w:sdtContent>
    </w:sdt>
  </w:p>
  <w:p w14:paraId="3E49A91A" w14:textId="77777777" w:rsidR="008A79C9" w:rsidRDefault="008A79C9" w:rsidP="004675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9657A" w14:textId="77777777" w:rsidR="00467560" w:rsidRDefault="00467560" w:rsidP="00467560">
    <w:pPr>
      <w:pStyle w:val="Footer"/>
      <w:spacing w:after="120"/>
      <w:rPr>
        <w:lang w:val="en-US"/>
      </w:rPr>
    </w:pPr>
  </w:p>
  <w:p w14:paraId="1416D45C" w14:textId="77777777" w:rsidR="00467560" w:rsidRDefault="00071734" w:rsidP="00467560">
    <w:pPr>
      <w:pStyle w:val="Footer"/>
      <w:spacing w:after="120"/>
    </w:pPr>
    <w:r>
      <w:rPr>
        <w:lang w:val="en-US"/>
      </w:rPr>
      <w:t xml:space="preserve">Therapeutics TAG: </w:t>
    </w:r>
    <w:r w:rsidR="00B41BF5">
      <w:rPr>
        <w:lang w:val="en-US"/>
      </w:rPr>
      <w:t>Remdesivir use in the community</w:t>
    </w:r>
    <w:r w:rsidR="00513AAF">
      <w:rPr>
        <w:lang w:val="en-US"/>
      </w:rPr>
      <w:t xml:space="preserve">    March 2022</w:t>
    </w:r>
    <w:r w:rsidR="00467560">
      <w:rPr>
        <w:lang w:val="en-US"/>
      </w:rPr>
      <w:tab/>
    </w:r>
    <w:sdt>
      <w:sdtPr>
        <w:id w:val="1142628754"/>
        <w:docPartObj>
          <w:docPartGallery w:val="Page Numbers (Bottom of Page)"/>
          <w:docPartUnique/>
        </w:docPartObj>
      </w:sdtPr>
      <w:sdtEndPr>
        <w:rPr>
          <w:noProof/>
        </w:rPr>
      </w:sdtEndPr>
      <w:sdtContent>
        <w:r w:rsidR="00467560">
          <w:rPr>
            <w:b/>
            <w:bCs/>
          </w:rPr>
          <w:fldChar w:fldCharType="begin"/>
        </w:r>
        <w:r w:rsidR="00467560">
          <w:rPr>
            <w:b/>
            <w:bCs/>
          </w:rPr>
          <w:instrText xml:space="preserve"> PAGE  \* Arabic  \* MERGEFORMAT </w:instrText>
        </w:r>
        <w:r w:rsidR="00467560">
          <w:rPr>
            <w:b/>
            <w:bCs/>
          </w:rPr>
          <w:fldChar w:fldCharType="separate"/>
        </w:r>
        <w:r w:rsidR="00467560">
          <w:rPr>
            <w:b/>
            <w:bCs/>
          </w:rPr>
          <w:t>1</w:t>
        </w:r>
        <w:r w:rsidR="00467560">
          <w:rPr>
            <w:b/>
            <w:bCs/>
          </w:rPr>
          <w:fldChar w:fldCharType="end"/>
        </w:r>
        <w:r w:rsidR="00467560">
          <w:t xml:space="preserve"> of </w:t>
        </w:r>
        <w:r w:rsidR="00467560">
          <w:rPr>
            <w:b/>
            <w:bCs/>
          </w:rPr>
          <w:fldChar w:fldCharType="begin"/>
        </w:r>
        <w:r w:rsidR="00467560">
          <w:rPr>
            <w:b/>
            <w:bCs/>
          </w:rPr>
          <w:instrText xml:space="preserve"> NUMPAGES  \* Arabic  \* MERGEFORMAT </w:instrText>
        </w:r>
        <w:r w:rsidR="00467560">
          <w:rPr>
            <w:b/>
            <w:bCs/>
          </w:rPr>
          <w:fldChar w:fldCharType="separate"/>
        </w:r>
        <w:r w:rsidR="00467560">
          <w:rPr>
            <w:b/>
            <w:bCs/>
          </w:rPr>
          <w:t>5</w:t>
        </w:r>
        <w:r w:rsidR="00467560">
          <w:rPr>
            <w:b/>
            <w:bCs/>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3EC17" w14:textId="77777777" w:rsidR="00964F0E" w:rsidRDefault="00964F0E" w:rsidP="006F3367">
      <w:pPr>
        <w:spacing w:after="0"/>
      </w:pPr>
      <w:r>
        <w:separator/>
      </w:r>
    </w:p>
  </w:footnote>
  <w:footnote w:type="continuationSeparator" w:id="0">
    <w:p w14:paraId="55E39035" w14:textId="77777777" w:rsidR="00964F0E" w:rsidRDefault="00964F0E" w:rsidP="006F33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F3CC9" w14:textId="77777777" w:rsidR="00524D9D" w:rsidRDefault="00524D9D">
    <w:pPr>
      <w:pStyle w:val="Header"/>
      <w:rPr>
        <w:noProof/>
      </w:rPr>
    </w:pPr>
  </w:p>
  <w:p w14:paraId="2E1BD6C5" w14:textId="77777777" w:rsidR="00933056" w:rsidRDefault="009330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724DA"/>
    <w:multiLevelType w:val="hybridMultilevel"/>
    <w:tmpl w:val="044C4B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673689"/>
    <w:multiLevelType w:val="hybridMultilevel"/>
    <w:tmpl w:val="B50411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E56D76"/>
    <w:multiLevelType w:val="hybridMultilevel"/>
    <w:tmpl w:val="48A68E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786CCE"/>
    <w:multiLevelType w:val="hybridMultilevel"/>
    <w:tmpl w:val="D45EA5CE"/>
    <w:lvl w:ilvl="0" w:tplc="743E050A">
      <w:start w:val="1"/>
      <w:numFmt w:val="bullet"/>
      <w:lvlText w:val="·"/>
      <w:lvlJc w:val="left"/>
      <w:pPr>
        <w:ind w:left="720" w:hanging="360"/>
      </w:pPr>
      <w:rPr>
        <w:rFonts w:ascii="Symbol" w:hAnsi="Symbol" w:hint="default"/>
      </w:rPr>
    </w:lvl>
    <w:lvl w:ilvl="1" w:tplc="993AC42C">
      <w:start w:val="1"/>
      <w:numFmt w:val="bullet"/>
      <w:lvlText w:val="o"/>
      <w:lvlJc w:val="left"/>
      <w:pPr>
        <w:ind w:left="1440" w:hanging="360"/>
      </w:pPr>
      <w:rPr>
        <w:rFonts w:ascii="&quot;Courier New&quot;" w:hAnsi="&quot;Courier New&quot;" w:hint="default"/>
      </w:rPr>
    </w:lvl>
    <w:lvl w:ilvl="2" w:tplc="7058388E">
      <w:start w:val="1"/>
      <w:numFmt w:val="bullet"/>
      <w:lvlText w:val=""/>
      <w:lvlJc w:val="left"/>
      <w:pPr>
        <w:ind w:left="2160" w:hanging="360"/>
      </w:pPr>
      <w:rPr>
        <w:rFonts w:ascii="Wingdings" w:hAnsi="Wingdings" w:hint="default"/>
      </w:rPr>
    </w:lvl>
    <w:lvl w:ilvl="3" w:tplc="2B3C2128">
      <w:start w:val="1"/>
      <w:numFmt w:val="bullet"/>
      <w:lvlText w:val=""/>
      <w:lvlJc w:val="left"/>
      <w:pPr>
        <w:ind w:left="2880" w:hanging="360"/>
      </w:pPr>
      <w:rPr>
        <w:rFonts w:ascii="Symbol" w:hAnsi="Symbol" w:hint="default"/>
      </w:rPr>
    </w:lvl>
    <w:lvl w:ilvl="4" w:tplc="4142E46E">
      <w:start w:val="1"/>
      <w:numFmt w:val="bullet"/>
      <w:lvlText w:val="o"/>
      <w:lvlJc w:val="left"/>
      <w:pPr>
        <w:ind w:left="3600" w:hanging="360"/>
      </w:pPr>
      <w:rPr>
        <w:rFonts w:ascii="Courier New" w:hAnsi="Courier New" w:hint="default"/>
      </w:rPr>
    </w:lvl>
    <w:lvl w:ilvl="5" w:tplc="EDC65B14">
      <w:start w:val="1"/>
      <w:numFmt w:val="bullet"/>
      <w:lvlText w:val=""/>
      <w:lvlJc w:val="left"/>
      <w:pPr>
        <w:ind w:left="4320" w:hanging="360"/>
      </w:pPr>
      <w:rPr>
        <w:rFonts w:ascii="Wingdings" w:hAnsi="Wingdings" w:hint="default"/>
      </w:rPr>
    </w:lvl>
    <w:lvl w:ilvl="6" w:tplc="605873E4">
      <w:start w:val="1"/>
      <w:numFmt w:val="bullet"/>
      <w:lvlText w:val=""/>
      <w:lvlJc w:val="left"/>
      <w:pPr>
        <w:ind w:left="5040" w:hanging="360"/>
      </w:pPr>
      <w:rPr>
        <w:rFonts w:ascii="Symbol" w:hAnsi="Symbol" w:hint="default"/>
      </w:rPr>
    </w:lvl>
    <w:lvl w:ilvl="7" w:tplc="8B1C1106">
      <w:start w:val="1"/>
      <w:numFmt w:val="bullet"/>
      <w:lvlText w:val="o"/>
      <w:lvlJc w:val="left"/>
      <w:pPr>
        <w:ind w:left="5760" w:hanging="360"/>
      </w:pPr>
      <w:rPr>
        <w:rFonts w:ascii="Courier New" w:hAnsi="Courier New" w:hint="default"/>
      </w:rPr>
    </w:lvl>
    <w:lvl w:ilvl="8" w:tplc="68F87934">
      <w:start w:val="1"/>
      <w:numFmt w:val="bullet"/>
      <w:lvlText w:val=""/>
      <w:lvlJc w:val="left"/>
      <w:pPr>
        <w:ind w:left="6480" w:hanging="360"/>
      </w:pPr>
      <w:rPr>
        <w:rFonts w:ascii="Wingdings" w:hAnsi="Wingdings" w:hint="default"/>
      </w:rPr>
    </w:lvl>
  </w:abstractNum>
  <w:abstractNum w:abstractNumId="4" w15:restartNumberingAfterBreak="0">
    <w:nsid w:val="144C66E9"/>
    <w:multiLevelType w:val="hybridMultilevel"/>
    <w:tmpl w:val="6920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86D6D"/>
    <w:multiLevelType w:val="hybridMultilevel"/>
    <w:tmpl w:val="337EC6A0"/>
    <w:lvl w:ilvl="0" w:tplc="23A83344">
      <w:numFmt w:val="bullet"/>
      <w:lvlText w:val="-"/>
      <w:lvlJc w:val="left"/>
      <w:pPr>
        <w:ind w:left="408" w:hanging="360"/>
      </w:pPr>
      <w:rPr>
        <w:rFonts w:ascii="Calibri" w:eastAsiaTheme="minorHAnsi" w:hAnsi="Calibri" w:cs="Calibri" w:hint="default"/>
      </w:rPr>
    </w:lvl>
    <w:lvl w:ilvl="1" w:tplc="14090003" w:tentative="1">
      <w:start w:val="1"/>
      <w:numFmt w:val="bullet"/>
      <w:lvlText w:val="o"/>
      <w:lvlJc w:val="left"/>
      <w:pPr>
        <w:ind w:left="1128" w:hanging="360"/>
      </w:pPr>
      <w:rPr>
        <w:rFonts w:ascii="Courier New" w:hAnsi="Courier New" w:cs="Courier New" w:hint="default"/>
      </w:rPr>
    </w:lvl>
    <w:lvl w:ilvl="2" w:tplc="14090005" w:tentative="1">
      <w:start w:val="1"/>
      <w:numFmt w:val="bullet"/>
      <w:lvlText w:val=""/>
      <w:lvlJc w:val="left"/>
      <w:pPr>
        <w:ind w:left="1848" w:hanging="360"/>
      </w:pPr>
      <w:rPr>
        <w:rFonts w:ascii="Wingdings" w:hAnsi="Wingdings" w:hint="default"/>
      </w:rPr>
    </w:lvl>
    <w:lvl w:ilvl="3" w:tplc="14090001" w:tentative="1">
      <w:start w:val="1"/>
      <w:numFmt w:val="bullet"/>
      <w:lvlText w:val=""/>
      <w:lvlJc w:val="left"/>
      <w:pPr>
        <w:ind w:left="2568" w:hanging="360"/>
      </w:pPr>
      <w:rPr>
        <w:rFonts w:ascii="Symbol" w:hAnsi="Symbol" w:hint="default"/>
      </w:rPr>
    </w:lvl>
    <w:lvl w:ilvl="4" w:tplc="14090003" w:tentative="1">
      <w:start w:val="1"/>
      <w:numFmt w:val="bullet"/>
      <w:lvlText w:val="o"/>
      <w:lvlJc w:val="left"/>
      <w:pPr>
        <w:ind w:left="3288" w:hanging="360"/>
      </w:pPr>
      <w:rPr>
        <w:rFonts w:ascii="Courier New" w:hAnsi="Courier New" w:cs="Courier New" w:hint="default"/>
      </w:rPr>
    </w:lvl>
    <w:lvl w:ilvl="5" w:tplc="14090005" w:tentative="1">
      <w:start w:val="1"/>
      <w:numFmt w:val="bullet"/>
      <w:lvlText w:val=""/>
      <w:lvlJc w:val="left"/>
      <w:pPr>
        <w:ind w:left="4008" w:hanging="360"/>
      </w:pPr>
      <w:rPr>
        <w:rFonts w:ascii="Wingdings" w:hAnsi="Wingdings" w:hint="default"/>
      </w:rPr>
    </w:lvl>
    <w:lvl w:ilvl="6" w:tplc="14090001" w:tentative="1">
      <w:start w:val="1"/>
      <w:numFmt w:val="bullet"/>
      <w:lvlText w:val=""/>
      <w:lvlJc w:val="left"/>
      <w:pPr>
        <w:ind w:left="4728" w:hanging="360"/>
      </w:pPr>
      <w:rPr>
        <w:rFonts w:ascii="Symbol" w:hAnsi="Symbol" w:hint="default"/>
      </w:rPr>
    </w:lvl>
    <w:lvl w:ilvl="7" w:tplc="14090003" w:tentative="1">
      <w:start w:val="1"/>
      <w:numFmt w:val="bullet"/>
      <w:lvlText w:val="o"/>
      <w:lvlJc w:val="left"/>
      <w:pPr>
        <w:ind w:left="5448" w:hanging="360"/>
      </w:pPr>
      <w:rPr>
        <w:rFonts w:ascii="Courier New" w:hAnsi="Courier New" w:cs="Courier New" w:hint="default"/>
      </w:rPr>
    </w:lvl>
    <w:lvl w:ilvl="8" w:tplc="14090005" w:tentative="1">
      <w:start w:val="1"/>
      <w:numFmt w:val="bullet"/>
      <w:lvlText w:val=""/>
      <w:lvlJc w:val="left"/>
      <w:pPr>
        <w:ind w:left="6168" w:hanging="360"/>
      </w:pPr>
      <w:rPr>
        <w:rFonts w:ascii="Wingdings" w:hAnsi="Wingdings" w:hint="default"/>
      </w:rPr>
    </w:lvl>
  </w:abstractNum>
  <w:abstractNum w:abstractNumId="6" w15:restartNumberingAfterBreak="0">
    <w:nsid w:val="1E6D6ABE"/>
    <w:multiLevelType w:val="hybridMultilevel"/>
    <w:tmpl w:val="848A4024"/>
    <w:lvl w:ilvl="0" w:tplc="14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21741746"/>
    <w:multiLevelType w:val="hybridMultilevel"/>
    <w:tmpl w:val="0A70E6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2BA770D"/>
    <w:multiLevelType w:val="hybridMultilevel"/>
    <w:tmpl w:val="1218661E"/>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27757298"/>
    <w:multiLevelType w:val="hybridMultilevel"/>
    <w:tmpl w:val="3A6C8D54"/>
    <w:lvl w:ilvl="0" w:tplc="42148C7E">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2E68034B"/>
    <w:multiLevelType w:val="hybridMultilevel"/>
    <w:tmpl w:val="A406E35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57EE1F87"/>
    <w:multiLevelType w:val="hybridMultilevel"/>
    <w:tmpl w:val="577A55F0"/>
    <w:lvl w:ilvl="0" w:tplc="08090001">
      <w:start w:val="1"/>
      <w:numFmt w:val="bullet"/>
      <w:lvlText w:val=""/>
      <w:lvlJc w:val="left"/>
      <w:pPr>
        <w:ind w:left="720" w:hanging="360"/>
      </w:pPr>
      <w:rPr>
        <w:rFonts w:ascii="Symbol" w:hAnsi="Symbol" w:hint="default"/>
      </w:rPr>
    </w:lvl>
    <w:lvl w:ilvl="1" w:tplc="64CC4AC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644D10"/>
    <w:multiLevelType w:val="hybridMultilevel"/>
    <w:tmpl w:val="31D4F9E2"/>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6234C9"/>
    <w:multiLevelType w:val="hybridMultilevel"/>
    <w:tmpl w:val="2F728E80"/>
    <w:lvl w:ilvl="0" w:tplc="B51EB9B0">
      <w:start w:val="4"/>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CBE2EE2"/>
    <w:multiLevelType w:val="hybridMultilevel"/>
    <w:tmpl w:val="8C82C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FAF7603"/>
    <w:multiLevelType w:val="hybridMultilevel"/>
    <w:tmpl w:val="6B1C9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6C55B25"/>
    <w:multiLevelType w:val="hybridMultilevel"/>
    <w:tmpl w:val="506E103A"/>
    <w:lvl w:ilvl="0" w:tplc="08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88C7EB8"/>
    <w:multiLevelType w:val="hybridMultilevel"/>
    <w:tmpl w:val="6E948F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BF61C25"/>
    <w:multiLevelType w:val="hybridMultilevel"/>
    <w:tmpl w:val="C7E42D06"/>
    <w:lvl w:ilvl="0" w:tplc="560A1D70">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6F002E17"/>
    <w:multiLevelType w:val="hybridMultilevel"/>
    <w:tmpl w:val="E098ED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0C17B65"/>
    <w:multiLevelType w:val="hybridMultilevel"/>
    <w:tmpl w:val="491ABE9E"/>
    <w:lvl w:ilvl="0" w:tplc="E3B06234">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7108112C"/>
    <w:multiLevelType w:val="hybridMultilevel"/>
    <w:tmpl w:val="E6E43CBA"/>
    <w:lvl w:ilvl="0" w:tplc="D7A210D4">
      <w:numFmt w:val="bullet"/>
      <w:lvlText w:val="-"/>
      <w:lvlJc w:val="left"/>
      <w:pPr>
        <w:ind w:left="720" w:hanging="360"/>
      </w:pPr>
      <w:rPr>
        <w:rFonts w:ascii="Tahoma" w:eastAsiaTheme="minorHAnsi" w:hAnsi="Tahoma" w:cs="Tahoma"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78494A0C"/>
    <w:multiLevelType w:val="multilevel"/>
    <w:tmpl w:val="C6288F34"/>
    <w:styleLink w:val="MSIHeadingsList"/>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7"/>
  </w:num>
  <w:num w:numId="2">
    <w:abstractNumId w:val="21"/>
  </w:num>
  <w:num w:numId="3">
    <w:abstractNumId w:val="0"/>
  </w:num>
  <w:num w:numId="4">
    <w:abstractNumId w:val="14"/>
  </w:num>
  <w:num w:numId="5">
    <w:abstractNumId w:val="22"/>
  </w:num>
  <w:num w:numId="6">
    <w:abstractNumId w:val="19"/>
  </w:num>
  <w:num w:numId="7">
    <w:abstractNumId w:val="5"/>
  </w:num>
  <w:num w:numId="8">
    <w:abstractNumId w:val="20"/>
  </w:num>
  <w:num w:numId="9">
    <w:abstractNumId w:val="8"/>
  </w:num>
  <w:num w:numId="10">
    <w:abstractNumId w:val="15"/>
  </w:num>
  <w:num w:numId="11">
    <w:abstractNumId w:val="7"/>
  </w:num>
  <w:num w:numId="12">
    <w:abstractNumId w:val="1"/>
  </w:num>
  <w:num w:numId="13">
    <w:abstractNumId w:val="3"/>
  </w:num>
  <w:num w:numId="14">
    <w:abstractNumId w:val="13"/>
  </w:num>
  <w:num w:numId="15">
    <w:abstractNumId w:val="11"/>
  </w:num>
  <w:num w:numId="16">
    <w:abstractNumId w:val="16"/>
  </w:num>
  <w:num w:numId="17">
    <w:abstractNumId w:val="18"/>
  </w:num>
  <w:num w:numId="18">
    <w:abstractNumId w:val="9"/>
  </w:num>
  <w:num w:numId="19">
    <w:abstractNumId w:val="10"/>
  </w:num>
  <w:num w:numId="20">
    <w:abstractNumId w:val="2"/>
  </w:num>
  <w:num w:numId="21">
    <w:abstractNumId w:val="4"/>
  </w:num>
  <w:num w:numId="22">
    <w:abstractNumId w:val="12"/>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367"/>
    <w:rsid w:val="0000257E"/>
    <w:rsid w:val="00004245"/>
    <w:rsid w:val="000126CC"/>
    <w:rsid w:val="00024D30"/>
    <w:rsid w:val="0002748D"/>
    <w:rsid w:val="000362EA"/>
    <w:rsid w:val="00040DEF"/>
    <w:rsid w:val="000471B9"/>
    <w:rsid w:val="00047B4A"/>
    <w:rsid w:val="000513FA"/>
    <w:rsid w:val="000522EB"/>
    <w:rsid w:val="000555C0"/>
    <w:rsid w:val="00056E0D"/>
    <w:rsid w:val="00071734"/>
    <w:rsid w:val="00081E5B"/>
    <w:rsid w:val="00082D4E"/>
    <w:rsid w:val="00085315"/>
    <w:rsid w:val="000A6EA2"/>
    <w:rsid w:val="000B4A6F"/>
    <w:rsid w:val="000C2162"/>
    <w:rsid w:val="000E4D96"/>
    <w:rsid w:val="000F3D4C"/>
    <w:rsid w:val="000F43E0"/>
    <w:rsid w:val="000F4B57"/>
    <w:rsid w:val="000F53BA"/>
    <w:rsid w:val="001017F3"/>
    <w:rsid w:val="001035D2"/>
    <w:rsid w:val="001137DF"/>
    <w:rsid w:val="001154B4"/>
    <w:rsid w:val="001259A6"/>
    <w:rsid w:val="001339FD"/>
    <w:rsid w:val="00135FF0"/>
    <w:rsid w:val="00141616"/>
    <w:rsid w:val="001560BF"/>
    <w:rsid w:val="00170012"/>
    <w:rsid w:val="00172782"/>
    <w:rsid w:val="00173D4F"/>
    <w:rsid w:val="0017475E"/>
    <w:rsid w:val="0017497E"/>
    <w:rsid w:val="00176492"/>
    <w:rsid w:val="00182814"/>
    <w:rsid w:val="00186A54"/>
    <w:rsid w:val="00190D62"/>
    <w:rsid w:val="00194CA2"/>
    <w:rsid w:val="001A1547"/>
    <w:rsid w:val="001A2371"/>
    <w:rsid w:val="001A5F12"/>
    <w:rsid w:val="001B68DB"/>
    <w:rsid w:val="001C232F"/>
    <w:rsid w:val="001C255E"/>
    <w:rsid w:val="001D51D7"/>
    <w:rsid w:val="001D719F"/>
    <w:rsid w:val="001E223E"/>
    <w:rsid w:val="001F7AA4"/>
    <w:rsid w:val="002107C3"/>
    <w:rsid w:val="002113B4"/>
    <w:rsid w:val="002126B9"/>
    <w:rsid w:val="00220EA6"/>
    <w:rsid w:val="00222301"/>
    <w:rsid w:val="002306F4"/>
    <w:rsid w:val="00245DBA"/>
    <w:rsid w:val="002528DC"/>
    <w:rsid w:val="00257FEE"/>
    <w:rsid w:val="002612D8"/>
    <w:rsid w:val="002636DC"/>
    <w:rsid w:val="00271746"/>
    <w:rsid w:val="002802D2"/>
    <w:rsid w:val="00283FFB"/>
    <w:rsid w:val="002A0017"/>
    <w:rsid w:val="002A39A6"/>
    <w:rsid w:val="002D0AA5"/>
    <w:rsid w:val="002D0FBC"/>
    <w:rsid w:val="002D1304"/>
    <w:rsid w:val="002D21C2"/>
    <w:rsid w:val="002D4A66"/>
    <w:rsid w:val="002E1A55"/>
    <w:rsid w:val="002E2C5C"/>
    <w:rsid w:val="002E3CAE"/>
    <w:rsid w:val="002E3D55"/>
    <w:rsid w:val="002E4D7D"/>
    <w:rsid w:val="002F1734"/>
    <w:rsid w:val="002F6ABE"/>
    <w:rsid w:val="0030242F"/>
    <w:rsid w:val="0030467E"/>
    <w:rsid w:val="00307E17"/>
    <w:rsid w:val="00314904"/>
    <w:rsid w:val="00315042"/>
    <w:rsid w:val="00320CA2"/>
    <w:rsid w:val="00322E24"/>
    <w:rsid w:val="00346565"/>
    <w:rsid w:val="00354499"/>
    <w:rsid w:val="00357E4C"/>
    <w:rsid w:val="0036312F"/>
    <w:rsid w:val="00366A2A"/>
    <w:rsid w:val="00366A84"/>
    <w:rsid w:val="00381B47"/>
    <w:rsid w:val="00387286"/>
    <w:rsid w:val="003A648D"/>
    <w:rsid w:val="003B0D12"/>
    <w:rsid w:val="003B151B"/>
    <w:rsid w:val="003B4C8C"/>
    <w:rsid w:val="003C06AF"/>
    <w:rsid w:val="003C3BFB"/>
    <w:rsid w:val="003C4A6F"/>
    <w:rsid w:val="003C7E71"/>
    <w:rsid w:val="003D06BB"/>
    <w:rsid w:val="003D290B"/>
    <w:rsid w:val="003E3D49"/>
    <w:rsid w:val="003F0EFC"/>
    <w:rsid w:val="003F4B7C"/>
    <w:rsid w:val="00402978"/>
    <w:rsid w:val="004126C9"/>
    <w:rsid w:val="00412791"/>
    <w:rsid w:val="0041373C"/>
    <w:rsid w:val="004150CD"/>
    <w:rsid w:val="00416032"/>
    <w:rsid w:val="00427DB2"/>
    <w:rsid w:val="0043326A"/>
    <w:rsid w:val="004415FC"/>
    <w:rsid w:val="00441A11"/>
    <w:rsid w:val="004429CE"/>
    <w:rsid w:val="00444948"/>
    <w:rsid w:val="00446DED"/>
    <w:rsid w:val="004534A6"/>
    <w:rsid w:val="00455A74"/>
    <w:rsid w:val="004674D9"/>
    <w:rsid w:val="00467560"/>
    <w:rsid w:val="004713FD"/>
    <w:rsid w:val="004806E7"/>
    <w:rsid w:val="00487893"/>
    <w:rsid w:val="00495B8A"/>
    <w:rsid w:val="004A3F06"/>
    <w:rsid w:val="004A567F"/>
    <w:rsid w:val="004B1F32"/>
    <w:rsid w:val="004B33E4"/>
    <w:rsid w:val="004B55A0"/>
    <w:rsid w:val="004B7975"/>
    <w:rsid w:val="004C2D53"/>
    <w:rsid w:val="004D77CD"/>
    <w:rsid w:val="004E0A73"/>
    <w:rsid w:val="004E36CD"/>
    <w:rsid w:val="004E3CA8"/>
    <w:rsid w:val="004E6F3E"/>
    <w:rsid w:val="004E7592"/>
    <w:rsid w:val="004F16FF"/>
    <w:rsid w:val="004F2064"/>
    <w:rsid w:val="004F5425"/>
    <w:rsid w:val="00500172"/>
    <w:rsid w:val="00501886"/>
    <w:rsid w:val="00504A9A"/>
    <w:rsid w:val="0050676C"/>
    <w:rsid w:val="00513AAF"/>
    <w:rsid w:val="0051776A"/>
    <w:rsid w:val="00517B3B"/>
    <w:rsid w:val="00521F79"/>
    <w:rsid w:val="0052340E"/>
    <w:rsid w:val="00524D9D"/>
    <w:rsid w:val="0053123C"/>
    <w:rsid w:val="00533097"/>
    <w:rsid w:val="00535B1B"/>
    <w:rsid w:val="00537732"/>
    <w:rsid w:val="00543253"/>
    <w:rsid w:val="005449B4"/>
    <w:rsid w:val="00550005"/>
    <w:rsid w:val="005527F3"/>
    <w:rsid w:val="00555EF7"/>
    <w:rsid w:val="00565DCE"/>
    <w:rsid w:val="00576DD3"/>
    <w:rsid w:val="00583D28"/>
    <w:rsid w:val="00595512"/>
    <w:rsid w:val="00597B97"/>
    <w:rsid w:val="005B1BE5"/>
    <w:rsid w:val="005B4AD0"/>
    <w:rsid w:val="005C527B"/>
    <w:rsid w:val="005C71C7"/>
    <w:rsid w:val="005D30E9"/>
    <w:rsid w:val="005D78CA"/>
    <w:rsid w:val="005E1B85"/>
    <w:rsid w:val="005E2BC0"/>
    <w:rsid w:val="005E7E3C"/>
    <w:rsid w:val="005F1B28"/>
    <w:rsid w:val="006028B1"/>
    <w:rsid w:val="006029CA"/>
    <w:rsid w:val="006155B5"/>
    <w:rsid w:val="00624EBE"/>
    <w:rsid w:val="00630062"/>
    <w:rsid w:val="0063249B"/>
    <w:rsid w:val="00635D03"/>
    <w:rsid w:val="00641C6D"/>
    <w:rsid w:val="0064468F"/>
    <w:rsid w:val="006467E2"/>
    <w:rsid w:val="00646C40"/>
    <w:rsid w:val="00647C9A"/>
    <w:rsid w:val="00651370"/>
    <w:rsid w:val="006564FE"/>
    <w:rsid w:val="00661659"/>
    <w:rsid w:val="0066733A"/>
    <w:rsid w:val="00670F8E"/>
    <w:rsid w:val="00674D15"/>
    <w:rsid w:val="006844D7"/>
    <w:rsid w:val="00690565"/>
    <w:rsid w:val="00690F81"/>
    <w:rsid w:val="0069183C"/>
    <w:rsid w:val="00697B39"/>
    <w:rsid w:val="00697F5F"/>
    <w:rsid w:val="006A0977"/>
    <w:rsid w:val="006A25F3"/>
    <w:rsid w:val="006A359F"/>
    <w:rsid w:val="006A4626"/>
    <w:rsid w:val="006A6EE8"/>
    <w:rsid w:val="006A7998"/>
    <w:rsid w:val="006C15CB"/>
    <w:rsid w:val="006C5C15"/>
    <w:rsid w:val="006C5C46"/>
    <w:rsid w:val="006C71BD"/>
    <w:rsid w:val="006D300E"/>
    <w:rsid w:val="006D32A1"/>
    <w:rsid w:val="006E2DD6"/>
    <w:rsid w:val="006E4856"/>
    <w:rsid w:val="006E71A8"/>
    <w:rsid w:val="006F0225"/>
    <w:rsid w:val="006F07F1"/>
    <w:rsid w:val="006F2161"/>
    <w:rsid w:val="006F3367"/>
    <w:rsid w:val="006F491B"/>
    <w:rsid w:val="00700565"/>
    <w:rsid w:val="00703B5E"/>
    <w:rsid w:val="0071267D"/>
    <w:rsid w:val="00712D14"/>
    <w:rsid w:val="00712EBD"/>
    <w:rsid w:val="007169D6"/>
    <w:rsid w:val="00722148"/>
    <w:rsid w:val="0073071C"/>
    <w:rsid w:val="00733A8C"/>
    <w:rsid w:val="007343A5"/>
    <w:rsid w:val="00742696"/>
    <w:rsid w:val="00743DEA"/>
    <w:rsid w:val="00747B97"/>
    <w:rsid w:val="007523CF"/>
    <w:rsid w:val="00761787"/>
    <w:rsid w:val="0076185A"/>
    <w:rsid w:val="007650AE"/>
    <w:rsid w:val="00772300"/>
    <w:rsid w:val="00773E40"/>
    <w:rsid w:val="00774BF7"/>
    <w:rsid w:val="007846D3"/>
    <w:rsid w:val="007879EC"/>
    <w:rsid w:val="00796EED"/>
    <w:rsid w:val="0079788E"/>
    <w:rsid w:val="007A0872"/>
    <w:rsid w:val="007A0E2E"/>
    <w:rsid w:val="007B0906"/>
    <w:rsid w:val="007C32AF"/>
    <w:rsid w:val="007C49BA"/>
    <w:rsid w:val="007D1379"/>
    <w:rsid w:val="007D3AD6"/>
    <w:rsid w:val="007D4314"/>
    <w:rsid w:val="007D6E7F"/>
    <w:rsid w:val="007D7720"/>
    <w:rsid w:val="007E21F1"/>
    <w:rsid w:val="007E2AC9"/>
    <w:rsid w:val="007E2C00"/>
    <w:rsid w:val="007E2F7C"/>
    <w:rsid w:val="007F055F"/>
    <w:rsid w:val="007F3A48"/>
    <w:rsid w:val="007F591F"/>
    <w:rsid w:val="007F7FC2"/>
    <w:rsid w:val="008060CF"/>
    <w:rsid w:val="00807DD2"/>
    <w:rsid w:val="0081532C"/>
    <w:rsid w:val="0082389B"/>
    <w:rsid w:val="0083471F"/>
    <w:rsid w:val="008475AF"/>
    <w:rsid w:val="008578D2"/>
    <w:rsid w:val="0086032A"/>
    <w:rsid w:val="00861080"/>
    <w:rsid w:val="0086140B"/>
    <w:rsid w:val="008706A8"/>
    <w:rsid w:val="00870BED"/>
    <w:rsid w:val="008834EB"/>
    <w:rsid w:val="008A35C8"/>
    <w:rsid w:val="008A79C9"/>
    <w:rsid w:val="008B0460"/>
    <w:rsid w:val="008B66D6"/>
    <w:rsid w:val="008D424D"/>
    <w:rsid w:val="008E23D8"/>
    <w:rsid w:val="008F77BB"/>
    <w:rsid w:val="00901C1C"/>
    <w:rsid w:val="00911DA3"/>
    <w:rsid w:val="00914290"/>
    <w:rsid w:val="00916EC7"/>
    <w:rsid w:val="00916FEE"/>
    <w:rsid w:val="009201FF"/>
    <w:rsid w:val="00922895"/>
    <w:rsid w:val="00926AA4"/>
    <w:rsid w:val="00933056"/>
    <w:rsid w:val="00936F5D"/>
    <w:rsid w:val="0093764E"/>
    <w:rsid w:val="0094184E"/>
    <w:rsid w:val="00944903"/>
    <w:rsid w:val="00944D97"/>
    <w:rsid w:val="009604E6"/>
    <w:rsid w:val="00964F0E"/>
    <w:rsid w:val="00967655"/>
    <w:rsid w:val="00975278"/>
    <w:rsid w:val="00975B24"/>
    <w:rsid w:val="00976BFE"/>
    <w:rsid w:val="00984947"/>
    <w:rsid w:val="00994CE1"/>
    <w:rsid w:val="00996838"/>
    <w:rsid w:val="009A25F8"/>
    <w:rsid w:val="009A5269"/>
    <w:rsid w:val="009A6033"/>
    <w:rsid w:val="009A7B80"/>
    <w:rsid w:val="009B0968"/>
    <w:rsid w:val="009B29A4"/>
    <w:rsid w:val="009B3BDD"/>
    <w:rsid w:val="009D202D"/>
    <w:rsid w:val="009E0843"/>
    <w:rsid w:val="009F16B9"/>
    <w:rsid w:val="009F3633"/>
    <w:rsid w:val="009F56A2"/>
    <w:rsid w:val="009F6212"/>
    <w:rsid w:val="00A00850"/>
    <w:rsid w:val="00A02452"/>
    <w:rsid w:val="00A03467"/>
    <w:rsid w:val="00A04F04"/>
    <w:rsid w:val="00A15601"/>
    <w:rsid w:val="00A16D60"/>
    <w:rsid w:val="00A2060C"/>
    <w:rsid w:val="00A42DEB"/>
    <w:rsid w:val="00A4483E"/>
    <w:rsid w:val="00A532B4"/>
    <w:rsid w:val="00A53663"/>
    <w:rsid w:val="00A54CA9"/>
    <w:rsid w:val="00A54CF8"/>
    <w:rsid w:val="00A61A27"/>
    <w:rsid w:val="00A628A7"/>
    <w:rsid w:val="00A76570"/>
    <w:rsid w:val="00A85779"/>
    <w:rsid w:val="00A8649B"/>
    <w:rsid w:val="00A91513"/>
    <w:rsid w:val="00AA01B6"/>
    <w:rsid w:val="00AB555F"/>
    <w:rsid w:val="00AD0D04"/>
    <w:rsid w:val="00AD18D6"/>
    <w:rsid w:val="00AD3DB7"/>
    <w:rsid w:val="00AD5021"/>
    <w:rsid w:val="00AD5E57"/>
    <w:rsid w:val="00AE5510"/>
    <w:rsid w:val="00AF3E00"/>
    <w:rsid w:val="00B02AD1"/>
    <w:rsid w:val="00B0683F"/>
    <w:rsid w:val="00B0713A"/>
    <w:rsid w:val="00B1188E"/>
    <w:rsid w:val="00B16EDA"/>
    <w:rsid w:val="00B2466B"/>
    <w:rsid w:val="00B253C8"/>
    <w:rsid w:val="00B26DA2"/>
    <w:rsid w:val="00B409C3"/>
    <w:rsid w:val="00B41BF5"/>
    <w:rsid w:val="00B45161"/>
    <w:rsid w:val="00B54830"/>
    <w:rsid w:val="00B564C5"/>
    <w:rsid w:val="00B576F4"/>
    <w:rsid w:val="00B60246"/>
    <w:rsid w:val="00B715DA"/>
    <w:rsid w:val="00B724FE"/>
    <w:rsid w:val="00B763D9"/>
    <w:rsid w:val="00B824A0"/>
    <w:rsid w:val="00B82AD2"/>
    <w:rsid w:val="00B95457"/>
    <w:rsid w:val="00B955EB"/>
    <w:rsid w:val="00BA02BB"/>
    <w:rsid w:val="00BB4B60"/>
    <w:rsid w:val="00BB7B9B"/>
    <w:rsid w:val="00BC4D64"/>
    <w:rsid w:val="00BC778B"/>
    <w:rsid w:val="00BD2B89"/>
    <w:rsid w:val="00BD5C51"/>
    <w:rsid w:val="00BE0C09"/>
    <w:rsid w:val="00BE23DB"/>
    <w:rsid w:val="00BE651D"/>
    <w:rsid w:val="00BE74F1"/>
    <w:rsid w:val="00C01996"/>
    <w:rsid w:val="00C07785"/>
    <w:rsid w:val="00C1644D"/>
    <w:rsid w:val="00C2648F"/>
    <w:rsid w:val="00C26D72"/>
    <w:rsid w:val="00C31E11"/>
    <w:rsid w:val="00C409F0"/>
    <w:rsid w:val="00C57BA3"/>
    <w:rsid w:val="00C761DB"/>
    <w:rsid w:val="00C772B4"/>
    <w:rsid w:val="00C8093A"/>
    <w:rsid w:val="00C82A2F"/>
    <w:rsid w:val="00C901D1"/>
    <w:rsid w:val="00C9169C"/>
    <w:rsid w:val="00C94A22"/>
    <w:rsid w:val="00C977F5"/>
    <w:rsid w:val="00CA61AA"/>
    <w:rsid w:val="00CB7906"/>
    <w:rsid w:val="00CD3075"/>
    <w:rsid w:val="00CE119F"/>
    <w:rsid w:val="00CE77B8"/>
    <w:rsid w:val="00CE799A"/>
    <w:rsid w:val="00CF2EC8"/>
    <w:rsid w:val="00D01860"/>
    <w:rsid w:val="00D0609D"/>
    <w:rsid w:val="00D1716F"/>
    <w:rsid w:val="00D20634"/>
    <w:rsid w:val="00D223AC"/>
    <w:rsid w:val="00D27018"/>
    <w:rsid w:val="00D27555"/>
    <w:rsid w:val="00D27836"/>
    <w:rsid w:val="00D32B18"/>
    <w:rsid w:val="00D35C7D"/>
    <w:rsid w:val="00D3709C"/>
    <w:rsid w:val="00D40DEE"/>
    <w:rsid w:val="00D4561C"/>
    <w:rsid w:val="00D4754E"/>
    <w:rsid w:val="00D50DC8"/>
    <w:rsid w:val="00D54729"/>
    <w:rsid w:val="00D56EF8"/>
    <w:rsid w:val="00D9207E"/>
    <w:rsid w:val="00D92ABA"/>
    <w:rsid w:val="00DC0C8F"/>
    <w:rsid w:val="00DC3056"/>
    <w:rsid w:val="00DD17DA"/>
    <w:rsid w:val="00DD1871"/>
    <w:rsid w:val="00DD5577"/>
    <w:rsid w:val="00DD565D"/>
    <w:rsid w:val="00DE2A48"/>
    <w:rsid w:val="00DE7D50"/>
    <w:rsid w:val="00E01719"/>
    <w:rsid w:val="00E34192"/>
    <w:rsid w:val="00E3636A"/>
    <w:rsid w:val="00E376CE"/>
    <w:rsid w:val="00E415F6"/>
    <w:rsid w:val="00E44CE1"/>
    <w:rsid w:val="00E46AB7"/>
    <w:rsid w:val="00E60A7E"/>
    <w:rsid w:val="00E66BEC"/>
    <w:rsid w:val="00E72641"/>
    <w:rsid w:val="00E816CA"/>
    <w:rsid w:val="00E870E7"/>
    <w:rsid w:val="00E92695"/>
    <w:rsid w:val="00E9379A"/>
    <w:rsid w:val="00EB6D51"/>
    <w:rsid w:val="00ED2336"/>
    <w:rsid w:val="00ED3487"/>
    <w:rsid w:val="00EE5FDD"/>
    <w:rsid w:val="00EE6110"/>
    <w:rsid w:val="00EE6F08"/>
    <w:rsid w:val="00EF5430"/>
    <w:rsid w:val="00EF796E"/>
    <w:rsid w:val="00F15512"/>
    <w:rsid w:val="00F20432"/>
    <w:rsid w:val="00F34D75"/>
    <w:rsid w:val="00F50413"/>
    <w:rsid w:val="00F52AAD"/>
    <w:rsid w:val="00F52D49"/>
    <w:rsid w:val="00F626E3"/>
    <w:rsid w:val="00F651C3"/>
    <w:rsid w:val="00F77628"/>
    <w:rsid w:val="00FA0968"/>
    <w:rsid w:val="00FA725F"/>
    <w:rsid w:val="00FB21EE"/>
    <w:rsid w:val="00FC537D"/>
    <w:rsid w:val="00FD30AA"/>
    <w:rsid w:val="00FD5EED"/>
    <w:rsid w:val="00FD633B"/>
    <w:rsid w:val="00FE1A83"/>
    <w:rsid w:val="00FE20EB"/>
    <w:rsid w:val="00FF5C01"/>
    <w:rsid w:val="00FF7132"/>
    <w:rsid w:val="4ED37CFF"/>
    <w:rsid w:val="57DA3E6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9A812"/>
  <w15:docId w15:val="{35E28039-7760-45E8-ADB5-98EE25DA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iPriority="0"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E7E3C"/>
    <w:pPr>
      <w:spacing w:after="120" w:line="240" w:lineRule="auto"/>
    </w:pPr>
    <w:rPr>
      <w:color w:val="404040" w:themeColor="text1" w:themeTint="BF"/>
    </w:rPr>
  </w:style>
  <w:style w:type="paragraph" w:styleId="Heading1">
    <w:name w:val="heading 1"/>
    <w:basedOn w:val="BodyText"/>
    <w:next w:val="BodyText"/>
    <w:link w:val="Heading1Char"/>
    <w:qFormat/>
    <w:rsid w:val="008E23D8"/>
    <w:pPr>
      <w:keepNext/>
      <w:numPr>
        <w:numId w:val="5"/>
      </w:numPr>
      <w:spacing w:before="240"/>
      <w:outlineLvl w:val="0"/>
    </w:pPr>
    <w:rPr>
      <w:rFonts w:ascii="Tahoma" w:hAnsi="Tahoma"/>
      <w:b/>
      <w:bCs/>
      <w:color w:val="1F3864" w:themeColor="accent1" w:themeShade="80"/>
      <w:sz w:val="32"/>
    </w:rPr>
  </w:style>
  <w:style w:type="paragraph" w:styleId="Heading2">
    <w:name w:val="heading 2"/>
    <w:basedOn w:val="BodyText"/>
    <w:next w:val="BodyText"/>
    <w:link w:val="Heading2Char"/>
    <w:qFormat/>
    <w:rsid w:val="008E23D8"/>
    <w:pPr>
      <w:keepNext/>
      <w:numPr>
        <w:ilvl w:val="1"/>
        <w:numId w:val="5"/>
      </w:numPr>
      <w:spacing w:before="240"/>
      <w:ind w:left="113"/>
      <w:outlineLvl w:val="1"/>
    </w:pPr>
    <w:rPr>
      <w:rFonts w:ascii="Tahoma" w:hAnsi="Tahoma"/>
      <w:b/>
      <w:bCs/>
      <w:iCs/>
      <w:color w:val="1F3864" w:themeColor="accent1" w:themeShade="80"/>
      <w:sz w:val="28"/>
    </w:rPr>
  </w:style>
  <w:style w:type="paragraph" w:styleId="Heading3">
    <w:name w:val="heading 3"/>
    <w:basedOn w:val="BodyText"/>
    <w:next w:val="BodyText"/>
    <w:link w:val="Heading3Char"/>
    <w:qFormat/>
    <w:rsid w:val="008E23D8"/>
    <w:pPr>
      <w:keepNext/>
      <w:numPr>
        <w:ilvl w:val="2"/>
        <w:numId w:val="5"/>
      </w:numPr>
      <w:spacing w:before="200"/>
      <w:ind w:left="227"/>
      <w:outlineLvl w:val="2"/>
    </w:pPr>
    <w:rPr>
      <w:rFonts w:ascii="Tahoma" w:hAnsi="Tahoma"/>
      <w:b/>
      <w:bCs/>
      <w:color w:val="038387"/>
      <w:sz w:val="24"/>
    </w:rPr>
  </w:style>
  <w:style w:type="paragraph" w:styleId="Heading4">
    <w:name w:val="heading 4"/>
    <w:basedOn w:val="BodyText"/>
    <w:next w:val="BodyText"/>
    <w:link w:val="Heading4Char"/>
    <w:qFormat/>
    <w:rsid w:val="008E23D8"/>
    <w:pPr>
      <w:keepNext/>
      <w:numPr>
        <w:ilvl w:val="3"/>
        <w:numId w:val="5"/>
      </w:numPr>
      <w:spacing w:before="120"/>
      <w:ind w:left="340"/>
      <w:outlineLvl w:val="3"/>
    </w:pPr>
    <w:rPr>
      <w:rFonts w:ascii="Tahoma" w:hAnsi="Tahoma"/>
      <w:b/>
      <w:color w:val="1F3864" w:themeColor="accent1" w:themeShade="80"/>
    </w:rPr>
  </w:style>
  <w:style w:type="paragraph" w:styleId="Heading5">
    <w:name w:val="heading 5"/>
    <w:basedOn w:val="BodyText"/>
    <w:next w:val="BodyText"/>
    <w:link w:val="Heading5Char"/>
    <w:qFormat/>
    <w:rsid w:val="008E23D8"/>
    <w:pPr>
      <w:keepNext/>
      <w:numPr>
        <w:ilvl w:val="4"/>
        <w:numId w:val="5"/>
      </w:numPr>
      <w:spacing w:before="120"/>
      <w:ind w:left="3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367"/>
    <w:pPr>
      <w:tabs>
        <w:tab w:val="center" w:pos="4513"/>
        <w:tab w:val="right" w:pos="9026"/>
      </w:tabs>
      <w:spacing w:after="0"/>
    </w:pPr>
  </w:style>
  <w:style w:type="character" w:customStyle="1" w:styleId="HeaderChar">
    <w:name w:val="Header Char"/>
    <w:basedOn w:val="DefaultParagraphFont"/>
    <w:link w:val="Header"/>
    <w:uiPriority w:val="99"/>
    <w:rsid w:val="006F3367"/>
  </w:style>
  <w:style w:type="paragraph" w:styleId="Footer">
    <w:name w:val="footer"/>
    <w:basedOn w:val="Normal"/>
    <w:link w:val="FooterChar"/>
    <w:uiPriority w:val="99"/>
    <w:unhideWhenUsed/>
    <w:rsid w:val="006F3367"/>
    <w:pPr>
      <w:tabs>
        <w:tab w:val="center" w:pos="4513"/>
        <w:tab w:val="right" w:pos="9026"/>
      </w:tabs>
      <w:spacing w:after="0"/>
    </w:pPr>
  </w:style>
  <w:style w:type="character" w:customStyle="1" w:styleId="FooterChar">
    <w:name w:val="Footer Char"/>
    <w:basedOn w:val="DefaultParagraphFont"/>
    <w:link w:val="Footer"/>
    <w:uiPriority w:val="99"/>
    <w:rsid w:val="006F3367"/>
  </w:style>
  <w:style w:type="paragraph" w:styleId="BalloonText">
    <w:name w:val="Balloon Text"/>
    <w:basedOn w:val="Normal"/>
    <w:link w:val="BalloonTextChar"/>
    <w:uiPriority w:val="99"/>
    <w:semiHidden/>
    <w:unhideWhenUsed/>
    <w:rsid w:val="006F336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367"/>
    <w:rPr>
      <w:rFonts w:ascii="Segoe UI" w:hAnsi="Segoe UI" w:cs="Segoe UI"/>
      <w:sz w:val="18"/>
      <w:szCs w:val="18"/>
    </w:rPr>
  </w:style>
  <w:style w:type="table" w:styleId="TableGrid">
    <w:name w:val="Table Grid"/>
    <w:basedOn w:val="TableNormal"/>
    <w:uiPriority w:val="59"/>
    <w:rsid w:val="006F33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uiPriority w:val="2"/>
    <w:unhideWhenUsed/>
    <w:rsid w:val="006F3367"/>
    <w:pPr>
      <w:spacing w:before="360" w:after="360" w:line="312" w:lineRule="auto"/>
    </w:pPr>
    <w:rPr>
      <w:rFonts w:eastAsiaTheme="minorEastAsia"/>
      <w:iCs/>
      <w:color w:val="50637D" w:themeColor="text2" w:themeTint="E6"/>
      <w:sz w:val="28"/>
      <w:lang w:val="en-US" w:eastAsia="ja-JP"/>
    </w:rPr>
  </w:style>
  <w:style w:type="table" w:customStyle="1" w:styleId="PlainTable41">
    <w:name w:val="Plain Table 41"/>
    <w:basedOn w:val="TableNormal"/>
    <w:uiPriority w:val="44"/>
    <w:rsid w:val="006F3367"/>
    <w:pPr>
      <w:spacing w:after="0" w:line="240" w:lineRule="auto"/>
    </w:pPr>
    <w:rPr>
      <w:color w:val="44546A" w:themeColor="text2"/>
      <w:lang w:val="en-US"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ModernPaper">
    <w:name w:val="Modern Paper"/>
    <w:basedOn w:val="TableNormal"/>
    <w:uiPriority w:val="99"/>
    <w:rsid w:val="00773E40"/>
    <w:pPr>
      <w:spacing w:before="200" w:after="200" w:line="240" w:lineRule="auto"/>
    </w:pPr>
    <w:rPr>
      <w:color w:val="44546A"/>
      <w:lang w:val="en-US" w:eastAsia="ja-JP"/>
    </w:rPr>
    <w:tblPr>
      <w:tblBorders>
        <w:insideH w:val="single" w:sz="8" w:space="0" w:color="44546A"/>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ahoma" w:hAnsi="Tahoma"/>
        <w:b/>
        <w:i w:val="0"/>
        <w:color w:val="01182F"/>
        <w:sz w:val="28"/>
      </w:rPr>
      <w:tblPr/>
      <w:trPr>
        <w:tblHeader/>
      </w:trPr>
      <w:tcPr>
        <w:tcBorders>
          <w:top w:val="nil"/>
          <w:left w:val="nil"/>
          <w:bottom w:val="single" w:sz="24" w:space="0" w:color="44546A"/>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paragraph" w:styleId="ListParagraph">
    <w:name w:val="List Paragraph"/>
    <w:aliases w:val="Rec para,List Paragraph1,List Paragraph11"/>
    <w:basedOn w:val="Normal"/>
    <w:uiPriority w:val="34"/>
    <w:qFormat/>
    <w:rsid w:val="006F07F1"/>
    <w:pPr>
      <w:ind w:left="720"/>
      <w:contextualSpacing/>
    </w:pPr>
  </w:style>
  <w:style w:type="paragraph" w:styleId="BodyText">
    <w:name w:val="Body Text"/>
    <w:basedOn w:val="Normal"/>
    <w:link w:val="BodyTextChar"/>
    <w:qFormat/>
    <w:rsid w:val="008E23D8"/>
    <w:pPr>
      <w:spacing w:line="288" w:lineRule="auto"/>
    </w:pPr>
    <w:rPr>
      <w:rFonts w:ascii="Calibri" w:eastAsia="Times New Roman" w:hAnsi="Calibri" w:cs="Arial"/>
      <w:szCs w:val="20"/>
      <w:lang w:val="en-US" w:eastAsia="en-GB"/>
    </w:rPr>
  </w:style>
  <w:style w:type="character" w:customStyle="1" w:styleId="BodyTextChar">
    <w:name w:val="Body Text Char"/>
    <w:basedOn w:val="DefaultParagraphFont"/>
    <w:link w:val="BodyText"/>
    <w:rsid w:val="008E23D8"/>
    <w:rPr>
      <w:rFonts w:ascii="Calibri" w:eastAsia="Times New Roman" w:hAnsi="Calibri" w:cs="Arial"/>
      <w:color w:val="404040" w:themeColor="text1" w:themeTint="BF"/>
      <w:szCs w:val="20"/>
      <w:lang w:val="en-US" w:eastAsia="en-GB"/>
    </w:rPr>
  </w:style>
  <w:style w:type="paragraph" w:styleId="FootnoteText">
    <w:name w:val="footnote text"/>
    <w:basedOn w:val="Normal"/>
    <w:link w:val="FootnoteTextChar"/>
    <w:uiPriority w:val="99"/>
    <w:unhideWhenUsed/>
    <w:rsid w:val="006F07F1"/>
    <w:pPr>
      <w:spacing w:after="0" w:line="200" w:lineRule="exact"/>
    </w:pPr>
    <w:rPr>
      <w:rFonts w:ascii="Arial" w:eastAsia="Times New Roman" w:hAnsi="Arial" w:cs="Arial"/>
      <w:sz w:val="17"/>
      <w:szCs w:val="17"/>
      <w:lang w:eastAsia="en-GB"/>
    </w:rPr>
  </w:style>
  <w:style w:type="character" w:customStyle="1" w:styleId="FootnoteTextChar">
    <w:name w:val="Footnote Text Char"/>
    <w:basedOn w:val="DefaultParagraphFont"/>
    <w:link w:val="FootnoteText"/>
    <w:uiPriority w:val="99"/>
    <w:rsid w:val="006F07F1"/>
    <w:rPr>
      <w:rFonts w:ascii="Arial" w:eastAsia="Times New Roman" w:hAnsi="Arial" w:cs="Arial"/>
      <w:sz w:val="17"/>
      <w:szCs w:val="17"/>
      <w:lang w:eastAsia="en-GB"/>
    </w:rPr>
  </w:style>
  <w:style w:type="character" w:styleId="FootnoteReference">
    <w:name w:val="footnote reference"/>
    <w:basedOn w:val="DefaultParagraphFont"/>
    <w:uiPriority w:val="99"/>
    <w:semiHidden/>
    <w:unhideWhenUsed/>
    <w:rsid w:val="006F07F1"/>
    <w:rPr>
      <w:rFonts w:ascii="Arial" w:hAnsi="Arial"/>
      <w:vertAlign w:val="superscript"/>
    </w:rPr>
  </w:style>
  <w:style w:type="character" w:styleId="Hyperlink">
    <w:name w:val="Hyperlink"/>
    <w:qFormat/>
    <w:rsid w:val="00B54830"/>
    <w:rPr>
      <w:color w:val="038387"/>
      <w:u w:val="single"/>
    </w:rPr>
  </w:style>
  <w:style w:type="paragraph" w:styleId="NormalWeb">
    <w:name w:val="Normal (Web)"/>
    <w:basedOn w:val="Normal"/>
    <w:uiPriority w:val="99"/>
    <w:unhideWhenUsed/>
    <w:rsid w:val="006F07F1"/>
    <w:pPr>
      <w:spacing w:before="100" w:beforeAutospacing="1" w:after="100" w:afterAutospacing="1"/>
    </w:pPr>
    <w:rPr>
      <w:rFonts w:ascii="Times New Roman" w:eastAsia="Times New Roman" w:hAnsi="Times New Roman" w:cs="Times New Roman"/>
      <w:sz w:val="24"/>
      <w:szCs w:val="24"/>
      <w:lang w:eastAsia="en-NZ"/>
    </w:rPr>
  </w:style>
  <w:style w:type="character" w:customStyle="1" w:styleId="Heading1Char">
    <w:name w:val="Heading 1 Char"/>
    <w:basedOn w:val="DefaultParagraphFont"/>
    <w:link w:val="Heading1"/>
    <w:rsid w:val="008E23D8"/>
    <w:rPr>
      <w:rFonts w:ascii="Tahoma" w:eastAsia="Times New Roman" w:hAnsi="Tahoma" w:cs="Arial"/>
      <w:b/>
      <w:bCs/>
      <w:color w:val="1F3864" w:themeColor="accent1" w:themeShade="80"/>
      <w:sz w:val="32"/>
      <w:szCs w:val="20"/>
      <w:lang w:val="en-US" w:eastAsia="en-GB"/>
    </w:rPr>
  </w:style>
  <w:style w:type="character" w:customStyle="1" w:styleId="Heading2Char">
    <w:name w:val="Heading 2 Char"/>
    <w:basedOn w:val="DefaultParagraphFont"/>
    <w:link w:val="Heading2"/>
    <w:rsid w:val="008E23D8"/>
    <w:rPr>
      <w:rFonts w:ascii="Tahoma" w:eastAsia="Times New Roman" w:hAnsi="Tahoma" w:cs="Arial"/>
      <w:b/>
      <w:bCs/>
      <w:iCs/>
      <w:color w:val="1F3864" w:themeColor="accent1" w:themeShade="80"/>
      <w:sz w:val="28"/>
      <w:szCs w:val="20"/>
      <w:lang w:val="en-US" w:eastAsia="en-GB"/>
    </w:rPr>
  </w:style>
  <w:style w:type="character" w:customStyle="1" w:styleId="Heading3Char">
    <w:name w:val="Heading 3 Char"/>
    <w:basedOn w:val="DefaultParagraphFont"/>
    <w:link w:val="Heading3"/>
    <w:rsid w:val="008E23D8"/>
    <w:rPr>
      <w:rFonts w:ascii="Tahoma" w:eastAsia="Times New Roman" w:hAnsi="Tahoma" w:cs="Arial"/>
      <w:b/>
      <w:bCs/>
      <w:color w:val="038387"/>
      <w:sz w:val="24"/>
      <w:szCs w:val="20"/>
      <w:lang w:val="en-US" w:eastAsia="en-GB"/>
    </w:rPr>
  </w:style>
  <w:style w:type="character" w:customStyle="1" w:styleId="Heading4Char">
    <w:name w:val="Heading 4 Char"/>
    <w:basedOn w:val="DefaultParagraphFont"/>
    <w:link w:val="Heading4"/>
    <w:rsid w:val="008E23D8"/>
    <w:rPr>
      <w:rFonts w:ascii="Tahoma" w:eastAsia="Times New Roman" w:hAnsi="Tahoma" w:cs="Arial"/>
      <w:b/>
      <w:color w:val="1F3864" w:themeColor="accent1" w:themeShade="80"/>
      <w:szCs w:val="20"/>
      <w:lang w:val="en-US" w:eastAsia="en-GB"/>
    </w:rPr>
  </w:style>
  <w:style w:type="character" w:customStyle="1" w:styleId="Heading5Char">
    <w:name w:val="Heading 5 Char"/>
    <w:basedOn w:val="DefaultParagraphFont"/>
    <w:link w:val="Heading5"/>
    <w:rsid w:val="008E23D8"/>
    <w:rPr>
      <w:rFonts w:ascii="Calibri" w:eastAsia="Times New Roman" w:hAnsi="Calibri" w:cs="Arial"/>
      <w:b/>
      <w:color w:val="404040" w:themeColor="text1" w:themeTint="BF"/>
      <w:szCs w:val="20"/>
      <w:lang w:val="en-US" w:eastAsia="en-GB"/>
    </w:rPr>
  </w:style>
  <w:style w:type="numbering" w:customStyle="1" w:styleId="MSIHeadingsList">
    <w:name w:val="MSI Headings List"/>
    <w:basedOn w:val="NoList"/>
    <w:uiPriority w:val="99"/>
    <w:rsid w:val="00B82AD2"/>
    <w:pPr>
      <w:numPr>
        <w:numId w:val="5"/>
      </w:numPr>
    </w:pPr>
  </w:style>
  <w:style w:type="numbering" w:customStyle="1" w:styleId="MSIHeadingsList1">
    <w:name w:val="MSI Headings List1"/>
    <w:basedOn w:val="NoList"/>
    <w:uiPriority w:val="99"/>
    <w:rsid w:val="005B1BE5"/>
  </w:style>
  <w:style w:type="character" w:styleId="PlaceholderText">
    <w:name w:val="Placeholder Text"/>
    <w:basedOn w:val="DefaultParagraphFont"/>
    <w:uiPriority w:val="99"/>
    <w:semiHidden/>
    <w:rsid w:val="00BE74F1"/>
    <w:rPr>
      <w:color w:val="808080"/>
    </w:rPr>
  </w:style>
  <w:style w:type="table" w:customStyle="1" w:styleId="TableGrid1">
    <w:name w:val="Table Grid1"/>
    <w:basedOn w:val="TableNormal"/>
    <w:next w:val="TableGrid"/>
    <w:rsid w:val="00314904"/>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4D15"/>
    <w:rPr>
      <w:sz w:val="16"/>
      <w:szCs w:val="16"/>
    </w:rPr>
  </w:style>
  <w:style w:type="paragraph" w:styleId="CommentText">
    <w:name w:val="annotation text"/>
    <w:basedOn w:val="Normal"/>
    <w:link w:val="CommentTextChar"/>
    <w:uiPriority w:val="99"/>
    <w:semiHidden/>
    <w:unhideWhenUsed/>
    <w:rsid w:val="00674D15"/>
    <w:rPr>
      <w:sz w:val="20"/>
      <w:szCs w:val="20"/>
    </w:rPr>
  </w:style>
  <w:style w:type="character" w:customStyle="1" w:styleId="CommentTextChar">
    <w:name w:val="Comment Text Char"/>
    <w:basedOn w:val="DefaultParagraphFont"/>
    <w:link w:val="CommentText"/>
    <w:uiPriority w:val="99"/>
    <w:semiHidden/>
    <w:rsid w:val="00674D15"/>
    <w:rPr>
      <w:sz w:val="20"/>
      <w:szCs w:val="20"/>
    </w:rPr>
  </w:style>
  <w:style w:type="paragraph" w:styleId="CommentSubject">
    <w:name w:val="annotation subject"/>
    <w:basedOn w:val="CommentText"/>
    <w:next w:val="CommentText"/>
    <w:link w:val="CommentSubjectChar"/>
    <w:uiPriority w:val="99"/>
    <w:semiHidden/>
    <w:unhideWhenUsed/>
    <w:rsid w:val="00674D15"/>
    <w:rPr>
      <w:b/>
      <w:bCs/>
    </w:rPr>
  </w:style>
  <w:style w:type="character" w:customStyle="1" w:styleId="CommentSubjectChar">
    <w:name w:val="Comment Subject Char"/>
    <w:basedOn w:val="CommentTextChar"/>
    <w:link w:val="CommentSubject"/>
    <w:uiPriority w:val="99"/>
    <w:semiHidden/>
    <w:rsid w:val="00674D15"/>
    <w:rPr>
      <w:b/>
      <w:bCs/>
      <w:sz w:val="20"/>
      <w:szCs w:val="20"/>
    </w:rPr>
  </w:style>
  <w:style w:type="paragraph" w:customStyle="1" w:styleId="STAStyle">
    <w:name w:val="STA Style"/>
    <w:basedOn w:val="Heading1"/>
    <w:link w:val="STAStyleChar"/>
    <w:semiHidden/>
    <w:rsid w:val="00495B8A"/>
    <w:pPr>
      <w:spacing w:before="0"/>
    </w:pPr>
    <w:rPr>
      <w:rFonts w:eastAsiaTheme="minorHAnsi" w:cstheme="minorHAnsi"/>
      <w:sz w:val="26"/>
      <w:szCs w:val="22"/>
      <w:lang w:eastAsia="en-US"/>
    </w:rPr>
  </w:style>
  <w:style w:type="character" w:customStyle="1" w:styleId="STAStyleChar">
    <w:name w:val="STA Style Char"/>
    <w:basedOn w:val="BodyTextChar"/>
    <w:link w:val="STAStyle"/>
    <w:semiHidden/>
    <w:rsid w:val="0082389B"/>
    <w:rPr>
      <w:rFonts w:ascii="Tahoma" w:eastAsia="Times New Roman" w:hAnsi="Tahoma" w:cstheme="minorHAnsi"/>
      <w:b/>
      <w:bCs/>
      <w:color w:val="1F3864" w:themeColor="accent1" w:themeShade="80"/>
      <w:sz w:val="26"/>
      <w:szCs w:val="20"/>
      <w:lang w:val="en-US" w:eastAsia="en-GB"/>
    </w:rPr>
  </w:style>
  <w:style w:type="paragraph" w:styleId="NoSpacing">
    <w:name w:val="No Spacing"/>
    <w:autoRedefine/>
    <w:uiPriority w:val="1"/>
    <w:rsid w:val="007F591F"/>
    <w:pPr>
      <w:spacing w:after="0" w:line="240" w:lineRule="auto"/>
    </w:pPr>
    <w:rPr>
      <w:color w:val="404040" w:themeColor="text1" w:themeTint="BF"/>
    </w:rPr>
  </w:style>
  <w:style w:type="paragraph" w:styleId="Title">
    <w:name w:val="Title"/>
    <w:aliases w:val="Doc Title"/>
    <w:basedOn w:val="Normal"/>
    <w:next w:val="Normal"/>
    <w:link w:val="TitleChar"/>
    <w:uiPriority w:val="10"/>
    <w:rsid w:val="008E23D8"/>
    <w:pPr>
      <w:spacing w:after="240"/>
      <w:contextualSpacing/>
      <w:jc w:val="center"/>
    </w:pPr>
    <w:rPr>
      <w:rFonts w:ascii="Tahoma" w:eastAsiaTheme="majorEastAsia" w:hAnsi="Tahoma" w:cstheme="majorBidi"/>
      <w:b/>
      <w:color w:val="1F3864" w:themeColor="accent1" w:themeShade="80"/>
      <w:spacing w:val="-10"/>
      <w:kern w:val="28"/>
      <w:sz w:val="40"/>
      <w:szCs w:val="56"/>
      <w:lang w:val="en-US" w:eastAsia="ja-JP"/>
    </w:rPr>
  </w:style>
  <w:style w:type="character" w:customStyle="1" w:styleId="TitleChar">
    <w:name w:val="Title Char"/>
    <w:aliases w:val="Doc Title Char"/>
    <w:basedOn w:val="DefaultParagraphFont"/>
    <w:link w:val="Title"/>
    <w:uiPriority w:val="10"/>
    <w:rsid w:val="008E23D8"/>
    <w:rPr>
      <w:rFonts w:ascii="Tahoma" w:eastAsiaTheme="majorEastAsia" w:hAnsi="Tahoma" w:cstheme="majorBidi"/>
      <w:b/>
      <w:color w:val="1F3864" w:themeColor="accent1" w:themeShade="80"/>
      <w:spacing w:val="-10"/>
      <w:kern w:val="28"/>
      <w:sz w:val="40"/>
      <w:szCs w:val="56"/>
      <w:lang w:val="en-US" w:eastAsia="ja-JP"/>
    </w:rPr>
  </w:style>
  <w:style w:type="paragraph" w:styleId="Subtitle">
    <w:name w:val="Subtitle"/>
    <w:basedOn w:val="Normal"/>
    <w:next w:val="Normal"/>
    <w:link w:val="SubtitleChar"/>
    <w:autoRedefine/>
    <w:uiPriority w:val="11"/>
    <w:rsid w:val="007F591F"/>
    <w:pPr>
      <w:numPr>
        <w:ilvl w:val="1"/>
      </w:numPr>
      <w:spacing w:after="160"/>
    </w:pPr>
    <w:rPr>
      <w:rFonts w:ascii="Tahoma" w:eastAsiaTheme="minorEastAsia" w:hAnsi="Tahoma"/>
      <w:color w:val="5A5A5A" w:themeColor="text1" w:themeTint="A5"/>
      <w:spacing w:val="15"/>
    </w:rPr>
  </w:style>
  <w:style w:type="character" w:customStyle="1" w:styleId="SubtitleChar">
    <w:name w:val="Subtitle Char"/>
    <w:basedOn w:val="DefaultParagraphFont"/>
    <w:link w:val="Subtitle"/>
    <w:uiPriority w:val="11"/>
    <w:rsid w:val="007F591F"/>
    <w:rPr>
      <w:rFonts w:ascii="Tahoma" w:eastAsiaTheme="minorEastAsia" w:hAnsi="Tahoma"/>
      <w:color w:val="5A5A5A" w:themeColor="text1" w:themeTint="A5"/>
      <w:spacing w:val="15"/>
    </w:rPr>
  </w:style>
  <w:style w:type="character" w:styleId="SubtleEmphasis">
    <w:name w:val="Subtle Emphasis"/>
    <w:basedOn w:val="DefaultParagraphFont"/>
    <w:uiPriority w:val="19"/>
    <w:rsid w:val="00B54830"/>
    <w:rPr>
      <w:i/>
      <w:iCs/>
      <w:color w:val="404040" w:themeColor="text1" w:themeTint="BF"/>
    </w:rPr>
  </w:style>
  <w:style w:type="character" w:styleId="Strong">
    <w:name w:val="Strong"/>
    <w:basedOn w:val="DefaultParagraphFont"/>
    <w:uiPriority w:val="22"/>
    <w:rsid w:val="00B54830"/>
    <w:rPr>
      <w:b/>
      <w:bCs/>
    </w:rPr>
  </w:style>
  <w:style w:type="paragraph" w:styleId="Quote">
    <w:name w:val="Quote"/>
    <w:basedOn w:val="Normal"/>
    <w:next w:val="Normal"/>
    <w:link w:val="QuoteChar"/>
    <w:autoRedefine/>
    <w:uiPriority w:val="29"/>
    <w:rsid w:val="00B54830"/>
    <w:pPr>
      <w:spacing w:before="200" w:after="160"/>
      <w:ind w:left="864" w:right="864"/>
      <w:jc w:val="center"/>
    </w:pPr>
    <w:rPr>
      <w:i/>
      <w:iCs/>
    </w:rPr>
  </w:style>
  <w:style w:type="character" w:customStyle="1" w:styleId="QuoteChar">
    <w:name w:val="Quote Char"/>
    <w:basedOn w:val="DefaultParagraphFont"/>
    <w:link w:val="Quote"/>
    <w:uiPriority w:val="29"/>
    <w:rsid w:val="00B54830"/>
    <w:rPr>
      <w:i/>
      <w:iCs/>
      <w:color w:val="404040" w:themeColor="text1" w:themeTint="BF"/>
    </w:rPr>
  </w:style>
  <w:style w:type="character" w:styleId="SubtleReference">
    <w:name w:val="Subtle Reference"/>
    <w:basedOn w:val="DefaultParagraphFont"/>
    <w:uiPriority w:val="31"/>
    <w:rsid w:val="00B54830"/>
    <w:rPr>
      <w:smallCaps/>
      <w:color w:val="5A5A5A" w:themeColor="text1" w:themeTint="A5"/>
    </w:rPr>
  </w:style>
  <w:style w:type="character" w:styleId="BookTitle">
    <w:name w:val="Book Title"/>
    <w:basedOn w:val="DefaultParagraphFont"/>
    <w:uiPriority w:val="33"/>
    <w:rsid w:val="00B54830"/>
    <w:rPr>
      <w:b/>
      <w:bCs/>
      <w:i/>
      <w:iCs/>
      <w:spacing w:val="5"/>
    </w:rPr>
  </w:style>
  <w:style w:type="character" w:styleId="IntenseReference">
    <w:name w:val="Intense Reference"/>
    <w:basedOn w:val="DefaultParagraphFont"/>
    <w:uiPriority w:val="32"/>
    <w:rsid w:val="00B54830"/>
    <w:rPr>
      <w:b/>
      <w:bCs/>
      <w:smallCaps/>
      <w:color w:val="038387"/>
      <w:spacing w:val="5"/>
    </w:rPr>
  </w:style>
  <w:style w:type="paragraph" w:customStyle="1" w:styleId="BodyNewInfo">
    <w:name w:val="Body New Info"/>
    <w:basedOn w:val="BodyText"/>
    <w:link w:val="BodyNewInfoChar"/>
    <w:autoRedefine/>
    <w:rsid w:val="00B54830"/>
    <w:rPr>
      <w:color w:val="C00000"/>
    </w:rPr>
  </w:style>
  <w:style w:type="character" w:customStyle="1" w:styleId="UnresolvedMention1">
    <w:name w:val="Unresolved Mention1"/>
    <w:basedOn w:val="DefaultParagraphFont"/>
    <w:uiPriority w:val="99"/>
    <w:semiHidden/>
    <w:unhideWhenUsed/>
    <w:rsid w:val="00B54830"/>
    <w:rPr>
      <w:color w:val="605E5C"/>
      <w:shd w:val="clear" w:color="auto" w:fill="E1DFDD"/>
    </w:rPr>
  </w:style>
  <w:style w:type="character" w:customStyle="1" w:styleId="BodyNewInfoChar">
    <w:name w:val="Body New Info Char"/>
    <w:basedOn w:val="BodyTextChar"/>
    <w:link w:val="BodyNewInfo"/>
    <w:rsid w:val="005E7E3C"/>
    <w:rPr>
      <w:rFonts w:ascii="Calibri" w:eastAsia="Times New Roman" w:hAnsi="Calibri" w:cs="Arial"/>
      <w:color w:val="C00000"/>
      <w:szCs w:val="20"/>
      <w:lang w:val="en-US" w:eastAsia="en-GB"/>
    </w:rPr>
  </w:style>
  <w:style w:type="paragraph" w:customStyle="1" w:styleId="SubTitle0">
    <w:name w:val="Sub Title"/>
    <w:basedOn w:val="Title"/>
    <w:link w:val="SubTitleChar0"/>
    <w:autoRedefine/>
    <w:uiPriority w:val="1"/>
    <w:rsid w:val="00FC537D"/>
    <w:pPr>
      <w:jc w:val="left"/>
    </w:pPr>
    <w:rPr>
      <w:color w:val="038387"/>
    </w:rPr>
  </w:style>
  <w:style w:type="paragraph" w:customStyle="1" w:styleId="SummaryPoints">
    <w:name w:val="Summary Points"/>
    <w:basedOn w:val="Heading1"/>
    <w:link w:val="SummaryPointsChar"/>
    <w:autoRedefine/>
    <w:rsid w:val="005E7E3C"/>
    <w:pPr>
      <w:numPr>
        <w:numId w:val="0"/>
      </w:numPr>
      <w:spacing w:before="120"/>
      <w:ind w:right="397"/>
    </w:pPr>
    <w:rPr>
      <w:lang w:val="en-NZ"/>
    </w:rPr>
  </w:style>
  <w:style w:type="character" w:customStyle="1" w:styleId="SubTitleChar0">
    <w:name w:val="Sub Title Char"/>
    <w:basedOn w:val="TitleChar"/>
    <w:link w:val="SubTitle0"/>
    <w:uiPriority w:val="1"/>
    <w:rsid w:val="005E7E3C"/>
    <w:rPr>
      <w:rFonts w:ascii="Tahoma" w:eastAsiaTheme="majorEastAsia" w:hAnsi="Tahoma" w:cstheme="majorBidi"/>
      <w:b/>
      <w:color w:val="038387"/>
      <w:spacing w:val="-10"/>
      <w:kern w:val="28"/>
      <w:sz w:val="40"/>
      <w:szCs w:val="56"/>
      <w:lang w:val="en-US" w:eastAsia="ja-JP"/>
    </w:rPr>
  </w:style>
  <w:style w:type="character" w:customStyle="1" w:styleId="SummaryPointsChar">
    <w:name w:val="Summary Points Char"/>
    <w:basedOn w:val="Heading1Char"/>
    <w:link w:val="SummaryPoints"/>
    <w:rsid w:val="005E7E3C"/>
    <w:rPr>
      <w:rFonts w:ascii="Tahoma" w:eastAsia="Times New Roman" w:hAnsi="Tahoma" w:cs="Arial"/>
      <w:b/>
      <w:bCs/>
      <w:color w:val="1F3864" w:themeColor="accent1" w:themeShade="80"/>
      <w:sz w:val="32"/>
      <w:szCs w:val="20"/>
      <w:lang w:val="en-US" w:eastAsia="en-GB"/>
    </w:rPr>
  </w:style>
  <w:style w:type="paragraph" w:customStyle="1" w:styleId="Default">
    <w:name w:val="Default"/>
    <w:rsid w:val="00071734"/>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53C8"/>
    <w:rPr>
      <w:color w:val="954F72" w:themeColor="followedHyperlink"/>
      <w:u w:val="single"/>
    </w:rPr>
  </w:style>
  <w:style w:type="character" w:customStyle="1" w:styleId="normaltextrun">
    <w:name w:val="normaltextrun"/>
    <w:basedOn w:val="DefaultParagraphFont"/>
    <w:rsid w:val="002A39A6"/>
  </w:style>
  <w:style w:type="character" w:customStyle="1" w:styleId="UnresolvedMention2">
    <w:name w:val="Unresolved Mention2"/>
    <w:basedOn w:val="DefaultParagraphFont"/>
    <w:uiPriority w:val="99"/>
    <w:semiHidden/>
    <w:unhideWhenUsed/>
    <w:rsid w:val="00C31E11"/>
    <w:rPr>
      <w:color w:val="605E5C"/>
      <w:shd w:val="clear" w:color="auto" w:fill="E1DFDD"/>
    </w:rPr>
  </w:style>
  <w:style w:type="paragraph" w:styleId="Revision">
    <w:name w:val="Revision"/>
    <w:hidden/>
    <w:uiPriority w:val="99"/>
    <w:semiHidden/>
    <w:rsid w:val="004806E7"/>
    <w:pPr>
      <w:spacing w:after="0" w:line="240" w:lineRule="auto"/>
    </w:pPr>
    <w:rPr>
      <w:color w:val="404040" w:themeColor="text1" w:themeTint="BF"/>
    </w:rPr>
  </w:style>
  <w:style w:type="character" w:styleId="UnresolvedMention">
    <w:name w:val="Unresolved Mention"/>
    <w:basedOn w:val="DefaultParagraphFont"/>
    <w:uiPriority w:val="99"/>
    <w:semiHidden/>
    <w:unhideWhenUsed/>
    <w:rsid w:val="007F3A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253532">
      <w:bodyDiv w:val="1"/>
      <w:marLeft w:val="0"/>
      <w:marRight w:val="0"/>
      <w:marTop w:val="0"/>
      <w:marBottom w:val="0"/>
      <w:divBdr>
        <w:top w:val="none" w:sz="0" w:space="0" w:color="auto"/>
        <w:left w:val="none" w:sz="0" w:space="0" w:color="auto"/>
        <w:bottom w:val="none" w:sz="0" w:space="0" w:color="auto"/>
        <w:right w:val="none" w:sz="0" w:space="0" w:color="auto"/>
      </w:divBdr>
    </w:div>
    <w:div w:id="635452085">
      <w:bodyDiv w:val="1"/>
      <w:marLeft w:val="0"/>
      <w:marRight w:val="0"/>
      <w:marTop w:val="0"/>
      <w:marBottom w:val="0"/>
      <w:divBdr>
        <w:top w:val="none" w:sz="0" w:space="0" w:color="auto"/>
        <w:left w:val="none" w:sz="0" w:space="0" w:color="auto"/>
        <w:bottom w:val="none" w:sz="0" w:space="0" w:color="auto"/>
        <w:right w:val="none" w:sz="0" w:space="0" w:color="auto"/>
      </w:divBdr>
    </w:div>
    <w:div w:id="799615695">
      <w:bodyDiv w:val="1"/>
      <w:marLeft w:val="0"/>
      <w:marRight w:val="0"/>
      <w:marTop w:val="0"/>
      <w:marBottom w:val="0"/>
      <w:divBdr>
        <w:top w:val="none" w:sz="0" w:space="0" w:color="auto"/>
        <w:left w:val="none" w:sz="0" w:space="0" w:color="auto"/>
        <w:bottom w:val="none" w:sz="0" w:space="0" w:color="auto"/>
        <w:right w:val="none" w:sz="0" w:space="0" w:color="auto"/>
      </w:divBdr>
    </w:div>
    <w:div w:id="1096368490">
      <w:bodyDiv w:val="1"/>
      <w:marLeft w:val="0"/>
      <w:marRight w:val="0"/>
      <w:marTop w:val="0"/>
      <w:marBottom w:val="0"/>
      <w:divBdr>
        <w:top w:val="none" w:sz="0" w:space="0" w:color="auto"/>
        <w:left w:val="none" w:sz="0" w:space="0" w:color="auto"/>
        <w:bottom w:val="none" w:sz="0" w:space="0" w:color="auto"/>
        <w:right w:val="none" w:sz="0" w:space="0" w:color="auto"/>
      </w:divBdr>
    </w:div>
    <w:div w:id="1176774738">
      <w:bodyDiv w:val="1"/>
      <w:marLeft w:val="0"/>
      <w:marRight w:val="0"/>
      <w:marTop w:val="0"/>
      <w:marBottom w:val="0"/>
      <w:divBdr>
        <w:top w:val="none" w:sz="0" w:space="0" w:color="auto"/>
        <w:left w:val="none" w:sz="0" w:space="0" w:color="auto"/>
        <w:bottom w:val="none" w:sz="0" w:space="0" w:color="auto"/>
        <w:right w:val="none" w:sz="0" w:space="0" w:color="auto"/>
      </w:divBdr>
    </w:div>
    <w:div w:id="1322536561">
      <w:bodyDiv w:val="1"/>
      <w:marLeft w:val="0"/>
      <w:marRight w:val="0"/>
      <w:marTop w:val="0"/>
      <w:marBottom w:val="0"/>
      <w:divBdr>
        <w:top w:val="none" w:sz="0" w:space="0" w:color="auto"/>
        <w:left w:val="none" w:sz="0" w:space="0" w:color="auto"/>
        <w:bottom w:val="none" w:sz="0" w:space="0" w:color="auto"/>
        <w:right w:val="none" w:sz="0" w:space="0" w:color="auto"/>
      </w:divBdr>
    </w:div>
    <w:div w:id="1784811660">
      <w:bodyDiv w:val="1"/>
      <w:marLeft w:val="0"/>
      <w:marRight w:val="0"/>
      <w:marTop w:val="0"/>
      <w:marBottom w:val="0"/>
      <w:divBdr>
        <w:top w:val="none" w:sz="0" w:space="0" w:color="auto"/>
        <w:left w:val="none" w:sz="0" w:space="0" w:color="auto"/>
        <w:bottom w:val="none" w:sz="0" w:space="0" w:color="auto"/>
        <w:right w:val="none" w:sz="0" w:space="0" w:color="auto"/>
      </w:divBdr>
    </w:div>
    <w:div w:id="1974408961">
      <w:bodyDiv w:val="1"/>
      <w:marLeft w:val="0"/>
      <w:marRight w:val="0"/>
      <w:marTop w:val="0"/>
      <w:marBottom w:val="0"/>
      <w:divBdr>
        <w:top w:val="none" w:sz="0" w:space="0" w:color="auto"/>
        <w:left w:val="none" w:sz="0" w:space="0" w:color="auto"/>
        <w:bottom w:val="none" w:sz="0" w:space="0" w:color="auto"/>
        <w:right w:val="none" w:sz="0" w:space="0" w:color="auto"/>
      </w:divBdr>
    </w:div>
    <w:div w:id="1994674095">
      <w:bodyDiv w:val="1"/>
      <w:marLeft w:val="0"/>
      <w:marRight w:val="0"/>
      <w:marTop w:val="0"/>
      <w:marBottom w:val="0"/>
      <w:divBdr>
        <w:top w:val="none" w:sz="0" w:space="0" w:color="auto"/>
        <w:left w:val="none" w:sz="0" w:space="0" w:color="auto"/>
        <w:bottom w:val="none" w:sz="0" w:space="0" w:color="auto"/>
        <w:right w:val="none" w:sz="0" w:space="0" w:color="auto"/>
      </w:divBdr>
    </w:div>
    <w:div w:id="20541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harmac.govt.nz/news-and-resources/consultations-and-decisions/2022-02-04-updated-access-criteria-for-remdesivir-for-covid-19/" TargetMode="External"/><Relationship Id="rId18" Type="http://schemas.openxmlformats.org/officeDocument/2006/relationships/hyperlink" Target="https://www.covid19treatmentguidelines.nih.gov/management/clinical-management/nonhospitalized-adults--therapeutic-management/%2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health.govt.nz/system/files/documents/pages/clinical_management_of_covid-19_in_hospitalised_adults_3.pdf" TargetMode="External"/><Relationship Id="rId17" Type="http://schemas.openxmlformats.org/officeDocument/2006/relationships/hyperlink" Target="https://www.nice.org.uk/guidance/ng191"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ejm.org/doi/full/10.1056/NEJMoa2116846" TargetMode="External"/><Relationship Id="rId20" Type="http://schemas.openxmlformats.org/officeDocument/2006/relationships/hyperlink" Target="https://pharmac.govt.nz/news-and-resources/consultations-and-decisions/2022-02-04-updated-access-criteria-for-remdesivir-for-covid-1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harmac.govt.nz/news-and-resources/consultations-and-decisions/2022-02-04-updated-access-criteria-for-remdesivir-for-covid-19/"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health.govt.nz/covid-19-novel-coronavirus/covid-19-information-specific-audiences/covid-19-higher-risk-peopl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health.govt.nz/covid-19-novel-coronavirus/covid-19-data-and-statistics/covid-19-current-cas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alth.govt.nz/covid-19-novel-coronavirus/covid-19-information-specific-audiences/covid-19-higher-risk-people"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Final xmlns="233d4144-5652-41ad-87a9-c50219a037a8" xsi:nil="true"/>
    <TaxCatchAll xmlns="00a4df5b-51f4-4e7a-b755-8a381a6dfbc5" xsi:nil="true"/>
    <Reference_x0020_Number xmlns="233d4144-5652-41ad-87a9-c50219a037a8" xsi:nil="true"/>
    <p85d601a318a45c189d6b9befbd781b7 xmlns="233d4144-5652-41ad-87a9-c50219a037a8">
      <Terms xmlns="http://schemas.microsoft.com/office/infopath/2007/PartnerControls"/>
    </p85d601a318a45c189d6b9befbd781b7>
    <_Flow_SignoffStatus xmlns="233d4144-5652-41ad-87a9-c50219a037a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EE6CA983AB2744EB85DF74473F3895B" ma:contentTypeVersion="22" ma:contentTypeDescription="Create a new document." ma:contentTypeScope="" ma:versionID="9f348369802396f8433803681b669f52">
  <xsd:schema xmlns:xsd="http://www.w3.org/2001/XMLSchema" xmlns:xs="http://www.w3.org/2001/XMLSchema" xmlns:p="http://schemas.microsoft.com/office/2006/metadata/properties" xmlns:ns1="233d4144-5652-41ad-87a9-c50219a037a8" xmlns:ns3="00a4df5b-51f4-4e7a-b755-8a381a6dfbc5" xmlns:ns4="e0731c95-5453-4cc4-b91b-72230631047b" targetNamespace="http://schemas.microsoft.com/office/2006/metadata/properties" ma:root="true" ma:fieldsID="9ff3584bcc3101ec969ea8174daa0840" ns1:_="" ns3:_="" ns4:_="">
    <xsd:import namespace="233d4144-5652-41ad-87a9-c50219a037a8"/>
    <xsd:import namespace="00a4df5b-51f4-4e7a-b755-8a381a6dfbc5"/>
    <xsd:import namespace="e0731c95-5453-4cc4-b91b-72230631047b"/>
    <xsd:element name="properties">
      <xsd:complexType>
        <xsd:sequence>
          <xsd:element name="documentManagement">
            <xsd:complexType>
              <xsd:all>
                <xsd:element ref="ns1:Reference_x0020_Number" minOccurs="0"/>
                <xsd:element ref="ns1:p85d601a318a45c189d6b9befbd781b7" minOccurs="0"/>
                <xsd:element ref="ns3:TaxCatchAll" minOccurs="0"/>
                <xsd:element ref="ns1:MediaServiceMetadata" minOccurs="0"/>
                <xsd:element ref="ns1:MediaServiceFastMetadata" minOccurs="0"/>
                <xsd:element ref="ns4:SharedWithUsers" minOccurs="0"/>
                <xsd:element ref="ns4:SharedWithDetails" minOccurs="0"/>
                <xsd:element ref="ns1:MediaServiceAutoKeyPoints" minOccurs="0"/>
                <xsd:element ref="ns1:MediaServiceKeyPoints" minOccurs="0"/>
                <xsd:element ref="ns1:Reference_x0020_Number_x003a_RFA_x0020_Title" minOccurs="0"/>
                <xsd:element ref="ns1:Final" minOccurs="0"/>
                <xsd:element ref="ns1:MediaServiceAutoTags" minOccurs="0"/>
                <xsd:element ref="ns1:MediaServiceOCR" minOccurs="0"/>
                <xsd:element ref="ns1:MediaServiceGenerationTime" minOccurs="0"/>
                <xsd:element ref="ns1:MediaServiceEventHashCode" minOccurs="0"/>
                <xsd:element ref="ns1:MediaServiceDateTaken" minOccurs="0"/>
                <xsd:element ref="ns1:_Flow_SignoffStatus" minOccurs="0"/>
                <xsd:element ref="ns1: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3d4144-5652-41ad-87a9-c50219a037a8" elementFormDefault="qualified">
    <xsd:import namespace="http://schemas.microsoft.com/office/2006/documentManagement/types"/>
    <xsd:import namespace="http://schemas.microsoft.com/office/infopath/2007/PartnerControls"/>
    <xsd:element name="Reference_x0020_Number" ma:index="0" nillable="true" ma:displayName="Reference Number" ma:list="{fdfe313d-c251-4a4a-b7c2-78efcf9c35c6}" ma:internalName="Reference_x0020_Number" ma:readOnly="false" ma:showField="Reference_x0020_Number">
      <xsd:complexType>
        <xsd:complexContent>
          <xsd:extension base="dms:MultiChoiceLookup">
            <xsd:sequence>
              <xsd:element name="Value" type="dms:Lookup" maxOccurs="unbounded" minOccurs="0" nillable="true"/>
            </xsd:sequence>
          </xsd:extension>
        </xsd:complexContent>
      </xsd:complexType>
    </xsd:element>
    <xsd:element name="p85d601a318a45c189d6b9befbd781b7" ma:index="9" nillable="true" ma:taxonomy="true" ma:internalName="p85d601a318a45c189d6b9befbd781b7" ma:taxonomyFieldName="Document_x0020_Type" ma:displayName="Document Type" ma:readOnly="false" ma:default="" ma:fieldId="{985d601a-318a-45c1-89d6-b9befbd781b7}" ma:sspId="0413e039-5297-4392-bfce-c6182202c714" ma:termSetId="46260998-0cb1-4b1d-8e44-944ea719d715" ma:anchorId="00000000-0000-0000-0000-000000000000" ma:open="fals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Reference_x0020_Number_x003a_RFA_x0020_Title" ma:index="18" nillable="true" ma:displayName="Reference Number:RFA Title" ma:list="{fdfe313d-c251-4a4a-b7c2-78efcf9c35c6}" ma:internalName="Reference_x0020_Number_x003a_RFA_x0020_Title" ma:readOnly="true" ma:showField="Title" ma:web="f504e471-c688-4005-8255-98fd2228cc89">
      <xsd:complexType>
        <xsd:complexContent>
          <xsd:extension base="dms:MultiChoiceLookup">
            <xsd:sequence>
              <xsd:element name="Value" type="dms:Lookup" maxOccurs="unbounded" minOccurs="0" nillable="true"/>
            </xsd:sequence>
          </xsd:extension>
        </xsd:complexContent>
      </xsd:complexType>
    </xsd:element>
    <xsd:element name="Final" ma:index="19" nillable="true" ma:displayName="Final Version" ma:default="0" ma:indexed="true" ma:internalName="Final">
      <xsd:simpleType>
        <xsd:restriction base="dms:Boolea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DateTaken" ma:index="24" nillable="true" ma:displayName="MediaServiceDateTaken" ma:hidden="true" ma:internalName="MediaServiceDateTaken" ma:readOnly="true">
      <xsd:simpleType>
        <xsd:restriction base="dms:Text"/>
      </xsd:simpleType>
    </xsd:element>
    <xsd:element name="_Flow_SignoffStatus" ma:index="25" nillable="true" ma:displayName="Sign-off status" ma:internalName="Sign_x002d_off_x0020_status">
      <xsd:simpleType>
        <xsd:restriction base="dms:Text"/>
      </xsd:simpleType>
    </xsd:element>
    <xsd:element name="MediaServiceLocation" ma:index="2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4df5b-51f4-4e7a-b755-8a381a6dfbc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02e7e52f-bf27-4b85-abd3-86b0f87f60dd}" ma:internalName="TaxCatchAll" ma:readOnly="false" ma:showField="CatchAllData" ma:web="e0731c95-5453-4cc4-b91b-72230631047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731c95-5453-4cc4-b91b-72230631047b"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897736-9827-44A9-B4D6-5BA42C6739E6}">
  <ds:schemaRefs>
    <ds:schemaRef ds:uri="http://schemas.microsoft.com/sharepoint/v3/contenttype/forms"/>
  </ds:schemaRefs>
</ds:datastoreItem>
</file>

<file path=customXml/itemProps2.xml><?xml version="1.0" encoding="utf-8"?>
<ds:datastoreItem xmlns:ds="http://schemas.openxmlformats.org/officeDocument/2006/customXml" ds:itemID="{C8C30288-F637-4578-A959-06C768BA8209}">
  <ds:schemaRefs>
    <ds:schemaRef ds:uri="http://schemas.openxmlformats.org/officeDocument/2006/bibliography"/>
  </ds:schemaRefs>
</ds:datastoreItem>
</file>

<file path=customXml/itemProps3.xml><?xml version="1.0" encoding="utf-8"?>
<ds:datastoreItem xmlns:ds="http://schemas.openxmlformats.org/officeDocument/2006/customXml" ds:itemID="{50DF8FE4-B752-47DD-A943-E9517263DEDA}">
  <ds:schemaRefs>
    <ds:schemaRef ds:uri="http://schemas.microsoft.com/office/2006/metadata/properties"/>
    <ds:schemaRef ds:uri="http://schemas.microsoft.com/office/infopath/2007/PartnerControls"/>
    <ds:schemaRef ds:uri="233d4144-5652-41ad-87a9-c50219a037a8"/>
    <ds:schemaRef ds:uri="00a4df5b-51f4-4e7a-b755-8a381a6dfbc5"/>
  </ds:schemaRefs>
</ds:datastoreItem>
</file>

<file path=customXml/itemProps4.xml><?xml version="1.0" encoding="utf-8"?>
<ds:datastoreItem xmlns:ds="http://schemas.openxmlformats.org/officeDocument/2006/customXml" ds:itemID="{86FCBDF0-61CC-436B-89F4-3C7FF24FD9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3d4144-5652-41ad-87a9-c50219a037a8"/>
    <ds:schemaRef ds:uri="00a4df5b-51f4-4e7a-b755-8a381a6dfbc5"/>
    <ds:schemaRef ds:uri="e0731c95-5453-4cc4-b91b-722306310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12726</Words>
  <Characters>72539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McLellan</dc:creator>
  <cp:lastModifiedBy>Anne Buckley</cp:lastModifiedBy>
  <cp:revision>37</cp:revision>
  <cp:lastPrinted>2022-03-23T23:57:00Z</cp:lastPrinted>
  <dcterms:created xsi:type="dcterms:W3CDTF">2022-03-23T23:02:00Z</dcterms:created>
  <dcterms:modified xsi:type="dcterms:W3CDTF">2022-03-24T00:05:00Z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0x0101009EE6CA983AB2744EB85DF74473F3895B</vt:lpwstr>
  </property>
  <property fmtid="{D5CDD505-2E9C-101B-9397-08002B2CF9AE}" pid="3" name="Document Type">
    <vt:lpwstr/>
  </property>
  <property fmtid="{D5CDD505-2E9C-101B-9397-08002B2CF9AE}" pid="4" name="PAPERS2_INFO_01">
    <vt:lpwstr>&lt;info&gt;&lt;style id="http://www.zotero.org/styles/the-new-england-journal-of-medicine"/&gt;&lt;format class="21"/&gt;&lt;count citations="10" publications="12"/&gt;&lt;/info&gt;PAPERS2_INFO_END</vt:lpwstr>
  </property>
</Properties>
</file>