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2A7B" w14:textId="1E57FE58" w:rsidR="00D81648" w:rsidRPr="004B7BBC" w:rsidRDefault="00D81648" w:rsidP="00D81648">
      <w:pPr>
        <w:rPr>
          <w:b/>
          <w:color w:val="404040" w:themeColor="text1" w:themeTint="BF"/>
          <w:spacing w:val="-5"/>
          <w:sz w:val="56"/>
        </w:rPr>
      </w:pPr>
      <w:bookmarkStart w:id="0" w:name="_Hlk88133288"/>
      <w:r w:rsidRPr="004B7BBC">
        <w:rPr>
          <w:b/>
          <w:color w:val="404040" w:themeColor="text1" w:themeTint="BF"/>
          <w:spacing w:val="-5"/>
          <w:sz w:val="56"/>
        </w:rPr>
        <w:t xml:space="preserve">Ministry of Health position statement on </w:t>
      </w:r>
      <w:bookmarkStart w:id="1" w:name="_Hlk88133152"/>
      <w:r w:rsidR="009B331F">
        <w:rPr>
          <w:b/>
          <w:color w:val="404040" w:themeColor="text1" w:themeTint="BF"/>
          <w:spacing w:val="-5"/>
          <w:sz w:val="56"/>
        </w:rPr>
        <w:t xml:space="preserve">the assessment and treatment </w:t>
      </w:r>
      <w:r w:rsidRPr="004B7BBC">
        <w:rPr>
          <w:b/>
          <w:color w:val="404040" w:themeColor="text1" w:themeTint="BF"/>
          <w:spacing w:val="-5"/>
          <w:sz w:val="56"/>
        </w:rPr>
        <w:t>of unvaccinated individuals in healthcare settings</w:t>
      </w:r>
    </w:p>
    <w:bookmarkEnd w:id="0"/>
    <w:bookmarkEnd w:id="1"/>
    <w:p w14:paraId="08297E8A" w14:textId="77777777" w:rsidR="00D81648" w:rsidRPr="004B7BBC" w:rsidRDefault="00D81648" w:rsidP="00D81648">
      <w:pPr>
        <w:rPr>
          <w:b/>
          <w:color w:val="404040" w:themeColor="text1" w:themeTint="BF"/>
          <w:spacing w:val="-5"/>
          <w:sz w:val="20"/>
        </w:rPr>
      </w:pPr>
    </w:p>
    <w:p w14:paraId="75AF0F93" w14:textId="77777777" w:rsidR="00D81648" w:rsidRPr="004B7BBC" w:rsidRDefault="00D81648" w:rsidP="00D81648"/>
    <w:p w14:paraId="2DACD289" w14:textId="77777777" w:rsidR="00DE69DF" w:rsidRDefault="00DE69DF" w:rsidP="00D81648">
      <w:r>
        <w:t>8 February 2022</w:t>
      </w:r>
    </w:p>
    <w:p w14:paraId="0B17E059" w14:textId="77777777" w:rsidR="00DE69DF" w:rsidRDefault="00DE69DF" w:rsidP="00D81648"/>
    <w:p w14:paraId="57F57FC6" w14:textId="5A15A2EA" w:rsidR="00D81648" w:rsidRPr="004B7BBC" w:rsidRDefault="00D81648" w:rsidP="00D81648">
      <w:r w:rsidRPr="004B7BBC">
        <w:t xml:space="preserve">This statement has been updated to focus on the core issue of </w:t>
      </w:r>
      <w:r w:rsidR="002A6E0A">
        <w:t>the assessment and treatment of</w:t>
      </w:r>
      <w:r w:rsidRPr="004B7BBC">
        <w:t xml:space="preserve"> unvaccinated patients in both community and secondary care settings.</w:t>
      </w:r>
      <w:r w:rsidR="00515C05">
        <w:t xml:space="preserve"> </w:t>
      </w:r>
    </w:p>
    <w:p w14:paraId="0033B510" w14:textId="77777777" w:rsidR="00D81648" w:rsidRPr="004B7BBC" w:rsidRDefault="00D81648" w:rsidP="00D81648"/>
    <w:p w14:paraId="5AB5CA07" w14:textId="5F06E33C" w:rsidR="00D81648" w:rsidRDefault="00D81648" w:rsidP="00D81648">
      <w:bookmarkStart w:id="2" w:name="_Hlk88133186"/>
      <w:r w:rsidRPr="004B7BBC">
        <w:t>The Ministry of Health position statement is in three parts:</w:t>
      </w:r>
    </w:p>
    <w:p w14:paraId="26485023" w14:textId="77777777" w:rsidR="006B48D2" w:rsidRPr="004B7BBC" w:rsidRDefault="006B48D2" w:rsidP="00D81648"/>
    <w:p w14:paraId="14F877E1" w14:textId="47081527" w:rsidR="001D7363" w:rsidRDefault="001D7363" w:rsidP="00DF69B3">
      <w:pPr>
        <w:pStyle w:val="ListParagraph"/>
        <w:numPr>
          <w:ilvl w:val="0"/>
          <w:numId w:val="3"/>
        </w:numPr>
        <w:ind w:left="426" w:hanging="426"/>
        <w:rPr>
          <w:lang w:val="en-US"/>
        </w:rPr>
      </w:pPr>
      <w:r>
        <w:rPr>
          <w:lang w:val="en-US"/>
        </w:rPr>
        <w:t>the purpose of the statement</w:t>
      </w:r>
    </w:p>
    <w:p w14:paraId="0B1456A0" w14:textId="1D797B28" w:rsidR="00D81648" w:rsidRPr="00DF69B3" w:rsidRDefault="00D81648" w:rsidP="00DF69B3">
      <w:pPr>
        <w:pStyle w:val="ListParagraph"/>
        <w:numPr>
          <w:ilvl w:val="0"/>
          <w:numId w:val="3"/>
        </w:numPr>
        <w:ind w:left="426" w:hanging="426"/>
        <w:rPr>
          <w:lang w:val="en-US"/>
        </w:rPr>
      </w:pPr>
      <w:r w:rsidRPr="00DF69B3">
        <w:rPr>
          <w:lang w:val="en-US"/>
        </w:rPr>
        <w:t xml:space="preserve">the principles </w:t>
      </w:r>
      <w:r w:rsidR="006960B6">
        <w:rPr>
          <w:lang w:val="en-US"/>
        </w:rPr>
        <w:t>of the statement</w:t>
      </w:r>
    </w:p>
    <w:p w14:paraId="47BA3A37" w14:textId="651ADD94" w:rsidR="00D81648" w:rsidRPr="00FD5D72" w:rsidRDefault="0080719D" w:rsidP="00FD5D72">
      <w:pPr>
        <w:pStyle w:val="ListParagraph"/>
        <w:numPr>
          <w:ilvl w:val="0"/>
          <w:numId w:val="3"/>
        </w:numPr>
        <w:ind w:left="426" w:hanging="426"/>
        <w:rPr>
          <w:lang w:val="en-US"/>
        </w:rPr>
      </w:pPr>
      <w:bookmarkStart w:id="3" w:name="_Toc2753223"/>
      <w:r>
        <w:rPr>
          <w:lang w:val="en-US"/>
        </w:rPr>
        <w:t>summary and equity consideration</w:t>
      </w:r>
    </w:p>
    <w:bookmarkEnd w:id="2"/>
    <w:bookmarkEnd w:id="3"/>
    <w:p w14:paraId="4E58270C" w14:textId="77777777" w:rsidR="00D81648" w:rsidRPr="004B7BBC" w:rsidRDefault="00D81648" w:rsidP="00D81648">
      <w:pPr>
        <w:pStyle w:val="Heading2"/>
      </w:pPr>
      <w:r w:rsidRPr="004B7BBC">
        <w:t>Purpose</w:t>
      </w:r>
    </w:p>
    <w:p w14:paraId="26DED3BF" w14:textId="0843CF66" w:rsidR="00D81648" w:rsidRPr="004B7BBC" w:rsidRDefault="00D81648" w:rsidP="00D81648">
      <w:pPr>
        <w:rPr>
          <w:lang w:val="en-US"/>
        </w:rPr>
      </w:pPr>
      <w:r w:rsidRPr="004B7BBC">
        <w:rPr>
          <w:lang w:val="en-US"/>
        </w:rPr>
        <w:t xml:space="preserve">The purpose of this statement is to </w:t>
      </w:r>
      <w:r w:rsidR="0021567D">
        <w:rPr>
          <w:lang w:val="en-US"/>
        </w:rPr>
        <w:t xml:space="preserve">outline the Ministry of Health’s position on the assessment and treatment of unvaccinated </w:t>
      </w:r>
      <w:r w:rsidR="00073EFE">
        <w:rPr>
          <w:lang w:val="en-US"/>
        </w:rPr>
        <w:t>individuals in</w:t>
      </w:r>
      <w:r w:rsidR="0021567D">
        <w:rPr>
          <w:lang w:val="en-US"/>
        </w:rPr>
        <w:t xml:space="preserve"> healthcare settings. </w:t>
      </w:r>
      <w:r w:rsidR="000E2127">
        <w:rPr>
          <w:lang w:val="en-US"/>
        </w:rPr>
        <w:t xml:space="preserve">In addition, this </w:t>
      </w:r>
      <w:r w:rsidR="0021567D">
        <w:rPr>
          <w:lang w:val="en-US"/>
        </w:rPr>
        <w:t xml:space="preserve">statement </w:t>
      </w:r>
      <w:r w:rsidR="000E2127">
        <w:rPr>
          <w:lang w:val="en-US"/>
        </w:rPr>
        <w:t>aims</w:t>
      </w:r>
      <w:r w:rsidR="0021567D">
        <w:rPr>
          <w:lang w:val="en-US"/>
        </w:rPr>
        <w:t xml:space="preserve"> to </w:t>
      </w:r>
      <w:r w:rsidRPr="004B7BBC">
        <w:rPr>
          <w:lang w:val="en-US"/>
        </w:rPr>
        <w:t xml:space="preserve">address concerns </w:t>
      </w:r>
      <w:r w:rsidR="000E2127">
        <w:rPr>
          <w:lang w:val="en-US"/>
        </w:rPr>
        <w:t xml:space="preserve">raised by </w:t>
      </w:r>
      <w:r w:rsidRPr="004B7BBC">
        <w:rPr>
          <w:lang w:val="en-US"/>
        </w:rPr>
        <w:t xml:space="preserve">clinicians and providers regarding </w:t>
      </w:r>
      <w:r w:rsidR="000E2127">
        <w:rPr>
          <w:lang w:val="en-US"/>
        </w:rPr>
        <w:t xml:space="preserve">the assessment and treatment of </w:t>
      </w:r>
      <w:r w:rsidRPr="004B7BBC">
        <w:rPr>
          <w:lang w:val="en-US"/>
        </w:rPr>
        <w:t>unvaccinated patients.</w:t>
      </w:r>
    </w:p>
    <w:p w14:paraId="4D6E1ECD" w14:textId="77777777" w:rsidR="00D81648" w:rsidRPr="004B7BBC" w:rsidRDefault="00D81648" w:rsidP="00D81648">
      <w:pPr>
        <w:rPr>
          <w:lang w:val="en-US"/>
        </w:rPr>
      </w:pPr>
    </w:p>
    <w:p w14:paraId="14A08534" w14:textId="19684A38" w:rsidR="00D81648" w:rsidRPr="004B7BBC" w:rsidRDefault="00D81648" w:rsidP="00D81648">
      <w:pPr>
        <w:rPr>
          <w:lang w:val="en-US"/>
        </w:rPr>
      </w:pPr>
      <w:r w:rsidRPr="004B7BBC">
        <w:rPr>
          <w:lang w:val="en-US"/>
        </w:rPr>
        <w:t xml:space="preserve">Vaccination offers the best protection against </w:t>
      </w:r>
      <w:r w:rsidR="00515C05">
        <w:rPr>
          <w:lang w:val="en-US"/>
        </w:rPr>
        <w:t>COVID-19</w:t>
      </w:r>
      <w:r w:rsidRPr="004B7BBC">
        <w:rPr>
          <w:lang w:val="en-US"/>
        </w:rPr>
        <w:t xml:space="preserve"> both for individuals and for those they interact with, including health care workers and other patients, however some New Zealanders do not qualify for vaccination and some have chosen not to be vaccinated.</w:t>
      </w:r>
      <w:r w:rsidR="00515C05">
        <w:rPr>
          <w:lang w:val="en-US"/>
        </w:rPr>
        <w:t xml:space="preserve"> </w:t>
      </w:r>
      <w:r w:rsidRPr="004B7BBC">
        <w:rPr>
          <w:lang w:val="en-US"/>
        </w:rPr>
        <w:t xml:space="preserve">It is important that there is a consistent and scientifically logical approach to </w:t>
      </w:r>
      <w:r w:rsidR="00007144">
        <w:rPr>
          <w:lang w:val="en-US"/>
        </w:rPr>
        <w:t>the assessment and management of such individuals in a health care setting.</w:t>
      </w:r>
    </w:p>
    <w:p w14:paraId="6D22D07D" w14:textId="77777777" w:rsidR="00D81648" w:rsidRPr="004B7BBC" w:rsidRDefault="00D81648" w:rsidP="00D81648">
      <w:pPr>
        <w:rPr>
          <w:lang w:val="en-US"/>
        </w:rPr>
      </w:pPr>
    </w:p>
    <w:p w14:paraId="6BA538E1" w14:textId="77777777" w:rsidR="00D81648" w:rsidRPr="004B7BBC" w:rsidRDefault="00D81648" w:rsidP="00D81648">
      <w:pPr>
        <w:rPr>
          <w:lang w:val="en-US"/>
        </w:rPr>
      </w:pPr>
      <w:r w:rsidRPr="004B7BBC">
        <w:rPr>
          <w:lang w:val="en-US"/>
        </w:rPr>
        <w:t>A range of guidance documents have been developed to minimise the risk of transmission of infection to the healthcare workforce.</w:t>
      </w:r>
      <w:r w:rsidRPr="004B7BBC">
        <w:rPr>
          <w:rStyle w:val="FootnoteReference"/>
          <w:lang w:val="en-US"/>
        </w:rPr>
        <w:footnoteReference w:id="1"/>
      </w:r>
      <w:r w:rsidRPr="004B7BBC">
        <w:rPr>
          <w:lang w:val="en-US"/>
        </w:rPr>
        <w:t xml:space="preserve"> The measures in these guidance documents have been largely effective. The rate of infection within health care settings has been very low, despite being one of the most at risk environments. </w:t>
      </w:r>
    </w:p>
    <w:p w14:paraId="2DD24B6D" w14:textId="2E067B0B" w:rsidR="00D81648" w:rsidRDefault="00D81648" w:rsidP="00D81648">
      <w:pPr>
        <w:rPr>
          <w:lang w:val="en-US"/>
        </w:rPr>
      </w:pPr>
      <w:r w:rsidRPr="004B7BBC">
        <w:rPr>
          <w:lang w:val="en-US"/>
        </w:rPr>
        <w:t>These measures reduce the risks for both health care workers and patients.</w:t>
      </w:r>
      <w:r w:rsidR="00515C05">
        <w:rPr>
          <w:lang w:val="en-US"/>
        </w:rPr>
        <w:t xml:space="preserve"> </w:t>
      </w:r>
      <w:r w:rsidR="006A416E">
        <w:rPr>
          <w:lang w:val="en-US"/>
        </w:rPr>
        <w:t xml:space="preserve">Additional risk </w:t>
      </w:r>
      <w:r w:rsidR="00482A39">
        <w:rPr>
          <w:lang w:val="en-US"/>
        </w:rPr>
        <w:t xml:space="preserve">due to worker specific vulnerability has also been addressed through Ministry </w:t>
      </w:r>
      <w:r w:rsidR="00661178">
        <w:rPr>
          <w:lang w:val="en-US"/>
        </w:rPr>
        <w:t>of</w:t>
      </w:r>
      <w:r w:rsidR="00482A39">
        <w:rPr>
          <w:lang w:val="en-US"/>
        </w:rPr>
        <w:t xml:space="preserve"> Health guidance documents</w:t>
      </w:r>
      <w:r w:rsidR="00A034BB">
        <w:rPr>
          <w:lang w:val="en-US"/>
        </w:rPr>
        <w:t xml:space="preserve">. </w:t>
      </w:r>
      <w:r w:rsidR="00482A39">
        <w:rPr>
          <w:lang w:val="en-US"/>
        </w:rPr>
        <w:t xml:space="preserve"> </w:t>
      </w:r>
      <w:r w:rsidR="00A034BB">
        <w:rPr>
          <w:lang w:val="en-US"/>
        </w:rPr>
        <w:t>E</w:t>
      </w:r>
      <w:r w:rsidR="00A0364F">
        <w:rPr>
          <w:lang w:val="en-US"/>
        </w:rPr>
        <w:t xml:space="preserve">mployers have a health and safety duty to carry out a risk assessment with vulnerable workers and minimise any additional risk they face. </w:t>
      </w:r>
      <w:r w:rsidR="0021567D">
        <w:rPr>
          <w:lang w:val="en-US"/>
        </w:rPr>
        <w:t xml:space="preserve">Risk assessment </w:t>
      </w:r>
      <w:r w:rsidR="000E2127">
        <w:rPr>
          <w:lang w:val="en-US"/>
        </w:rPr>
        <w:t xml:space="preserve">must </w:t>
      </w:r>
      <w:r w:rsidR="0021567D">
        <w:rPr>
          <w:lang w:val="en-US"/>
        </w:rPr>
        <w:t>be carried out on a case-by-case basis</w:t>
      </w:r>
      <w:r w:rsidR="00073EFE">
        <w:rPr>
          <w:lang w:val="en-US"/>
        </w:rPr>
        <w:t xml:space="preserve"> rather than </w:t>
      </w:r>
      <w:r w:rsidR="000E2127">
        <w:rPr>
          <w:lang w:val="en-US"/>
        </w:rPr>
        <w:t xml:space="preserve">through </w:t>
      </w:r>
      <w:r w:rsidR="00BD2DEF">
        <w:rPr>
          <w:lang w:val="en-US"/>
        </w:rPr>
        <w:t xml:space="preserve">the </w:t>
      </w:r>
      <w:r w:rsidR="000E2127">
        <w:rPr>
          <w:lang w:val="en-US"/>
        </w:rPr>
        <w:t>application of a</w:t>
      </w:r>
      <w:r w:rsidR="00073EFE">
        <w:rPr>
          <w:lang w:val="en-US"/>
        </w:rPr>
        <w:t xml:space="preserve"> blanket approach. </w:t>
      </w:r>
    </w:p>
    <w:p w14:paraId="49AB1E20" w14:textId="44AF9641" w:rsidR="00DE69DF" w:rsidRDefault="00DE69DF" w:rsidP="00D81648">
      <w:pPr>
        <w:rPr>
          <w:lang w:val="en-US"/>
        </w:rPr>
      </w:pPr>
    </w:p>
    <w:p w14:paraId="1F241348" w14:textId="77777777" w:rsidR="00DE69DF" w:rsidRPr="004B7BBC" w:rsidRDefault="00DE69DF" w:rsidP="00D81648">
      <w:pPr>
        <w:rPr>
          <w:lang w:val="en-US"/>
        </w:rPr>
      </w:pPr>
    </w:p>
    <w:p w14:paraId="37A72FDC" w14:textId="77777777" w:rsidR="00D81648" w:rsidRPr="004B7BBC" w:rsidRDefault="00D81648" w:rsidP="00D81648">
      <w:pPr>
        <w:pStyle w:val="Heading2"/>
      </w:pPr>
      <w:r w:rsidRPr="004B7BBC">
        <w:lastRenderedPageBreak/>
        <w:t>Principles of this statement</w:t>
      </w:r>
    </w:p>
    <w:p w14:paraId="23E3E969" w14:textId="294D3029" w:rsidR="00D81648" w:rsidRPr="004B7BBC" w:rsidRDefault="00D81648" w:rsidP="00D81648">
      <w:r w:rsidRPr="004B7BBC">
        <w:t>Health services need to provide services in accordance with the Health and Disability Commissioner (Code of Health and Disability Services Consumers' Rights) Regulations 1996</w:t>
      </w:r>
      <w:r w:rsidR="00755E33">
        <w:t xml:space="preserve"> (the Cod</w:t>
      </w:r>
      <w:r w:rsidR="00AB3F93">
        <w:t>e</w:t>
      </w:r>
      <w:r w:rsidR="00755E33">
        <w:t>)</w:t>
      </w:r>
      <w:r w:rsidRPr="004B7BBC">
        <w:t xml:space="preserve">. Appropriate justification is needed if a health service is proposing to refuse access to services or to not comply with rights under the Code. </w:t>
      </w:r>
    </w:p>
    <w:p w14:paraId="797E167E" w14:textId="77777777" w:rsidR="00D81648" w:rsidRPr="004B7BBC" w:rsidRDefault="00D81648" w:rsidP="00D81648"/>
    <w:p w14:paraId="7531C633" w14:textId="063B7FB2" w:rsidR="00D81648" w:rsidRPr="004B7BBC" w:rsidRDefault="00D81648" w:rsidP="00D81648">
      <w:r w:rsidRPr="004B7BBC">
        <w:t xml:space="preserve">The onus is on the provider to make that justification. Justification should be made based on a risk assessment that considers both the provider and the patient, the other patients they see, the risk of attending premises where there are unvaccinated persons present, and the requirements outlined in the Code. </w:t>
      </w:r>
    </w:p>
    <w:p w14:paraId="118D780F" w14:textId="77777777" w:rsidR="00D81648" w:rsidRPr="004B7BBC" w:rsidRDefault="00D81648" w:rsidP="00D81648"/>
    <w:p w14:paraId="69ED6F7E" w14:textId="117D5B9A" w:rsidR="00D81648" w:rsidRPr="004B7BBC" w:rsidRDefault="00D81648" w:rsidP="00D81648">
      <w:r w:rsidRPr="004B7BBC">
        <w:t>The Ministry is of the view that in most cases, with vaccinated staff and other precautions in place, that the risks are unlikely to be high enough to provide sufficient justification to not follow the Code.</w:t>
      </w:r>
      <w:r w:rsidR="00515C05">
        <w:t xml:space="preserve"> </w:t>
      </w:r>
      <w:r w:rsidRPr="004B7BBC">
        <w:t>In other words, denying access to health care on the basis of vaccination status is unacceptable.</w:t>
      </w:r>
    </w:p>
    <w:p w14:paraId="54DB131B" w14:textId="77777777" w:rsidR="00D81648" w:rsidRPr="004B7BBC" w:rsidRDefault="00D81648" w:rsidP="00D81648">
      <w:pPr>
        <w:rPr>
          <w:lang w:val="en-US"/>
        </w:rPr>
      </w:pPr>
    </w:p>
    <w:p w14:paraId="7378E6F2" w14:textId="77777777" w:rsidR="00D81648" w:rsidRPr="004B7BBC" w:rsidRDefault="00D81648" w:rsidP="00DF69B3">
      <w:pPr>
        <w:pStyle w:val="ListParagraph"/>
        <w:numPr>
          <w:ilvl w:val="0"/>
          <w:numId w:val="2"/>
        </w:numPr>
        <w:ind w:left="426" w:hanging="426"/>
        <w:rPr>
          <w:lang w:val="en-US"/>
        </w:rPr>
      </w:pPr>
      <w:r w:rsidRPr="004B7BBC">
        <w:rPr>
          <w:lang w:val="en-US"/>
        </w:rPr>
        <w:t>Access to health care is a fundamental right.</w:t>
      </w:r>
    </w:p>
    <w:p w14:paraId="6B0EBA83" w14:textId="77777777" w:rsidR="000646AF" w:rsidRDefault="00D81648" w:rsidP="00DF69B3">
      <w:pPr>
        <w:pStyle w:val="ListParagraph"/>
        <w:numPr>
          <w:ilvl w:val="1"/>
          <w:numId w:val="2"/>
        </w:numPr>
        <w:ind w:left="851" w:hanging="425"/>
        <w:rPr>
          <w:lang w:val="en-US"/>
        </w:rPr>
      </w:pPr>
      <w:r w:rsidRPr="004B7BBC">
        <w:rPr>
          <w:lang w:val="en-US"/>
        </w:rPr>
        <w:t xml:space="preserve">An individual seeking healthcare cannot be refused care because of their beliefs. In this case an individual who believes that a vaccine is harmful cannot be refused care for that belief. </w:t>
      </w:r>
    </w:p>
    <w:p w14:paraId="71E1C1E2" w14:textId="286D447A" w:rsidR="00D81648" w:rsidRDefault="00D81648" w:rsidP="00DF69B3">
      <w:pPr>
        <w:pStyle w:val="ListParagraph"/>
        <w:numPr>
          <w:ilvl w:val="1"/>
          <w:numId w:val="2"/>
        </w:numPr>
        <w:ind w:left="851" w:hanging="425"/>
        <w:rPr>
          <w:lang w:val="en-US"/>
        </w:rPr>
      </w:pPr>
      <w:r w:rsidRPr="000646AF">
        <w:rPr>
          <w:lang w:val="en-US"/>
        </w:rPr>
        <w:t>A practitioner’s personal beliefs should not influence that practitioner’s duty of care for any individual. In this case a practitioner must not allow their opinion of an individual who refuses to be vaccinated to influence the care that they offer that individual.</w:t>
      </w:r>
    </w:p>
    <w:p w14:paraId="02E8D0D8" w14:textId="196AE908" w:rsidR="00F16DD7" w:rsidRPr="00F16DD7" w:rsidRDefault="00F16DD7">
      <w:pPr>
        <w:pStyle w:val="ListParagraph"/>
        <w:numPr>
          <w:ilvl w:val="1"/>
          <w:numId w:val="2"/>
        </w:numPr>
        <w:ind w:left="851" w:hanging="425"/>
        <w:rPr>
          <w:lang w:val="en-US"/>
        </w:rPr>
      </w:pPr>
      <w:r>
        <w:rPr>
          <w:lang w:val="en-US"/>
        </w:rPr>
        <w:t xml:space="preserve">The </w:t>
      </w:r>
      <w:r w:rsidRPr="00F845F2">
        <w:rPr>
          <w:lang w:val="en-US"/>
        </w:rPr>
        <w:t>COVID-19 Public Health Response (Protection Framework) Order 2021</w:t>
      </w:r>
      <w:r>
        <w:rPr>
          <w:lang w:val="en-US"/>
        </w:rPr>
        <w:t xml:space="preserve"> reinforces that a person cannot be denied access to health care services on vaccination grounds (sections 31 – 33)</w:t>
      </w:r>
      <w:r>
        <w:rPr>
          <w:rStyle w:val="FootnoteReference"/>
          <w:lang w:val="en-US"/>
        </w:rPr>
        <w:footnoteReference w:id="2"/>
      </w:r>
      <w:r>
        <w:rPr>
          <w:lang w:val="en-US"/>
        </w:rPr>
        <w:t xml:space="preserve">. </w:t>
      </w:r>
    </w:p>
    <w:p w14:paraId="7D8F3560" w14:textId="77777777" w:rsidR="000646AF" w:rsidRPr="000646AF" w:rsidRDefault="000646AF" w:rsidP="000646AF">
      <w:pPr>
        <w:pStyle w:val="ListParagraph"/>
        <w:ind w:left="1440"/>
        <w:rPr>
          <w:lang w:val="en-US"/>
        </w:rPr>
      </w:pPr>
    </w:p>
    <w:p w14:paraId="7CD7EF03" w14:textId="77777777" w:rsidR="00D81648" w:rsidRPr="004B7BBC" w:rsidRDefault="00D81648" w:rsidP="00DF69B3">
      <w:pPr>
        <w:pStyle w:val="ListParagraph"/>
        <w:numPr>
          <w:ilvl w:val="0"/>
          <w:numId w:val="2"/>
        </w:numPr>
        <w:ind w:left="426" w:hanging="426"/>
        <w:rPr>
          <w:lang w:val="en-US"/>
        </w:rPr>
      </w:pPr>
      <w:r w:rsidRPr="004B7BBC">
        <w:rPr>
          <w:lang w:val="en-US"/>
        </w:rPr>
        <w:t>Health care workers have a right to be safe in their workplace in accordance with the Health and Safety at Work Act 2015 (the Act).</w:t>
      </w:r>
    </w:p>
    <w:p w14:paraId="02F9464C" w14:textId="77777777" w:rsidR="00D81648" w:rsidRPr="004B7BBC" w:rsidRDefault="00D81648" w:rsidP="00DF69B3">
      <w:pPr>
        <w:pStyle w:val="ListParagraph"/>
        <w:numPr>
          <w:ilvl w:val="1"/>
          <w:numId w:val="2"/>
        </w:numPr>
        <w:ind w:left="851" w:hanging="425"/>
        <w:rPr>
          <w:lang w:val="en-US"/>
        </w:rPr>
      </w:pPr>
      <w:r w:rsidRPr="004B7BBC">
        <w:rPr>
          <w:lang w:val="en-US"/>
        </w:rPr>
        <w:t>All workers have a right to work within a safe environment. Healthcare settings are associated with some intrinsic risks, for example the risk of contracting an infectious disease from a member of the public seeking healthcare. Usually these risks are recognised, understood and a set of recommended actions are in place to reduce this risk to an acceptable level. This residual risk is not a zero risk.</w:t>
      </w:r>
    </w:p>
    <w:p w14:paraId="300A7CFF" w14:textId="77777777" w:rsidR="00D81648" w:rsidRPr="004B7BBC" w:rsidRDefault="00D81648" w:rsidP="00DF69B3">
      <w:pPr>
        <w:pStyle w:val="ListParagraph"/>
        <w:numPr>
          <w:ilvl w:val="1"/>
          <w:numId w:val="2"/>
        </w:numPr>
        <w:ind w:left="851" w:hanging="425"/>
        <w:rPr>
          <w:lang w:val="en-US"/>
        </w:rPr>
      </w:pPr>
      <w:r w:rsidRPr="004B7BBC">
        <w:rPr>
          <w:lang w:val="en-US"/>
        </w:rPr>
        <w:t>The actions taken to mitigate any risks must be reasonable and proportionate to that risk.</w:t>
      </w:r>
    </w:p>
    <w:p w14:paraId="1D69FCA3" w14:textId="3D77228B" w:rsidR="00D81648" w:rsidRDefault="00D81648" w:rsidP="00DF69B3">
      <w:pPr>
        <w:pStyle w:val="ListParagraph"/>
        <w:numPr>
          <w:ilvl w:val="1"/>
          <w:numId w:val="2"/>
        </w:numPr>
        <w:ind w:left="851" w:hanging="425"/>
        <w:rPr>
          <w:lang w:val="en-US"/>
        </w:rPr>
      </w:pPr>
      <w:r w:rsidRPr="004B7BBC">
        <w:rPr>
          <w:lang w:val="en-US"/>
        </w:rPr>
        <w:t>Any actions taken to mitigate risk must be based, wherever possible on evidence.</w:t>
      </w:r>
    </w:p>
    <w:p w14:paraId="1E74FE26" w14:textId="77777777" w:rsidR="00CC76ED" w:rsidRPr="004B7BBC" w:rsidRDefault="00CC76ED" w:rsidP="00CC76ED">
      <w:pPr>
        <w:pStyle w:val="ListParagraph"/>
        <w:ind w:left="1440"/>
        <w:rPr>
          <w:lang w:val="en-US"/>
        </w:rPr>
      </w:pPr>
    </w:p>
    <w:p w14:paraId="16F60D54" w14:textId="339E7A26" w:rsidR="00397B4A" w:rsidRDefault="00D81648" w:rsidP="007E6A73">
      <w:pPr>
        <w:pStyle w:val="ListParagraph"/>
        <w:numPr>
          <w:ilvl w:val="0"/>
          <w:numId w:val="2"/>
        </w:numPr>
        <w:ind w:left="426" w:hanging="426"/>
        <w:rPr>
          <w:lang w:val="en-US"/>
        </w:rPr>
      </w:pPr>
      <w:r w:rsidRPr="004B7BBC">
        <w:rPr>
          <w:lang w:val="en-US"/>
        </w:rPr>
        <w:t xml:space="preserve">Employers have a duty to ensure that their staff </w:t>
      </w:r>
      <w:proofErr w:type="gramStart"/>
      <w:r w:rsidRPr="004B7BBC">
        <w:rPr>
          <w:lang w:val="en-US"/>
        </w:rPr>
        <w:t>are able to</w:t>
      </w:r>
      <w:proofErr w:type="gramEnd"/>
      <w:r w:rsidRPr="004B7BBC">
        <w:rPr>
          <w:lang w:val="en-US"/>
        </w:rPr>
        <w:t xml:space="preserve"> work in a safe environment, in accordance with the Act.</w:t>
      </w:r>
      <w:r w:rsidR="00A0364F">
        <w:rPr>
          <w:lang w:val="en-US"/>
        </w:rPr>
        <w:t xml:space="preserve"> </w:t>
      </w:r>
      <w:r w:rsidR="002C4918">
        <w:rPr>
          <w:lang w:val="en-US"/>
        </w:rPr>
        <w:t xml:space="preserve">The employee also has a duty to inform the employer of any vulnerable status they might have.  </w:t>
      </w:r>
      <w:r w:rsidR="00A0364F">
        <w:rPr>
          <w:lang w:val="en-US"/>
        </w:rPr>
        <w:t xml:space="preserve">Where an employer has staff that </w:t>
      </w:r>
      <w:proofErr w:type="gramStart"/>
      <w:r w:rsidR="00A0364F">
        <w:rPr>
          <w:lang w:val="en-US"/>
        </w:rPr>
        <w:t>are considered to be</w:t>
      </w:r>
      <w:proofErr w:type="gramEnd"/>
      <w:r w:rsidR="00A0364F">
        <w:rPr>
          <w:lang w:val="en-US"/>
        </w:rPr>
        <w:t xml:space="preserve"> at risk of sever</w:t>
      </w:r>
      <w:r w:rsidR="00397B4A">
        <w:rPr>
          <w:lang w:val="en-US"/>
        </w:rPr>
        <w:t>e</w:t>
      </w:r>
      <w:r w:rsidR="00A0364F">
        <w:rPr>
          <w:lang w:val="en-US"/>
        </w:rPr>
        <w:t xml:space="preserve"> illness from COVID-19, they have a duty to carry out a risk assessment with those employees and reduc</w:t>
      </w:r>
      <w:r w:rsidR="007A3A8E">
        <w:rPr>
          <w:lang w:val="en-US"/>
        </w:rPr>
        <w:t>e</w:t>
      </w:r>
      <w:r w:rsidR="00A0364F">
        <w:rPr>
          <w:lang w:val="en-US"/>
        </w:rPr>
        <w:t xml:space="preserve"> that risk</w:t>
      </w:r>
      <w:r w:rsidR="007A3A8E">
        <w:rPr>
          <w:lang w:val="en-US"/>
        </w:rPr>
        <w:t xml:space="preserve"> where possible</w:t>
      </w:r>
      <w:r w:rsidR="00A0364F">
        <w:rPr>
          <w:lang w:val="en-US"/>
        </w:rPr>
        <w:t xml:space="preserve">. </w:t>
      </w:r>
      <w:r w:rsidR="00397B4A">
        <w:rPr>
          <w:lang w:val="en-US"/>
        </w:rPr>
        <w:t xml:space="preserve"> Further i</w:t>
      </w:r>
      <w:r w:rsidR="00397B4A" w:rsidRPr="00A0364F">
        <w:rPr>
          <w:lang w:val="en-US"/>
        </w:rPr>
        <w:t xml:space="preserve">nformation for people considered at higher risk of the effects of COVID-19 and their </w:t>
      </w:r>
      <w:r w:rsidR="00397B4A">
        <w:rPr>
          <w:lang w:val="en-US"/>
        </w:rPr>
        <w:t xml:space="preserve">whanau can be found at </w:t>
      </w:r>
      <w:hyperlink r:id="rId8" w:history="1">
        <w:r w:rsidR="00397B4A" w:rsidRPr="00A0364F">
          <w:rPr>
            <w:rStyle w:val="Hyperlink"/>
            <w:lang w:val="en-US"/>
          </w:rPr>
          <w:t>COVID-19: Higher Risk People</w:t>
        </w:r>
      </w:hyperlink>
      <w:r w:rsidR="00397B4A">
        <w:rPr>
          <w:lang w:val="en-US"/>
        </w:rPr>
        <w:t>.</w:t>
      </w:r>
    </w:p>
    <w:p w14:paraId="77A15544" w14:textId="77777777" w:rsidR="00CC76ED" w:rsidRPr="00FD5D72" w:rsidRDefault="00CC76ED" w:rsidP="007E6A73">
      <w:pPr>
        <w:rPr>
          <w:lang w:val="en-US"/>
        </w:rPr>
      </w:pPr>
    </w:p>
    <w:p w14:paraId="4B99039C" w14:textId="33C36AFB" w:rsidR="000E323E" w:rsidRDefault="00D81648" w:rsidP="00F505C3">
      <w:pPr>
        <w:pStyle w:val="ListParagraph"/>
        <w:numPr>
          <w:ilvl w:val="0"/>
          <w:numId w:val="2"/>
        </w:numPr>
        <w:ind w:left="426" w:hanging="426"/>
        <w:rPr>
          <w:lang w:val="en-US"/>
        </w:rPr>
      </w:pPr>
      <w:r w:rsidRPr="004B7BBC">
        <w:rPr>
          <w:lang w:val="en-US"/>
        </w:rPr>
        <w:t>Employees have a responsibility to follow reasonable guidelines set by their employers to ensure safety.</w:t>
      </w:r>
    </w:p>
    <w:p w14:paraId="17C918E9" w14:textId="77777777" w:rsidR="00F505C3" w:rsidRPr="00F505C3" w:rsidRDefault="00F505C3" w:rsidP="007E6A73">
      <w:pPr>
        <w:pStyle w:val="ListParagraph"/>
        <w:rPr>
          <w:lang w:val="en-US"/>
        </w:rPr>
      </w:pPr>
    </w:p>
    <w:p w14:paraId="052946BB" w14:textId="72C45ED7" w:rsidR="00D81648" w:rsidRDefault="00D81648" w:rsidP="00D81648">
      <w:pPr>
        <w:rPr>
          <w:lang w:val="en-US"/>
        </w:rPr>
      </w:pPr>
      <w:r w:rsidRPr="004B7BBC">
        <w:rPr>
          <w:lang w:val="en-US"/>
        </w:rPr>
        <w:t xml:space="preserve">Individual patients have a responsibility to follow </w:t>
      </w:r>
      <w:r w:rsidR="00CC76ED">
        <w:rPr>
          <w:lang w:val="en-US"/>
        </w:rPr>
        <w:t>applicable h</w:t>
      </w:r>
      <w:r w:rsidRPr="004B7BBC">
        <w:rPr>
          <w:lang w:val="en-US"/>
        </w:rPr>
        <w:t xml:space="preserve">ealth and </w:t>
      </w:r>
      <w:r w:rsidR="00CC76ED">
        <w:rPr>
          <w:lang w:val="en-US"/>
        </w:rPr>
        <w:t>s</w:t>
      </w:r>
      <w:r w:rsidRPr="004B7BBC">
        <w:rPr>
          <w:lang w:val="en-US"/>
        </w:rPr>
        <w:t xml:space="preserve">afety guidelines and procedures when utilising a health service, such as the wearing of masks and observing distancing requirements where possible. If a patient refuses to do so and care can be safely be deferred, it may be reasonable to require a negative </w:t>
      </w:r>
      <w:r w:rsidR="00515C05">
        <w:rPr>
          <w:lang w:val="en-US"/>
        </w:rPr>
        <w:t>COVID-19</w:t>
      </w:r>
      <w:r w:rsidRPr="004B7BBC">
        <w:rPr>
          <w:lang w:val="en-US"/>
        </w:rPr>
        <w:t xml:space="preserve"> test prior to a subsequent consultation following a risk assessment as to whether it is required.</w:t>
      </w:r>
      <w:r w:rsidR="00515C05">
        <w:rPr>
          <w:lang w:val="en-US"/>
        </w:rPr>
        <w:t xml:space="preserve"> </w:t>
      </w:r>
      <w:r w:rsidRPr="004B7BBC">
        <w:rPr>
          <w:lang w:val="en-US"/>
        </w:rPr>
        <w:t xml:space="preserve">However, vaccination of staff within a health care facility will also mitigate the risk and if it is known that the patient is unvaccinated, then steps can be taken to ensure that the risk to other patients in the facility are managed. </w:t>
      </w:r>
    </w:p>
    <w:p w14:paraId="727759F6" w14:textId="77777777" w:rsidR="006F7785" w:rsidRPr="004B7BBC" w:rsidRDefault="006F7785" w:rsidP="00D81648">
      <w:pPr>
        <w:rPr>
          <w:lang w:val="en-US"/>
        </w:rPr>
      </w:pPr>
    </w:p>
    <w:p w14:paraId="52924E9E" w14:textId="60B42AD2" w:rsidR="004A5244" w:rsidRPr="004B7BBC" w:rsidRDefault="004A5244">
      <w:pPr>
        <w:spacing w:after="160" w:line="259" w:lineRule="auto"/>
        <w:rPr>
          <w:color w:val="C85000"/>
          <w:sz w:val="28"/>
        </w:rPr>
      </w:pPr>
      <w:r>
        <w:t>Advice on the Workplace infectious disease prevention</w:t>
      </w:r>
      <w:r w:rsidR="002E4C7C">
        <w:rPr>
          <w:rStyle w:val="FootnoteReference"/>
        </w:rPr>
        <w:footnoteReference w:id="3"/>
      </w:r>
      <w:r w:rsidR="005D367C">
        <w:t xml:space="preserve"> </w:t>
      </w:r>
      <w:r>
        <w:t>and guidance for workplace</w:t>
      </w:r>
      <w:r w:rsidR="002E4C7C">
        <w:t xml:space="preserve">s </w:t>
      </w:r>
      <w:r w:rsidR="002E4C7C" w:rsidRPr="002E4C7C">
        <w:t>that have a case of COVID-19</w:t>
      </w:r>
      <w:r w:rsidR="002E4C7C">
        <w:rPr>
          <w:rStyle w:val="FootnoteReference"/>
        </w:rPr>
        <w:footnoteReference w:id="4"/>
      </w:r>
      <w:r w:rsidR="002E4C7C">
        <w:t xml:space="preserve"> can be found on the Ministry website. </w:t>
      </w:r>
    </w:p>
    <w:p w14:paraId="1B8B1CFF" w14:textId="0AF642E6" w:rsidR="00D81648" w:rsidRPr="004B7BBC" w:rsidRDefault="00D81648" w:rsidP="00D81648">
      <w:pPr>
        <w:pStyle w:val="Heading3"/>
      </w:pPr>
      <w:r w:rsidRPr="004B7BBC">
        <w:t>Summary</w:t>
      </w:r>
    </w:p>
    <w:p w14:paraId="7EA63D12" w14:textId="0F46D486" w:rsidR="00B173D3" w:rsidRDefault="00B173D3" w:rsidP="00B173D3">
      <w:pPr>
        <w:pStyle w:val="ListParagraph"/>
        <w:numPr>
          <w:ilvl w:val="0"/>
          <w:numId w:val="3"/>
        </w:numPr>
        <w:ind w:left="426" w:hanging="426"/>
        <w:rPr>
          <w:lang w:val="en-US"/>
        </w:rPr>
      </w:pPr>
      <w:r w:rsidRPr="004B7BBC">
        <w:rPr>
          <w:lang w:val="en-US"/>
        </w:rPr>
        <w:t xml:space="preserve">Individuals cannot be refused access to health care. </w:t>
      </w:r>
      <w:r w:rsidRPr="00FD1119">
        <w:rPr>
          <w:lang w:val="en-US"/>
        </w:rPr>
        <w:t xml:space="preserve">The COVID-19 Public Health Response (Protection Framework) Order 2021 reinforces that a person cannot be denied access to health care services on vaccination grounds (sections 31 – 33). </w:t>
      </w:r>
    </w:p>
    <w:p w14:paraId="2B53DC44" w14:textId="534D7A39" w:rsidR="00B306E7" w:rsidRPr="00B306E7" w:rsidRDefault="00B306E7">
      <w:pPr>
        <w:pStyle w:val="ListParagraph"/>
        <w:numPr>
          <w:ilvl w:val="0"/>
          <w:numId w:val="3"/>
        </w:numPr>
        <w:ind w:left="426" w:hanging="426"/>
        <w:rPr>
          <w:lang w:val="en-US"/>
        </w:rPr>
      </w:pPr>
      <w:r w:rsidRPr="004B7BBC">
        <w:rPr>
          <w:lang w:val="en-US"/>
        </w:rPr>
        <w:t>Restrictions to access to health care must be informed by a risk assessment, and the onus is upon the provider to justify that the risks are sufficiently high to support those restrictions.</w:t>
      </w:r>
    </w:p>
    <w:p w14:paraId="464A8483" w14:textId="07CCBA8F" w:rsidR="00D81648" w:rsidRPr="007E6A73" w:rsidRDefault="00D81648" w:rsidP="00D81648">
      <w:pPr>
        <w:pStyle w:val="ListParagraph"/>
        <w:numPr>
          <w:ilvl w:val="0"/>
          <w:numId w:val="3"/>
        </w:numPr>
        <w:ind w:left="426" w:hanging="426"/>
        <w:rPr>
          <w:lang w:val="en-US"/>
        </w:rPr>
      </w:pPr>
      <w:r w:rsidRPr="004B7BBC">
        <w:rPr>
          <w:lang w:val="en-US"/>
        </w:rPr>
        <w:t xml:space="preserve">Total vaccination coverage and the prevalence of </w:t>
      </w:r>
      <w:r w:rsidR="00515C05">
        <w:rPr>
          <w:lang w:val="en-US"/>
        </w:rPr>
        <w:t>COVID-19</w:t>
      </w:r>
      <w:r w:rsidRPr="004B7BBC">
        <w:rPr>
          <w:lang w:val="en-US"/>
        </w:rPr>
        <w:t xml:space="preserve"> in the community are important factors in the efficacy of any mitigations aimed to prevent transmission.</w:t>
      </w:r>
    </w:p>
    <w:p w14:paraId="33CA7C78" w14:textId="77777777" w:rsidR="00D81648" w:rsidRPr="007E6A73" w:rsidRDefault="00D81648" w:rsidP="00D81648">
      <w:pPr>
        <w:pStyle w:val="ListParagraph"/>
        <w:numPr>
          <w:ilvl w:val="0"/>
          <w:numId w:val="3"/>
        </w:numPr>
        <w:ind w:left="426" w:hanging="426"/>
        <w:rPr>
          <w:lang w:val="en-US"/>
        </w:rPr>
      </w:pPr>
      <w:r w:rsidRPr="004B7BBC">
        <w:rPr>
          <w:lang w:val="en-US"/>
        </w:rPr>
        <w:t xml:space="preserve">Other public health measures in place also contribute to reducing the risk. </w:t>
      </w:r>
    </w:p>
    <w:p w14:paraId="7A15CA20" w14:textId="20D5043B" w:rsidR="00D81648" w:rsidRPr="007E6A73" w:rsidRDefault="00D81648" w:rsidP="00D81648">
      <w:pPr>
        <w:pStyle w:val="ListParagraph"/>
        <w:numPr>
          <w:ilvl w:val="0"/>
          <w:numId w:val="3"/>
        </w:numPr>
        <w:ind w:left="426" w:hanging="426"/>
        <w:rPr>
          <w:lang w:val="en-US"/>
        </w:rPr>
      </w:pPr>
      <w:r w:rsidRPr="007E6A73">
        <w:t>Vaccination status is one of many risk factors for infection and transmission.</w:t>
      </w:r>
      <w:r w:rsidR="00515C05" w:rsidRPr="007E6A73">
        <w:t xml:space="preserve"> </w:t>
      </w:r>
      <w:r w:rsidRPr="007E6A73">
        <w:rPr>
          <w:lang w:val="en-US"/>
        </w:rPr>
        <w:t xml:space="preserve">Unvaccinated patients who contract </w:t>
      </w:r>
      <w:r w:rsidR="00515C05" w:rsidRPr="007E6A73">
        <w:rPr>
          <w:lang w:val="en-US"/>
        </w:rPr>
        <w:t>COVID-19</w:t>
      </w:r>
      <w:r w:rsidRPr="007E6A73">
        <w:rPr>
          <w:lang w:val="en-US"/>
        </w:rPr>
        <w:t xml:space="preserve"> pose a high risk to themselves and to others. </w:t>
      </w:r>
    </w:p>
    <w:p w14:paraId="30F83938" w14:textId="149BDF81" w:rsidR="00D81648" w:rsidRPr="004B7BBC" w:rsidRDefault="00D81648" w:rsidP="00D81648">
      <w:pPr>
        <w:pStyle w:val="ListParagraph"/>
        <w:numPr>
          <w:ilvl w:val="0"/>
          <w:numId w:val="3"/>
        </w:numPr>
        <w:ind w:left="426" w:hanging="426"/>
        <w:rPr>
          <w:lang w:val="en-US"/>
        </w:rPr>
      </w:pPr>
      <w:r w:rsidRPr="004B7BBC">
        <w:rPr>
          <w:lang w:val="en-US"/>
        </w:rPr>
        <w:t>Individual patients have a responsibility to follow Health and Safety guidelines and procedures when utilizing a health service.</w:t>
      </w:r>
      <w:r w:rsidR="00515C05">
        <w:rPr>
          <w:lang w:val="en-US"/>
        </w:rPr>
        <w:t xml:space="preserve"> </w:t>
      </w:r>
    </w:p>
    <w:p w14:paraId="67BD79F9" w14:textId="77777777" w:rsidR="00515C05" w:rsidRDefault="00D81648" w:rsidP="00515C05">
      <w:pPr>
        <w:pStyle w:val="ListParagraph"/>
        <w:numPr>
          <w:ilvl w:val="0"/>
          <w:numId w:val="3"/>
        </w:numPr>
        <w:ind w:left="426" w:hanging="426"/>
        <w:rPr>
          <w:lang w:val="en-US"/>
        </w:rPr>
      </w:pPr>
      <w:r w:rsidRPr="007E6A73">
        <w:t>Pathways exist for decreasing the risk of transmission from any asymptomatic individual. These pathways </w:t>
      </w:r>
      <w:r w:rsidRPr="007E6A73">
        <w:rPr>
          <w:lang w:val="en-US"/>
        </w:rPr>
        <w:t>should be utilised effectively prior to the introduction of additional interventions such as pre-consultation testing.</w:t>
      </w:r>
      <w:r w:rsidRPr="004B7BBC">
        <w:rPr>
          <w:lang w:val="en-US"/>
        </w:rPr>
        <w:t xml:space="preserve"> </w:t>
      </w:r>
    </w:p>
    <w:p w14:paraId="5183CB94" w14:textId="270FFC97" w:rsidR="00D81648" w:rsidRPr="00515C05" w:rsidRDefault="001B3C2C" w:rsidP="00515C05">
      <w:pPr>
        <w:pStyle w:val="ListParagraph"/>
        <w:numPr>
          <w:ilvl w:val="0"/>
          <w:numId w:val="3"/>
        </w:numPr>
        <w:ind w:left="426" w:hanging="426"/>
        <w:rPr>
          <w:lang w:val="en-US"/>
        </w:rPr>
      </w:pPr>
      <w:r>
        <w:rPr>
          <w:lang w:val="en-US"/>
        </w:rPr>
        <w:t>Young c</w:t>
      </w:r>
      <w:r w:rsidR="00D81648" w:rsidRPr="00515C05">
        <w:rPr>
          <w:lang w:val="en-US"/>
        </w:rPr>
        <w:t>hildren form a large group of individuals who are unable to vaccinated and as such are likely to form a majority the group managed through an alternative pathway. Specific consideration must be given to how this would impact on children’s clinical care</w:t>
      </w:r>
      <w:r w:rsidR="00515C05">
        <w:rPr>
          <w:lang w:val="en-US"/>
        </w:rPr>
        <w:t>.</w:t>
      </w:r>
    </w:p>
    <w:p w14:paraId="5AC71D60" w14:textId="77777777" w:rsidR="00D81648" w:rsidRPr="004B7BBC" w:rsidRDefault="00D81648" w:rsidP="00D81648">
      <w:pPr>
        <w:pStyle w:val="Heading3"/>
      </w:pPr>
      <w:r w:rsidRPr="004B7BBC">
        <w:t>Equity</w:t>
      </w:r>
    </w:p>
    <w:p w14:paraId="132ED940" w14:textId="6D542DF8" w:rsidR="00D81648" w:rsidRPr="00FD08EF" w:rsidRDefault="00FD5D72">
      <w:r>
        <w:t xml:space="preserve">It is well understood that low vaccination rates are strongly linked with low socioeconomic status and poor health outcomes. </w:t>
      </w:r>
      <w:r w:rsidR="00D81648" w:rsidRPr="00FD08EF">
        <w:t xml:space="preserve">Any approach that mandates a different approach to unvaccinated patients prior to planned care, risks worsening access to health care for those already suffering health inequities. </w:t>
      </w:r>
    </w:p>
    <w:p w14:paraId="07511E3B" w14:textId="77777777" w:rsidR="00D81648" w:rsidRPr="005D034C" w:rsidRDefault="00D81648" w:rsidP="00D81648"/>
    <w:p w14:paraId="7D348A17" w14:textId="77777777" w:rsidR="00206049" w:rsidRDefault="00206049"/>
    <w:sectPr w:rsidR="00206049" w:rsidSect="00322092">
      <w:headerReference w:type="default" r:id="rId9"/>
      <w:footerReference w:type="default" r:id="rId10"/>
      <w:pgSz w:w="11907" w:h="16834" w:code="9"/>
      <w:pgMar w:top="1406" w:right="720" w:bottom="725"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0FF1" w14:textId="77777777" w:rsidR="00CF5F9B" w:rsidRDefault="00CF5F9B" w:rsidP="00D81648">
      <w:r>
        <w:separator/>
      </w:r>
    </w:p>
  </w:endnote>
  <w:endnote w:type="continuationSeparator" w:id="0">
    <w:p w14:paraId="45F6BCCE" w14:textId="77777777" w:rsidR="00CF5F9B" w:rsidRDefault="00CF5F9B" w:rsidP="00D8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958930"/>
      <w:docPartObj>
        <w:docPartGallery w:val="Page Numbers (Bottom of Page)"/>
        <w:docPartUnique/>
      </w:docPartObj>
    </w:sdtPr>
    <w:sdtEndPr>
      <w:rPr>
        <w:noProof/>
      </w:rPr>
    </w:sdtEndPr>
    <w:sdtContent>
      <w:p w14:paraId="6BD453F4" w14:textId="2A9CC3EB" w:rsidR="00DE69DF" w:rsidRDefault="00DE6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B19C19" w14:textId="77777777" w:rsidR="00DE69DF" w:rsidRDefault="00DE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347A2" w14:textId="77777777" w:rsidR="00CF5F9B" w:rsidRDefault="00CF5F9B" w:rsidP="00D81648">
      <w:r>
        <w:separator/>
      </w:r>
    </w:p>
  </w:footnote>
  <w:footnote w:type="continuationSeparator" w:id="0">
    <w:p w14:paraId="1A3A90E7" w14:textId="77777777" w:rsidR="00CF5F9B" w:rsidRDefault="00CF5F9B" w:rsidP="00D81648">
      <w:r>
        <w:continuationSeparator/>
      </w:r>
    </w:p>
  </w:footnote>
  <w:footnote w:id="1">
    <w:p w14:paraId="697B0247" w14:textId="0D7F4E17" w:rsidR="00D81648" w:rsidRDefault="00D81648" w:rsidP="00D81648">
      <w:pPr>
        <w:pStyle w:val="FootnoteText"/>
      </w:pPr>
      <w:r>
        <w:rPr>
          <w:rStyle w:val="FootnoteReference"/>
        </w:rPr>
        <w:footnoteRef/>
      </w:r>
      <w:r>
        <w:t xml:space="preserve"> </w:t>
      </w:r>
      <w:hyperlink r:id="rId1" w:history="1">
        <w:r w:rsidR="002E4C7C" w:rsidRPr="00A86669">
          <w:rPr>
            <w:rStyle w:val="Hyperlink"/>
          </w:rPr>
          <w:t>https://www.health.govt.nz/our-work/diseases-and-conditions/COVID-19-novel-coronavirus/COVID-19-information-specific-audiences/COVID-19-personal-protective-equipment-central-supply/personal-protective-equipment-use-health-and-disability-care-settings</w:t>
        </w:r>
      </w:hyperlink>
      <w:r w:rsidR="002E4C7C">
        <w:t xml:space="preserve"> </w:t>
      </w:r>
    </w:p>
  </w:footnote>
  <w:footnote w:id="2">
    <w:p w14:paraId="04D099D6" w14:textId="77777777" w:rsidR="00F16DD7" w:rsidRDefault="00F16DD7" w:rsidP="00F16DD7">
      <w:pPr>
        <w:pStyle w:val="FootnoteText"/>
      </w:pPr>
      <w:r>
        <w:rPr>
          <w:rStyle w:val="FootnoteReference"/>
        </w:rPr>
        <w:footnoteRef/>
      </w:r>
      <w:r>
        <w:t xml:space="preserve"> </w:t>
      </w:r>
      <w:hyperlink r:id="rId2" w:anchor="LMS582363" w:history="1">
        <w:r w:rsidRPr="005B52FE">
          <w:rPr>
            <w:rStyle w:val="Hyperlink"/>
          </w:rPr>
          <w:t>https://www.legislation.govt.nz/regulation/public/2021/0386/latest/whole.html#LMS582363</w:t>
        </w:r>
      </w:hyperlink>
      <w:r>
        <w:t xml:space="preserve"> </w:t>
      </w:r>
    </w:p>
  </w:footnote>
  <w:footnote w:id="3">
    <w:p w14:paraId="72CF4973" w14:textId="2A9B7140" w:rsidR="002E4C7C" w:rsidRDefault="002E4C7C">
      <w:pPr>
        <w:pStyle w:val="FootnoteText"/>
      </w:pPr>
      <w:r>
        <w:rPr>
          <w:rStyle w:val="FootnoteReference"/>
        </w:rPr>
        <w:footnoteRef/>
      </w:r>
      <w:r>
        <w:t xml:space="preserve"> </w:t>
      </w:r>
      <w:hyperlink r:id="rId3" w:history="1">
        <w:r w:rsidRPr="00A86669">
          <w:rPr>
            <w:rStyle w:val="Hyperlink"/>
          </w:rPr>
          <w:t>https://www.health.govt.nz/your-health/healthy-living/environmental-health/infectious-disease-prevention-and-control/workplace-infectious-disease-prevention</w:t>
        </w:r>
      </w:hyperlink>
      <w:r>
        <w:t xml:space="preserve"> </w:t>
      </w:r>
    </w:p>
  </w:footnote>
  <w:footnote w:id="4">
    <w:p w14:paraId="1F121508" w14:textId="675F21FC" w:rsidR="002E4C7C" w:rsidRDefault="002E4C7C">
      <w:pPr>
        <w:pStyle w:val="FootnoteText"/>
      </w:pPr>
      <w:r>
        <w:rPr>
          <w:rStyle w:val="FootnoteReference"/>
        </w:rPr>
        <w:footnoteRef/>
      </w:r>
      <w:r>
        <w:t xml:space="preserve"> </w:t>
      </w:r>
      <w:hyperlink r:id="rId4" w:history="1">
        <w:r w:rsidRPr="00A86669">
          <w:rPr>
            <w:rStyle w:val="Hyperlink"/>
          </w:rPr>
          <w:t>https://www.health.govt.nz/our-work/diseases-and-conditions/covid-19-novel-coronavirus/covid-19-health-advice-public/contact-tracing-covid-19/guidance-workplaces-have-case-covid-19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3FF3" w14:textId="77777777" w:rsidR="00B35E59" w:rsidRDefault="00D81648">
    <w:r>
      <w:rPr>
        <w:noProof/>
        <w:lang w:eastAsia="en-NZ"/>
      </w:rPr>
      <w:drawing>
        <wp:anchor distT="0" distB="0" distL="114300" distR="114300" simplePos="0" relativeHeight="251659264" behindDoc="0" locked="0" layoutInCell="1" allowOverlap="1" wp14:anchorId="7863BEEE" wp14:editId="25A0A846">
          <wp:simplePos x="0" y="0"/>
          <wp:positionH relativeFrom="page">
            <wp:align>left</wp:align>
          </wp:positionH>
          <wp:positionV relativeFrom="page">
            <wp:align>top</wp:align>
          </wp:positionV>
          <wp:extent cx="7560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1C7"/>
    <w:multiLevelType w:val="hybridMultilevel"/>
    <w:tmpl w:val="AE0A4866"/>
    <w:lvl w:ilvl="0" w:tplc="E18EA598">
      <w:start w:val="1"/>
      <w:numFmt w:val="decimal"/>
      <w:lvlText w:val="%1."/>
      <w:lvlJc w:val="left"/>
      <w:pPr>
        <w:ind w:left="720" w:hanging="36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627950"/>
    <w:multiLevelType w:val="hybridMultilevel"/>
    <w:tmpl w:val="4596122C"/>
    <w:lvl w:ilvl="0" w:tplc="B0124EB8">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4F03F2"/>
    <w:multiLevelType w:val="hybridMultilevel"/>
    <w:tmpl w:val="1AF8115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E4C39AC"/>
    <w:multiLevelType w:val="hybridMultilevel"/>
    <w:tmpl w:val="7A348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48"/>
    <w:rsid w:val="00007144"/>
    <w:rsid w:val="00057CA6"/>
    <w:rsid w:val="000646AF"/>
    <w:rsid w:val="00073EFE"/>
    <w:rsid w:val="000E2127"/>
    <w:rsid w:val="000E323E"/>
    <w:rsid w:val="00161587"/>
    <w:rsid w:val="001B3C2C"/>
    <w:rsid w:val="001D7363"/>
    <w:rsid w:val="00203EFE"/>
    <w:rsid w:val="00206049"/>
    <w:rsid w:val="0021567D"/>
    <w:rsid w:val="002A6E0A"/>
    <w:rsid w:val="002B282F"/>
    <w:rsid w:val="002C4918"/>
    <w:rsid w:val="002D0634"/>
    <w:rsid w:val="002E4C7C"/>
    <w:rsid w:val="002E6737"/>
    <w:rsid w:val="00397B4A"/>
    <w:rsid w:val="003D5604"/>
    <w:rsid w:val="003E1607"/>
    <w:rsid w:val="003F4BFC"/>
    <w:rsid w:val="00482A39"/>
    <w:rsid w:val="004A5244"/>
    <w:rsid w:val="004B7BBC"/>
    <w:rsid w:val="004E799B"/>
    <w:rsid w:val="00515C05"/>
    <w:rsid w:val="00545100"/>
    <w:rsid w:val="005D367C"/>
    <w:rsid w:val="00617E21"/>
    <w:rsid w:val="00661178"/>
    <w:rsid w:val="006960B6"/>
    <w:rsid w:val="006A416E"/>
    <w:rsid w:val="006B48D2"/>
    <w:rsid w:val="006F7785"/>
    <w:rsid w:val="00700B80"/>
    <w:rsid w:val="00721893"/>
    <w:rsid w:val="00755E33"/>
    <w:rsid w:val="00777DE6"/>
    <w:rsid w:val="007A3A8E"/>
    <w:rsid w:val="007C0C74"/>
    <w:rsid w:val="007E6A73"/>
    <w:rsid w:val="0080719D"/>
    <w:rsid w:val="00831953"/>
    <w:rsid w:val="00867FB4"/>
    <w:rsid w:val="00891E4D"/>
    <w:rsid w:val="0089246D"/>
    <w:rsid w:val="008938F6"/>
    <w:rsid w:val="008E7FA7"/>
    <w:rsid w:val="009B331F"/>
    <w:rsid w:val="009D0F1A"/>
    <w:rsid w:val="00A034BB"/>
    <w:rsid w:val="00A0364F"/>
    <w:rsid w:val="00A33181"/>
    <w:rsid w:val="00A965C3"/>
    <w:rsid w:val="00AB3F93"/>
    <w:rsid w:val="00B173D3"/>
    <w:rsid w:val="00B306E7"/>
    <w:rsid w:val="00B437F9"/>
    <w:rsid w:val="00B60323"/>
    <w:rsid w:val="00BC3F40"/>
    <w:rsid w:val="00BD2DEF"/>
    <w:rsid w:val="00BE36D6"/>
    <w:rsid w:val="00CC76ED"/>
    <w:rsid w:val="00CF5F9B"/>
    <w:rsid w:val="00D76AE8"/>
    <w:rsid w:val="00D81648"/>
    <w:rsid w:val="00D9368B"/>
    <w:rsid w:val="00DB392C"/>
    <w:rsid w:val="00DE69DF"/>
    <w:rsid w:val="00DF69B3"/>
    <w:rsid w:val="00F16DD7"/>
    <w:rsid w:val="00F505C3"/>
    <w:rsid w:val="00FD08EF"/>
    <w:rsid w:val="00FD3A39"/>
    <w:rsid w:val="00FD5D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A67C"/>
  <w15:chartTrackingRefBased/>
  <w15:docId w15:val="{B1BD42CA-CE6F-4ADA-AEFD-9C3AD800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48"/>
    <w:pPr>
      <w:spacing w:after="0" w:line="240" w:lineRule="auto"/>
    </w:pPr>
    <w:rPr>
      <w:rFonts w:ascii="Segoe UI" w:eastAsia="Times New Roman" w:hAnsi="Segoe UI" w:cs="Times New Roman"/>
      <w:sz w:val="21"/>
      <w:szCs w:val="20"/>
      <w:lang w:eastAsia="en-GB"/>
    </w:rPr>
  </w:style>
  <w:style w:type="paragraph" w:styleId="Heading2">
    <w:name w:val="heading 2"/>
    <w:basedOn w:val="Normal"/>
    <w:next w:val="Normal"/>
    <w:link w:val="Heading2Char"/>
    <w:uiPriority w:val="1"/>
    <w:qFormat/>
    <w:rsid w:val="00D81648"/>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D81648"/>
    <w:pPr>
      <w:keepNext/>
      <w:spacing w:before="240" w:after="120"/>
      <w:outlineLvl w:val="2"/>
    </w:pPr>
    <w:rPr>
      <w:color w:val="C85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81648"/>
    <w:rPr>
      <w:rFonts w:ascii="Segoe UI" w:eastAsia="Times New Roman" w:hAnsi="Segoe UI" w:cs="Times New Roman"/>
      <w:color w:val="404040" w:themeColor="text1" w:themeTint="BF"/>
      <w:spacing w:val="-5"/>
      <w:sz w:val="40"/>
      <w:szCs w:val="20"/>
      <w:lang w:eastAsia="en-GB"/>
    </w:rPr>
  </w:style>
  <w:style w:type="character" w:customStyle="1" w:styleId="Heading3Char">
    <w:name w:val="Heading 3 Char"/>
    <w:basedOn w:val="DefaultParagraphFont"/>
    <w:link w:val="Heading3"/>
    <w:uiPriority w:val="1"/>
    <w:rsid w:val="00D81648"/>
    <w:rPr>
      <w:rFonts w:ascii="Segoe UI" w:eastAsia="Times New Roman" w:hAnsi="Segoe UI" w:cs="Times New Roman"/>
      <w:color w:val="C85000"/>
      <w:sz w:val="28"/>
      <w:szCs w:val="20"/>
      <w:lang w:eastAsia="en-GB"/>
    </w:rPr>
  </w:style>
  <w:style w:type="paragraph" w:styleId="FootnoteText">
    <w:name w:val="footnote text"/>
    <w:basedOn w:val="Normal"/>
    <w:link w:val="FootnoteTextChar"/>
    <w:uiPriority w:val="99"/>
    <w:rsid w:val="00D81648"/>
    <w:pPr>
      <w:spacing w:before="60" w:line="228" w:lineRule="auto"/>
      <w:ind w:left="284" w:hanging="284"/>
    </w:pPr>
    <w:rPr>
      <w:sz w:val="17"/>
    </w:rPr>
  </w:style>
  <w:style w:type="character" w:customStyle="1" w:styleId="FootnoteTextChar">
    <w:name w:val="Footnote Text Char"/>
    <w:basedOn w:val="DefaultParagraphFont"/>
    <w:link w:val="FootnoteText"/>
    <w:uiPriority w:val="99"/>
    <w:rsid w:val="00D81648"/>
    <w:rPr>
      <w:rFonts w:ascii="Segoe UI" w:eastAsia="Times New Roman" w:hAnsi="Segoe UI" w:cs="Times New Roman"/>
      <w:sz w:val="17"/>
      <w:szCs w:val="20"/>
      <w:lang w:eastAsia="en-GB"/>
    </w:rPr>
  </w:style>
  <w:style w:type="character" w:styleId="FootnoteReference">
    <w:name w:val="footnote reference"/>
    <w:uiPriority w:val="99"/>
    <w:rsid w:val="00D81648"/>
    <w:rPr>
      <w:vertAlign w:val="superscript"/>
    </w:rPr>
  </w:style>
  <w:style w:type="paragraph" w:styleId="ListParagraph">
    <w:name w:val="List Paragraph"/>
    <w:basedOn w:val="Normal"/>
    <w:uiPriority w:val="34"/>
    <w:qFormat/>
    <w:rsid w:val="00D81648"/>
    <w:pPr>
      <w:ind w:left="720"/>
      <w:contextualSpacing/>
    </w:pPr>
  </w:style>
  <w:style w:type="character" w:styleId="CommentReference">
    <w:name w:val="annotation reference"/>
    <w:basedOn w:val="DefaultParagraphFont"/>
    <w:uiPriority w:val="99"/>
    <w:semiHidden/>
    <w:unhideWhenUsed/>
    <w:rsid w:val="00D81648"/>
    <w:rPr>
      <w:sz w:val="16"/>
      <w:szCs w:val="16"/>
    </w:rPr>
  </w:style>
  <w:style w:type="paragraph" w:styleId="CommentText">
    <w:name w:val="annotation text"/>
    <w:basedOn w:val="Normal"/>
    <w:link w:val="CommentTextChar"/>
    <w:uiPriority w:val="99"/>
    <w:semiHidden/>
    <w:unhideWhenUsed/>
    <w:rsid w:val="00D81648"/>
    <w:rPr>
      <w:sz w:val="20"/>
    </w:rPr>
  </w:style>
  <w:style w:type="character" w:customStyle="1" w:styleId="CommentTextChar">
    <w:name w:val="Comment Text Char"/>
    <w:basedOn w:val="DefaultParagraphFont"/>
    <w:link w:val="CommentText"/>
    <w:uiPriority w:val="99"/>
    <w:semiHidden/>
    <w:rsid w:val="00D81648"/>
    <w:rPr>
      <w:rFonts w:ascii="Segoe UI" w:eastAsia="Times New Roman" w:hAnsi="Segoe UI" w:cs="Times New Roman"/>
      <w:sz w:val="20"/>
      <w:szCs w:val="20"/>
      <w:lang w:eastAsia="en-GB"/>
    </w:rPr>
  </w:style>
  <w:style w:type="character" w:customStyle="1" w:styleId="normaltextrun">
    <w:name w:val="normaltextrun"/>
    <w:basedOn w:val="DefaultParagraphFont"/>
    <w:rsid w:val="00D81648"/>
  </w:style>
  <w:style w:type="paragraph" w:styleId="CommentSubject">
    <w:name w:val="annotation subject"/>
    <w:basedOn w:val="CommentText"/>
    <w:next w:val="CommentText"/>
    <w:link w:val="CommentSubjectChar"/>
    <w:uiPriority w:val="99"/>
    <w:semiHidden/>
    <w:unhideWhenUsed/>
    <w:rsid w:val="003F4BFC"/>
    <w:rPr>
      <w:b/>
      <w:bCs/>
    </w:rPr>
  </w:style>
  <w:style w:type="character" w:customStyle="1" w:styleId="CommentSubjectChar">
    <w:name w:val="Comment Subject Char"/>
    <w:basedOn w:val="CommentTextChar"/>
    <w:link w:val="CommentSubject"/>
    <w:uiPriority w:val="99"/>
    <w:semiHidden/>
    <w:rsid w:val="003F4BFC"/>
    <w:rPr>
      <w:rFonts w:ascii="Segoe UI" w:eastAsia="Times New Roman" w:hAnsi="Segoe UI" w:cs="Times New Roman"/>
      <w:b/>
      <w:bCs/>
      <w:sz w:val="20"/>
      <w:szCs w:val="20"/>
      <w:lang w:eastAsia="en-GB"/>
    </w:rPr>
  </w:style>
  <w:style w:type="character" w:styleId="Hyperlink">
    <w:name w:val="Hyperlink"/>
    <w:basedOn w:val="DefaultParagraphFont"/>
    <w:uiPriority w:val="99"/>
    <w:unhideWhenUsed/>
    <w:rsid w:val="00A0364F"/>
    <w:rPr>
      <w:color w:val="0563C1" w:themeColor="hyperlink"/>
      <w:u w:val="single"/>
    </w:rPr>
  </w:style>
  <w:style w:type="character" w:styleId="UnresolvedMention">
    <w:name w:val="Unresolved Mention"/>
    <w:basedOn w:val="DefaultParagraphFont"/>
    <w:uiPriority w:val="99"/>
    <w:semiHidden/>
    <w:unhideWhenUsed/>
    <w:rsid w:val="00A0364F"/>
    <w:rPr>
      <w:color w:val="605E5C"/>
      <w:shd w:val="clear" w:color="auto" w:fill="E1DFDD"/>
    </w:rPr>
  </w:style>
  <w:style w:type="paragraph" w:styleId="Header">
    <w:name w:val="header"/>
    <w:basedOn w:val="Normal"/>
    <w:link w:val="HeaderChar"/>
    <w:uiPriority w:val="99"/>
    <w:unhideWhenUsed/>
    <w:rsid w:val="00DE69DF"/>
    <w:pPr>
      <w:tabs>
        <w:tab w:val="center" w:pos="4513"/>
        <w:tab w:val="right" w:pos="9026"/>
      </w:tabs>
    </w:pPr>
  </w:style>
  <w:style w:type="character" w:customStyle="1" w:styleId="HeaderChar">
    <w:name w:val="Header Char"/>
    <w:basedOn w:val="DefaultParagraphFont"/>
    <w:link w:val="Header"/>
    <w:uiPriority w:val="99"/>
    <w:rsid w:val="00DE69DF"/>
    <w:rPr>
      <w:rFonts w:ascii="Segoe UI" w:eastAsia="Times New Roman" w:hAnsi="Segoe UI" w:cs="Times New Roman"/>
      <w:sz w:val="21"/>
      <w:szCs w:val="20"/>
      <w:lang w:eastAsia="en-GB"/>
    </w:rPr>
  </w:style>
  <w:style w:type="paragraph" w:styleId="Footer">
    <w:name w:val="footer"/>
    <w:basedOn w:val="Normal"/>
    <w:link w:val="FooterChar"/>
    <w:uiPriority w:val="99"/>
    <w:unhideWhenUsed/>
    <w:rsid w:val="00DE69DF"/>
    <w:pPr>
      <w:tabs>
        <w:tab w:val="center" w:pos="4513"/>
        <w:tab w:val="right" w:pos="9026"/>
      </w:tabs>
    </w:pPr>
  </w:style>
  <w:style w:type="character" w:customStyle="1" w:styleId="FooterChar">
    <w:name w:val="Footer Char"/>
    <w:basedOn w:val="DefaultParagraphFont"/>
    <w:link w:val="Footer"/>
    <w:uiPriority w:val="99"/>
    <w:rsid w:val="00DE69DF"/>
    <w:rPr>
      <w:rFonts w:ascii="Segoe UI" w:eastAsia="Times New Roman" w:hAnsi="Segoe UI" w:cs="Times New Roman"/>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information-specific-audiences/covid-19-higher-risk-peo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your-health/healthy-living/environmental-health/infectious-disease-prevention-and-control/workplace-infectious-disease-prevention" TargetMode="External"/><Relationship Id="rId2" Type="http://schemas.openxmlformats.org/officeDocument/2006/relationships/hyperlink" Target="https://www.legislation.govt.nz/regulation/public/2021/0386/latest/whole.html" TargetMode="External"/><Relationship Id="rId1" Type="http://schemas.openxmlformats.org/officeDocument/2006/relationships/hyperlink" Target="https://www.health.govt.nz/our-work/diseases-and-conditions/COVID-19-novel-coronavirus/COVID-19-information-specific-audiences/COVID-19-personal-protective-equipment-central-supply/personal-protective-equipment-use-health-and-disability-care-settings" TargetMode="External"/><Relationship Id="rId4" Type="http://schemas.openxmlformats.org/officeDocument/2006/relationships/hyperlink" Target="https://www.health.govt.nz/our-work/diseases-and-conditions/covid-19-novel-coronavirus/covid-19-health-advice-public/contact-tracing-covid-19/guidance-workplaces-have-case-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13D2-965B-49B3-8421-D1F5543E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position statement on pre-consultation testing of unvaccinated individuals in healthcare settings</dc:title>
  <dc:subject/>
  <dc:creator>Ministry of Health</dc:creator>
  <cp:keywords/>
  <dc:description/>
  <cp:lastModifiedBy>Allan Potter</cp:lastModifiedBy>
  <cp:revision>3</cp:revision>
  <dcterms:created xsi:type="dcterms:W3CDTF">2022-02-09T21:48:00Z</dcterms:created>
  <dcterms:modified xsi:type="dcterms:W3CDTF">2022-02-09T22:15:00Z</dcterms:modified>
</cp:coreProperties>
</file>