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63AC" w14:textId="11CCCE85" w:rsidR="00726730" w:rsidRPr="00071734" w:rsidRDefault="00726730" w:rsidP="00484304">
      <w:pPr>
        <w:pStyle w:val="Heading2"/>
        <w:spacing w:after="0"/>
        <w:rPr>
          <w:rFonts w:eastAsiaTheme="majorEastAsia"/>
        </w:rPr>
      </w:pPr>
      <w:r w:rsidRPr="41B6B4E8">
        <w:rPr>
          <w:rFonts w:eastAsiaTheme="majorEastAsia"/>
        </w:rPr>
        <w:t xml:space="preserve">Therapeutics Technical Advisory Group | </w:t>
      </w:r>
      <w:proofErr w:type="spellStart"/>
      <w:r w:rsidRPr="41B6B4E8">
        <w:rPr>
          <w:rFonts w:eastAsiaTheme="majorEastAsia"/>
        </w:rPr>
        <w:t>Te</w:t>
      </w:r>
      <w:proofErr w:type="spellEnd"/>
      <w:r w:rsidRPr="41B6B4E8">
        <w:rPr>
          <w:rFonts w:eastAsiaTheme="majorEastAsia"/>
        </w:rPr>
        <w:t xml:space="preserve"> </w:t>
      </w:r>
      <w:proofErr w:type="spellStart"/>
      <w:r w:rsidRPr="41B6B4E8">
        <w:rPr>
          <w:rFonts w:eastAsiaTheme="majorEastAsia"/>
        </w:rPr>
        <w:t>Rōpū</w:t>
      </w:r>
      <w:proofErr w:type="spellEnd"/>
      <w:r w:rsidRPr="41B6B4E8">
        <w:rPr>
          <w:rFonts w:eastAsiaTheme="majorEastAsia"/>
        </w:rPr>
        <w:t xml:space="preserve"> </w:t>
      </w:r>
      <w:proofErr w:type="spellStart"/>
      <w:r w:rsidRPr="41B6B4E8">
        <w:rPr>
          <w:rFonts w:eastAsiaTheme="majorEastAsia"/>
        </w:rPr>
        <w:t>Haumanu</w:t>
      </w:r>
      <w:proofErr w:type="spellEnd"/>
      <w:r w:rsidRPr="41B6B4E8">
        <w:rPr>
          <w:rFonts w:eastAsiaTheme="majorEastAsia"/>
        </w:rPr>
        <w:t xml:space="preserve"> Kowheori-19</w:t>
      </w:r>
    </w:p>
    <w:p w14:paraId="699CA0A4" w14:textId="439DB80E" w:rsidR="00726730" w:rsidRPr="000B31CC" w:rsidRDefault="00726730" w:rsidP="00484304">
      <w:pPr>
        <w:pStyle w:val="Heading2"/>
        <w:spacing w:before="0"/>
        <w:rPr>
          <w:color w:val="auto"/>
        </w:rPr>
      </w:pPr>
      <w:r>
        <w:t>Update for health professionals:</w:t>
      </w:r>
      <w:r w:rsidR="007E222A">
        <w:t xml:space="preserve"> </w:t>
      </w:r>
      <w:proofErr w:type="spellStart"/>
      <w:r w:rsidR="00695D42">
        <w:t>m</w:t>
      </w:r>
      <w:r w:rsidR="001D00C6">
        <w:t>olnuparivir</w:t>
      </w:r>
      <w:proofErr w:type="spellEnd"/>
      <w:r w:rsidR="001D00C6">
        <w:t xml:space="preserve"> </w:t>
      </w:r>
      <w:r w:rsidR="00695D42">
        <w:t xml:space="preserve">is </w:t>
      </w:r>
      <w:r w:rsidR="001D00C6">
        <w:t xml:space="preserve">no longer recommended by Therapeutics TAG due to </w:t>
      </w:r>
      <w:r w:rsidR="009E3E9B">
        <w:t>lack of</w:t>
      </w:r>
      <w:r w:rsidR="004A6784">
        <w:t xml:space="preserve"> clinical benefit  </w:t>
      </w:r>
    </w:p>
    <w:p w14:paraId="21EF5C0D" w14:textId="4087C507" w:rsidR="00726730" w:rsidRPr="00071734" w:rsidRDefault="00726730" w:rsidP="00910E3B">
      <w:pPr>
        <w:pStyle w:val="Heading5"/>
        <w:jc w:val="right"/>
      </w:pPr>
      <w:r w:rsidRPr="00071734">
        <w:t xml:space="preserve">Date: </w:t>
      </w:r>
      <w:r w:rsidR="00967C77">
        <w:t>27</w:t>
      </w:r>
      <w:r>
        <w:t xml:space="preserve"> February 202</w:t>
      </w:r>
      <w:r w:rsidR="004A6784">
        <w:t>3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726730" w:rsidRPr="00926BF6" w14:paraId="1D27F1B8" w14:textId="77777777" w:rsidTr="00F74934">
        <w:tc>
          <w:tcPr>
            <w:tcW w:w="9923" w:type="dxa"/>
            <w:shd w:val="clear" w:color="auto" w:fill="F2F2F2" w:themeFill="background1" w:themeFillShade="F2"/>
          </w:tcPr>
          <w:p w14:paraId="76AB1A96" w14:textId="799C58E2" w:rsidR="00726730" w:rsidRPr="00926BF6" w:rsidRDefault="00726730" w:rsidP="00F74934">
            <w:pPr>
              <w:pStyle w:val="BodyText"/>
              <w:spacing w:before="120"/>
            </w:pPr>
            <w:r w:rsidRPr="00926BF6">
              <w:t>The Therapeutics Technical Advisory Group (</w:t>
            </w:r>
            <w:r>
              <w:t xml:space="preserve">Therapeutics </w:t>
            </w:r>
            <w:r w:rsidRPr="00926BF6">
              <w:t xml:space="preserve">TAG) was </w:t>
            </w:r>
            <w:r>
              <w:t>established</w:t>
            </w:r>
            <w:r w:rsidRPr="00926BF6">
              <w:t xml:space="preserve"> by the Ministry of Health in August 2021 to provide expert advice on existing and emerging medicines for use in the management of COVID-19.</w:t>
            </w:r>
          </w:p>
        </w:tc>
      </w:tr>
    </w:tbl>
    <w:p w14:paraId="44A0AF2F" w14:textId="77777777" w:rsidR="00484304" w:rsidRPr="00484304" w:rsidRDefault="00484304" w:rsidP="003767BF">
      <w:pPr>
        <w:spacing w:after="160" w:line="259" w:lineRule="auto"/>
        <w:rPr>
          <w:sz w:val="4"/>
          <w:szCs w:val="4"/>
        </w:rPr>
      </w:pPr>
    </w:p>
    <w:p w14:paraId="1251CDB6" w14:textId="02263799" w:rsidR="0018042F" w:rsidRPr="003767BF" w:rsidRDefault="0018042F" w:rsidP="00CD460E">
      <w:pPr>
        <w:pStyle w:val="Heading4"/>
        <w:numPr>
          <w:ilvl w:val="0"/>
          <w:numId w:val="0"/>
        </w:numPr>
      </w:pPr>
      <w:proofErr w:type="spellStart"/>
      <w:r>
        <w:rPr>
          <w:bCs/>
        </w:rPr>
        <w:t>Clincal</w:t>
      </w:r>
      <w:proofErr w:type="spellEnd"/>
      <w:r>
        <w:rPr>
          <w:bCs/>
        </w:rPr>
        <w:t xml:space="preserve"> evidence </w:t>
      </w:r>
      <w:r w:rsidR="00DD2F03">
        <w:t>suggesting lack of effectiveness</w:t>
      </w:r>
    </w:p>
    <w:p w14:paraId="64E00517" w14:textId="5AA35DB0" w:rsidR="00137501" w:rsidRDefault="00BD7C82" w:rsidP="00125AD5">
      <w:pPr>
        <w:pStyle w:val="BodyText"/>
        <w:spacing w:before="120"/>
      </w:pPr>
      <w:r>
        <w:t>T</w:t>
      </w:r>
      <w:r w:rsidR="00682D54">
        <w:t>he initial</w:t>
      </w:r>
      <w:r>
        <w:t xml:space="preserve"> evidence used to support the approval and recommendation to</w:t>
      </w:r>
      <w:r w:rsidR="00682D54">
        <w:t xml:space="preserve"> use </w:t>
      </w:r>
      <w:proofErr w:type="spellStart"/>
      <w:r w:rsidR="006B0F23">
        <w:t>m</w:t>
      </w:r>
      <w:r w:rsidR="006153DF" w:rsidRPr="00040A3F">
        <w:t>olnuparivir</w:t>
      </w:r>
      <w:proofErr w:type="spellEnd"/>
      <w:r w:rsidR="006153DF" w:rsidRPr="00040A3F">
        <w:t xml:space="preserve"> </w:t>
      </w:r>
      <w:r w:rsidR="008D4706">
        <w:t>(</w:t>
      </w:r>
      <w:proofErr w:type="spellStart"/>
      <w:r w:rsidR="008D4706" w:rsidRPr="008D4706">
        <w:t>Lagevrio</w:t>
      </w:r>
      <w:proofErr w:type="spellEnd"/>
      <w:r w:rsidR="008D4706" w:rsidRPr="008D4706">
        <w:t>®</w:t>
      </w:r>
      <w:r w:rsidR="008D4706">
        <w:t>)</w:t>
      </w:r>
      <w:r>
        <w:t xml:space="preserve"> </w:t>
      </w:r>
      <w:r w:rsidR="006153DF" w:rsidRPr="00040A3F">
        <w:t xml:space="preserve">was </w:t>
      </w:r>
      <w:r w:rsidR="001F7665">
        <w:t>completed in a</w:t>
      </w:r>
      <w:r w:rsidR="005176B6">
        <w:t xml:space="preserve">n early </w:t>
      </w:r>
      <w:r w:rsidR="001F7665">
        <w:t>period</w:t>
      </w:r>
      <w:r w:rsidR="005176B6">
        <w:t xml:space="preserve"> of the pan</w:t>
      </w:r>
      <w:r w:rsidR="00B8049A">
        <w:t>de</w:t>
      </w:r>
      <w:r w:rsidR="005176B6">
        <w:t>mic</w:t>
      </w:r>
      <w:r w:rsidR="008C4EFC">
        <w:t xml:space="preserve">. This was </w:t>
      </w:r>
      <w:r w:rsidR="000A39ED">
        <w:t>before</w:t>
      </w:r>
      <w:r w:rsidR="008C4EFC">
        <w:t xml:space="preserve"> to the emergence of</w:t>
      </w:r>
      <w:r w:rsidR="000353F6">
        <w:t xml:space="preserve"> </w:t>
      </w:r>
      <w:proofErr w:type="spellStart"/>
      <w:r w:rsidR="000353F6">
        <w:t>Omicon</w:t>
      </w:r>
      <w:proofErr w:type="spellEnd"/>
      <w:r w:rsidR="000353F6">
        <w:t xml:space="preserve"> </w:t>
      </w:r>
      <w:r w:rsidR="008C4EFC">
        <w:t xml:space="preserve">and its </w:t>
      </w:r>
      <w:proofErr w:type="spellStart"/>
      <w:r w:rsidR="008C4EFC">
        <w:t>sublin</w:t>
      </w:r>
      <w:r w:rsidR="00B8049A">
        <w:t>e</w:t>
      </w:r>
      <w:r w:rsidR="008C4EFC">
        <w:t>ages</w:t>
      </w:r>
      <w:proofErr w:type="spellEnd"/>
      <w:r w:rsidR="00B8049A">
        <w:t xml:space="preserve"> and </w:t>
      </w:r>
      <w:r w:rsidR="001F7665">
        <w:t>prior to</w:t>
      </w:r>
      <w:r w:rsidR="004C7A2F">
        <w:t xml:space="preserve"> the development </w:t>
      </w:r>
      <w:r w:rsidR="00A602B6">
        <w:t xml:space="preserve">of </w:t>
      </w:r>
      <w:r w:rsidR="004C7A2F">
        <w:t>and widespread up</w:t>
      </w:r>
      <w:r w:rsidR="001F7665">
        <w:t>take of vaccines.</w:t>
      </w:r>
      <w:r w:rsidR="006153DF" w:rsidRPr="00040A3F">
        <w:t xml:space="preserve"> </w:t>
      </w:r>
      <w:r w:rsidR="00125AD5">
        <w:t>T</w:t>
      </w:r>
      <w:r w:rsidR="005176B6">
        <w:t>he clinical trial</w:t>
      </w:r>
      <w:r w:rsidR="000A39ED">
        <w:t>,</w:t>
      </w:r>
      <w:r w:rsidR="005176B6">
        <w:t xml:space="preserve"> </w:t>
      </w:r>
      <w:proofErr w:type="spellStart"/>
      <w:r w:rsidR="005176B6">
        <w:t>MOVe</w:t>
      </w:r>
      <w:proofErr w:type="spellEnd"/>
      <w:r w:rsidR="005176B6">
        <w:t>-OUT</w:t>
      </w:r>
      <w:r w:rsidR="000A39ED">
        <w:t>,</w:t>
      </w:r>
      <w:r w:rsidR="005176B6">
        <w:t xml:space="preserve"> </w:t>
      </w:r>
      <w:r w:rsidR="00125AD5">
        <w:t>reported</w:t>
      </w:r>
      <w:r w:rsidR="00125AD5" w:rsidRPr="00040A3F">
        <w:t xml:space="preserve"> </w:t>
      </w:r>
      <w:r w:rsidR="00343F44" w:rsidRPr="00040A3F">
        <w:t xml:space="preserve">that </w:t>
      </w:r>
      <w:r w:rsidR="003512DE" w:rsidRPr="00040A3F">
        <w:t>m</w:t>
      </w:r>
      <w:r w:rsidR="001B5A1D" w:rsidRPr="00040A3F">
        <w:t>olnupiravir</w:t>
      </w:r>
      <w:r w:rsidR="002B3E1C" w:rsidRPr="00040A3F">
        <w:t xml:space="preserve"> treatment</w:t>
      </w:r>
      <w:r w:rsidR="001B5A1D" w:rsidRPr="00040A3F">
        <w:t xml:space="preserve"> </w:t>
      </w:r>
      <w:r w:rsidR="002B3E1C" w:rsidRPr="00040A3F">
        <w:t xml:space="preserve">had </w:t>
      </w:r>
      <w:r w:rsidR="001B5A1D" w:rsidRPr="00040A3F">
        <w:t xml:space="preserve">a </w:t>
      </w:r>
      <w:r w:rsidR="00421584">
        <w:t>3</w:t>
      </w:r>
      <w:r w:rsidR="001B5A1D" w:rsidRPr="00040A3F">
        <w:t xml:space="preserve">0% reduction of </w:t>
      </w:r>
      <w:proofErr w:type="spellStart"/>
      <w:r w:rsidR="001B5A1D" w:rsidRPr="00040A3F">
        <w:t>hospitalisations</w:t>
      </w:r>
      <w:proofErr w:type="spellEnd"/>
      <w:r w:rsidR="001B5A1D" w:rsidRPr="00040A3F">
        <w:t xml:space="preserve"> and deaths compared to placebo in unvaccinated adults during the Delta period.</w:t>
      </w:r>
      <w:r w:rsidR="00315C75" w:rsidRPr="00040A3F">
        <w:t xml:space="preserve"> </w:t>
      </w:r>
      <w:r w:rsidR="00B005CD" w:rsidRPr="00040A3F">
        <w:fldChar w:fldCharType="begin"/>
      </w:r>
      <w:r w:rsidR="00B51E24">
        <w:instrText xml:space="preserve"> ADDIN EN.CITE &lt;EndNote&gt;&lt;Cite&gt;&lt;Author&gt;Jayk Bernal&lt;/Author&gt;&lt;Year&gt;2022&lt;/Year&gt;&lt;RecNum&gt;5272&lt;/RecNum&gt;&lt;DisplayText&gt;[1]&lt;/DisplayText&gt;&lt;record&gt;&lt;rec-number&gt;5272&lt;/rec-number&gt;&lt;foreign-keys&gt;&lt;key app="EN" db-id="t9055fx0pep2f9edzt2ppp2kr2x90zsw0fe2" timestamp="1661891012" guid="c460cf27-1b8c-42aa-a71f-fbcfc3a9ab3f"&gt;5272&lt;/key&gt;&lt;/foreign-keys&gt;&lt;ref-type name="Web Page"&gt;12&lt;/ref-type&gt;&lt;contributors&gt;&lt;authors&gt;&lt;author&gt;Jayk Bernal, Angélica&lt;/author&gt;&lt;author&gt;Gomes da Silva, Monica M.&lt;/author&gt;&lt;author&gt;Musungaie, Dany B.&lt;/author&gt;&lt;author&gt;Kovalchuk, Evgeniy&lt;/author&gt;&lt;author&gt;Gonzalez, Antonio&lt;/author&gt;&lt;author&gt;Delos Reyes, Virginia&lt;/author&gt;&lt;author&gt;Martín-Quirós, Alejandro&lt;/author&gt;&lt;author&gt;Caraco, Yoseph&lt;/author&gt;&lt;author&gt;Williams-Diaz, Angela&lt;/author&gt;&lt;author&gt;Brown, Michelle L.&lt;/author&gt;&lt;author&gt;Du, Jiejun&lt;/author&gt;&lt;author&gt;Pedley, Alison&lt;/author&gt;&lt;author&gt;Assaid, Christopher&lt;/author&gt;&lt;author&gt;Strizki, Julie&lt;/author&gt;&lt;author&gt;Grobler, Jay A.&lt;/author&gt;&lt;author&gt;Shamsuddin, Hala H.&lt;/author&gt;&lt;author&gt;Tipping, Robert&lt;/author&gt;&lt;author&gt;Wan, Hong&lt;/author&gt;&lt;author&gt;Paschke, Amanda&lt;/author&gt;&lt;author&gt;Butterton, Joan R.&lt;/author&gt;&lt;author&gt;Johnson, Matthew G.&lt;/author&gt;&lt;author&gt;De Anda, Carisa&lt;/author&gt;&lt;/authors&gt;&lt;/contributors&gt;&lt;titles&gt;&lt;title&gt;Molnupiravir for Oral Treatment of Covid-19 in Nonhospitalized Patients&lt;/title&gt;&lt;secondary-title&gt;New England Journal of Medicine&lt;/secondary-title&gt;&lt;/titles&gt;&lt;periodical&gt;&lt;full-title&gt;New England Journal of Medicine&lt;/full-title&gt;&lt;/periodical&gt;&lt;pages&gt;509-520&lt;/pages&gt;&lt;volume&gt;386&lt;/volume&gt;&lt;number&gt;6&lt;/number&gt;&lt;dates&gt;&lt;year&gt;2022&lt;/year&gt;&lt;/dates&gt;&lt;accession-num&gt;34914868&lt;/accession-num&gt;&lt;urls&gt;&lt;related-urls&gt;&lt;url&gt;https://www.nejm.org/doi/full/10.1056/NEJMoa2116044&lt;/url&gt;&lt;/related-urls&gt;&lt;/urls&gt;&lt;electronic-resource-num&gt;10.1056/NEJMoa2116044&lt;/electronic-resource-num&gt;&lt;/record&gt;&lt;/Cite&gt;&lt;/EndNote&gt;</w:instrText>
      </w:r>
      <w:r w:rsidR="00B005CD" w:rsidRPr="00040A3F">
        <w:fldChar w:fldCharType="separate"/>
      </w:r>
      <w:r w:rsidR="00B51E24">
        <w:rPr>
          <w:noProof/>
        </w:rPr>
        <w:t>[1]</w:t>
      </w:r>
      <w:r w:rsidR="00B005CD" w:rsidRPr="00040A3F">
        <w:fldChar w:fldCharType="end"/>
      </w:r>
    </w:p>
    <w:p w14:paraId="6BD546E9" w14:textId="41E00EF8" w:rsidR="00125AD5" w:rsidRDefault="00B337DE" w:rsidP="00125AD5">
      <w:pPr>
        <w:pStyle w:val="BodyText"/>
        <w:spacing w:before="120"/>
      </w:pPr>
      <w:r>
        <w:t>T</w:t>
      </w:r>
      <w:r w:rsidR="00125AD5">
        <w:t>he clinical evidence supporting the use of alternative oral antiviral Paxlovid (nirmatrelvir-ritonavir) reported a considerably greater effectiveness then evidence for molnupi</w:t>
      </w:r>
      <w:r w:rsidR="00B72DAD">
        <w:t>ra</w:t>
      </w:r>
      <w:r w:rsidR="00125AD5">
        <w:t>vir.</w:t>
      </w:r>
      <w:r w:rsidR="0018495E" w:rsidRPr="0018495E">
        <w:t xml:space="preserve"> </w:t>
      </w:r>
      <w:r w:rsidR="0018495E">
        <w:t>Paxlovid has always been the first-line antiviral for the treatment of COVID-19, with molnupiravir an alternative option for patients that cannot take Paxlovid due to contraindications.</w:t>
      </w:r>
      <w:r w:rsidR="00125AD5">
        <w:t xml:space="preserve"> Remdesivir also showed greater effectiveness than </w:t>
      </w:r>
      <w:r w:rsidR="001D7C34" w:rsidRPr="00040A3F">
        <w:t>molnupiravir</w:t>
      </w:r>
      <w:r w:rsidR="00125AD5">
        <w:t xml:space="preserve">, however </w:t>
      </w:r>
      <w:r w:rsidR="00B72DAD">
        <w:t>has challenges with administration as it is an IV antiviral.</w:t>
      </w:r>
      <w:r w:rsidR="00125AD5">
        <w:t xml:space="preserve"> </w:t>
      </w:r>
      <w:r w:rsidR="009E36C3">
        <w:t>As such,</w:t>
      </w:r>
      <w:r w:rsidR="00137501">
        <w:t xml:space="preserve"> </w:t>
      </w:r>
      <w:proofErr w:type="spellStart"/>
      <w:r w:rsidR="00137501">
        <w:t>molnuparivir</w:t>
      </w:r>
      <w:proofErr w:type="spellEnd"/>
      <w:r w:rsidR="00137501">
        <w:t xml:space="preserve"> has been previously </w:t>
      </w:r>
      <w:r w:rsidR="0018495E">
        <w:t xml:space="preserve">recommended as a second-line or third-line </w:t>
      </w:r>
      <w:r w:rsidR="000054C9">
        <w:t>option</w:t>
      </w:r>
      <w:r w:rsidR="00B72DAD">
        <w:t xml:space="preserve"> for the treatment of COVID-19. </w:t>
      </w:r>
    </w:p>
    <w:p w14:paraId="3464B7B7" w14:textId="105330B5" w:rsidR="007466B5" w:rsidRPr="00B51E24" w:rsidRDefault="005C5416" w:rsidP="00040A3F">
      <w:pPr>
        <w:pStyle w:val="BodyText"/>
        <w:spacing w:before="120"/>
      </w:pPr>
      <w:r>
        <w:t>More recently, a large</w:t>
      </w:r>
      <w:r w:rsidR="00B80DBF">
        <w:t xml:space="preserve"> scale, open-label trial</w:t>
      </w:r>
      <w:r w:rsidRPr="00040A3F">
        <w:t xml:space="preserve"> </w:t>
      </w:r>
      <w:r w:rsidR="00B80DBF">
        <w:t>(</w:t>
      </w:r>
      <w:r w:rsidRPr="00040A3F">
        <w:t>PANORAMIC</w:t>
      </w:r>
      <w:r w:rsidR="00B80DBF">
        <w:t>),</w:t>
      </w:r>
      <w:r>
        <w:t xml:space="preserve"> </w:t>
      </w:r>
      <w:r w:rsidR="00094D12">
        <w:t xml:space="preserve">did not report a reduction in </w:t>
      </w:r>
      <w:proofErr w:type="spellStart"/>
      <w:r w:rsidR="00094D12">
        <w:t>hospitali</w:t>
      </w:r>
      <w:r w:rsidR="00B72DAD">
        <w:t>s</w:t>
      </w:r>
      <w:r w:rsidR="00094D12">
        <w:t>ation</w:t>
      </w:r>
      <w:proofErr w:type="spellEnd"/>
      <w:r w:rsidR="00094D12">
        <w:t xml:space="preserve"> or mortality from </w:t>
      </w:r>
      <w:proofErr w:type="spellStart"/>
      <w:r w:rsidR="00094D12">
        <w:t>molnuparivir</w:t>
      </w:r>
      <w:proofErr w:type="spellEnd"/>
      <w:r w:rsidR="00B72DAD">
        <w:t xml:space="preserve"> and</w:t>
      </w:r>
      <w:r w:rsidR="00094D12">
        <w:t xml:space="preserve"> </w:t>
      </w:r>
      <w:r>
        <w:t xml:space="preserve">provided evidence that suggests a lack of clinical effectiveness in a more highly vaccinated population </w:t>
      </w:r>
      <w:r w:rsidR="00B72DAD">
        <w:t xml:space="preserve">and </w:t>
      </w:r>
      <w:r>
        <w:t>against Omicron va</w:t>
      </w:r>
      <w:r w:rsidR="00B72DAD">
        <w:t>riants</w:t>
      </w:r>
      <w:r>
        <w:t>.</w:t>
      </w:r>
      <w:r w:rsidRPr="00F73067">
        <w:t xml:space="preserve"> </w:t>
      </w:r>
      <w:r w:rsidRPr="00F73067">
        <w:fldChar w:fldCharType="begin"/>
      </w:r>
      <w:r w:rsidR="00B51E24">
        <w:instrText xml:space="preserve"> ADDIN EN.CITE &lt;EndNote&gt;&lt;Cite&gt;&lt;Year&gt;2022&lt;/Year&gt;&lt;RecNum&gt;5559&lt;/RecNum&gt;&lt;DisplayText&gt;[2]&lt;/DisplayText&gt;&lt;record&gt;&lt;rec-number&gt;5559&lt;/rec-number&gt;&lt;foreign-keys&gt;&lt;key app="EN" db-id="t9055fx0pep2f9edzt2ppp2kr2x90zsw0fe2" timestamp="1673909641"&gt;5559&lt;/key&gt;&lt;/foreign-keys&gt;&lt;ref-type name="Web Page"&gt;12&lt;/ref-type&gt;&lt;contributors&gt;&lt;/contributors&gt;&lt;titles&gt;&lt;title&gt;Molnupiravir plus usual care versus usual care alone as early treatment for adults with COVID-19 at increased risk of adverse outcomes (PANORAMIC): an open-label, platform-adaptive randomised controlled trial&lt;/title&gt;&lt;/titles&gt;&lt;dates&gt;&lt;year&gt;2022&lt;/year&gt;&lt;pub-dates&gt;&lt;date&gt;22 December 2022 &lt;/date&gt;&lt;/pub-dates&gt;&lt;/dates&gt;&lt;pub-location&gt;The Lancet&lt;/pub-location&gt;&lt;urls&gt;&lt;related-urls&gt;&lt;url&gt;https://www.thelancet.com/journals/lancet/article/PIIS0140-6736(22)02597-1/fulltext#%20&lt;/url&gt;&lt;/related-urls&gt;&lt;/urls&gt;&lt;electronic-resource-num&gt;https://doi.org/10.1016/S0140-6736(22)02597-1&lt;/electronic-resource-num&gt;&lt;/record&gt;&lt;/Cite&gt;&lt;/EndNote&gt;</w:instrText>
      </w:r>
      <w:r w:rsidRPr="00F73067">
        <w:fldChar w:fldCharType="separate"/>
      </w:r>
      <w:r w:rsidR="00B51E24">
        <w:rPr>
          <w:noProof/>
        </w:rPr>
        <w:t>[2]</w:t>
      </w:r>
      <w:r w:rsidRPr="00F73067">
        <w:fldChar w:fldCharType="end"/>
      </w:r>
      <w:r w:rsidR="00125AD5">
        <w:t xml:space="preserve"> Th</w:t>
      </w:r>
      <w:r w:rsidR="00137501">
        <w:t>e PANORAMIC stud</w:t>
      </w:r>
      <w:r w:rsidR="0071598B">
        <w:t xml:space="preserve">y provides evidence that most closely aligns with </w:t>
      </w:r>
      <w:r w:rsidR="00B72DAD">
        <w:t xml:space="preserve">the current situation in </w:t>
      </w:r>
      <w:r w:rsidR="0071598B">
        <w:t>Aotearoa New Zealand</w:t>
      </w:r>
      <w:r w:rsidR="00B72DAD">
        <w:t xml:space="preserve">, with a highly vaccinated population and </w:t>
      </w:r>
      <w:r w:rsidR="006E4D73">
        <w:t>transmission of Omicron varia</w:t>
      </w:r>
      <w:r w:rsidR="00B73B64">
        <w:t>nt</w:t>
      </w:r>
      <w:r w:rsidR="006E4D73">
        <w:t>s</w:t>
      </w:r>
      <w:r w:rsidR="0071598B">
        <w:t xml:space="preserve">. </w:t>
      </w:r>
      <w:proofErr w:type="gramStart"/>
      <w:r w:rsidR="00D12A90" w:rsidRPr="0071598B">
        <w:rPr>
          <w:b/>
          <w:bCs/>
        </w:rPr>
        <w:t>Therefore</w:t>
      </w:r>
      <w:proofErr w:type="gramEnd"/>
      <w:r w:rsidR="00D12A90" w:rsidRPr="0071598B">
        <w:rPr>
          <w:b/>
          <w:bCs/>
        </w:rPr>
        <w:t xml:space="preserve"> </w:t>
      </w:r>
      <w:r w:rsidR="00581966" w:rsidRPr="0071598B">
        <w:rPr>
          <w:b/>
          <w:bCs/>
        </w:rPr>
        <w:t xml:space="preserve">Paxlovid </w:t>
      </w:r>
      <w:r w:rsidR="00E2101F" w:rsidRPr="0071598B">
        <w:rPr>
          <w:b/>
          <w:bCs/>
        </w:rPr>
        <w:t xml:space="preserve">remains the first line </w:t>
      </w:r>
      <w:r w:rsidR="00581966" w:rsidRPr="0071598B">
        <w:rPr>
          <w:b/>
          <w:bCs/>
        </w:rPr>
        <w:t xml:space="preserve">treatment </w:t>
      </w:r>
      <w:r w:rsidR="006E4D73">
        <w:rPr>
          <w:b/>
          <w:bCs/>
        </w:rPr>
        <w:t>for</w:t>
      </w:r>
      <w:r w:rsidR="00581966" w:rsidRPr="0071598B">
        <w:rPr>
          <w:b/>
          <w:bCs/>
        </w:rPr>
        <w:t xml:space="preserve"> COVID-19, with </w:t>
      </w:r>
      <w:r w:rsidRPr="0071598B">
        <w:rPr>
          <w:b/>
          <w:bCs/>
        </w:rPr>
        <w:t>remdesivir a second</w:t>
      </w:r>
      <w:r w:rsidR="0071598B" w:rsidRPr="0071598B">
        <w:rPr>
          <w:b/>
          <w:bCs/>
        </w:rPr>
        <w:t>-</w:t>
      </w:r>
      <w:r w:rsidRPr="0071598B">
        <w:rPr>
          <w:b/>
          <w:bCs/>
        </w:rPr>
        <w:t>line option</w:t>
      </w:r>
      <w:r w:rsidR="000054C9" w:rsidRPr="0071598B">
        <w:rPr>
          <w:b/>
          <w:bCs/>
        </w:rPr>
        <w:t xml:space="preserve">. However, </w:t>
      </w:r>
      <w:r w:rsidR="00581966" w:rsidRPr="0071598B">
        <w:rPr>
          <w:b/>
          <w:bCs/>
        </w:rPr>
        <w:t xml:space="preserve">molnupiravir </w:t>
      </w:r>
      <w:r w:rsidR="000054C9" w:rsidRPr="0071598B">
        <w:rPr>
          <w:b/>
          <w:bCs/>
        </w:rPr>
        <w:t>is no longer recommended</w:t>
      </w:r>
      <w:r w:rsidR="0071598B">
        <w:rPr>
          <w:b/>
          <w:bCs/>
        </w:rPr>
        <w:t>.</w:t>
      </w:r>
      <w:r w:rsidR="000054C9" w:rsidRPr="0071598B">
        <w:rPr>
          <w:b/>
          <w:bCs/>
        </w:rPr>
        <w:t xml:space="preserve"> </w:t>
      </w:r>
    </w:p>
    <w:p w14:paraId="60420D14" w14:textId="79240FEC" w:rsidR="0018042F" w:rsidRPr="007466B5" w:rsidRDefault="0018042F" w:rsidP="00CD460E">
      <w:pPr>
        <w:pStyle w:val="Heading4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</w:rPr>
        <w:t xml:space="preserve">Evidence of mutations </w:t>
      </w:r>
      <w:r w:rsidR="0007053F">
        <w:rPr>
          <w:rFonts w:eastAsiaTheme="minorHAnsi"/>
        </w:rPr>
        <w:t xml:space="preserve">from </w:t>
      </w:r>
      <w:proofErr w:type="spellStart"/>
      <w:r w:rsidR="0007053F">
        <w:rPr>
          <w:rFonts w:eastAsiaTheme="minorHAnsi"/>
        </w:rPr>
        <w:t>molnuparivir</w:t>
      </w:r>
      <w:proofErr w:type="spellEnd"/>
      <w:r w:rsidR="0007053F">
        <w:rPr>
          <w:rFonts w:eastAsiaTheme="minorHAnsi"/>
        </w:rPr>
        <w:t xml:space="preserve"> treatment</w:t>
      </w:r>
    </w:p>
    <w:p w14:paraId="09DC5CB6" w14:textId="59950C7D" w:rsidR="00836BB9" w:rsidRDefault="00412F9A" w:rsidP="00040A3F">
      <w:pPr>
        <w:pStyle w:val="BodyText"/>
        <w:spacing w:before="120"/>
      </w:pPr>
      <w:r>
        <w:t>G</w:t>
      </w:r>
      <w:r w:rsidR="00836BB9">
        <w:t xml:space="preserve">lobal sequencing data </w:t>
      </w:r>
      <w:r w:rsidR="00B8511D">
        <w:t>of patients following molnupiravir treatment has suggested that</w:t>
      </w:r>
      <w:r w:rsidR="00836BB9">
        <w:t xml:space="preserve"> a specific class of variants contained molnupiravir mutational profiles</w:t>
      </w:r>
      <w:r w:rsidR="00DD7E28">
        <w:t xml:space="preserve">. </w:t>
      </w:r>
      <w:r w:rsidR="00836BB9">
        <w:t xml:space="preserve">These mutational profiles appeared almost exclusively after 2022, when molnupiravir usage became common, and were more widespread in countries that used it more often (including Australia and the United States). </w:t>
      </w:r>
      <w:r w:rsidR="00836BB9">
        <w:fldChar w:fldCharType="begin"/>
      </w:r>
      <w:r w:rsidR="00B51E24">
        <w:instrText xml:space="preserve"> ADDIN EN.CITE &lt;EndNote&gt;&lt;Cite&gt;&lt;Author&gt;Sanderson&lt;/Author&gt;&lt;Year&gt;2023&lt;/Year&gt;&lt;RecNum&gt;5566&lt;/RecNum&gt;&lt;DisplayText&gt;[3]&lt;/DisplayText&gt;&lt;record&gt;&lt;rec-number&gt;5566&lt;/rec-number&gt;&lt;foreign-keys&gt;&lt;key app="EN" db-id="t9055fx0pep2f9edzt2ppp2kr2x90zsw0fe2" timestamp="1676261522"&gt;5566&lt;/key&gt;&lt;/foreign-keys&gt;&lt;ref-type name="Web Page"&gt;12&lt;/ref-type&gt;&lt;contributors&gt;&lt;authors&gt;&lt;author&gt;Sanderson, Theo&lt;/author&gt;&lt;author&gt;Hisner, Ryan&lt;/author&gt;&lt;author&gt;Donovan-Banfield, I’ah&lt;/author&gt;&lt;author&gt;Peacock, Thomas&lt;/author&gt;&lt;author&gt;Ruis, Christopher&lt;/author&gt;&lt;/authors&gt;&lt;/contributors&gt;&lt;titles&gt;&lt;title&gt;Identification of a molnupiravir-associated mutational signature in SARS-CoV-2 sequencing databases&lt;/title&gt;&lt;secondary-title&gt;medRxiv&lt;/secondary-title&gt;&lt;/titles&gt;&lt;periodical&gt;&lt;full-title&gt;medRxiv&lt;/full-title&gt;&lt;/periodical&gt;&lt;pages&gt;2023.01.26.23284998&lt;/pages&gt;&lt;dates&gt;&lt;year&gt;2023&lt;/year&gt;&lt;/dates&gt;&lt;urls&gt;&lt;related-urls&gt;&lt;url&gt;https://www.medrxiv.org/content/medrxiv/early/2023/01/27/2023.01.26.23284998.full.pdf&lt;/url&gt;&lt;/related-urls&gt;&lt;/urls&gt;&lt;electronic-resource-num&gt;10.1101/2023.01.26.23284998&lt;/electronic-resource-num&gt;&lt;/record&gt;&lt;/Cite&gt;&lt;/EndNote&gt;</w:instrText>
      </w:r>
      <w:r w:rsidR="00836BB9">
        <w:fldChar w:fldCharType="separate"/>
      </w:r>
      <w:r w:rsidR="00B51E24">
        <w:rPr>
          <w:noProof/>
        </w:rPr>
        <w:t>[3]</w:t>
      </w:r>
      <w:r w:rsidR="00836BB9">
        <w:fldChar w:fldCharType="end"/>
      </w:r>
      <w:r w:rsidR="00836BB9">
        <w:t xml:space="preserve"> The development of mutational signatures due to molnupiravir use is being monitored closely internationally</w:t>
      </w:r>
      <w:r w:rsidR="00042110">
        <w:t>, though i</w:t>
      </w:r>
      <w:r w:rsidR="00B801D9">
        <w:t>t remains unknown if this could lead to new variants of concern</w:t>
      </w:r>
      <w:r w:rsidR="00042110">
        <w:t>.</w:t>
      </w:r>
      <w:r w:rsidR="00B801D9">
        <w:t xml:space="preserve"> </w:t>
      </w:r>
    </w:p>
    <w:p w14:paraId="2A00B712" w14:textId="3D27C962" w:rsidR="00910E3B" w:rsidRDefault="0007053F" w:rsidP="00CD460E">
      <w:pPr>
        <w:pStyle w:val="Heading4"/>
        <w:numPr>
          <w:ilvl w:val="0"/>
          <w:numId w:val="0"/>
        </w:numPr>
      </w:pPr>
      <w:r>
        <w:lastRenderedPageBreak/>
        <w:t>Updates</w:t>
      </w:r>
      <w:r w:rsidR="00910E3B">
        <w:t xml:space="preserve"> to</w:t>
      </w:r>
      <w:r>
        <w:t xml:space="preserve"> the COVID-19</w:t>
      </w:r>
      <w:r w:rsidR="00910E3B">
        <w:t xml:space="preserve"> clinical guidelines</w:t>
      </w:r>
    </w:p>
    <w:p w14:paraId="0C62377C" w14:textId="1421EEFD" w:rsidR="00EC22A4" w:rsidRDefault="00BC0407" w:rsidP="00040A3F">
      <w:pPr>
        <w:pStyle w:val="BodyText"/>
        <w:spacing w:before="120"/>
      </w:pPr>
      <w:r>
        <w:t xml:space="preserve">The </w:t>
      </w:r>
      <w:r w:rsidR="004F2699">
        <w:t>COVID-19 Therapeutics Technical Advisory group has clinical guidelines</w:t>
      </w:r>
      <w:r w:rsidR="0007053F">
        <w:t xml:space="preserve"> (</w:t>
      </w:r>
      <w:hyperlink r:id="rId8" w:anchor="clinical-management-of-covid-19-in-hospitalised-adults" w:history="1">
        <w:r w:rsidR="00484304" w:rsidRPr="007F33A1">
          <w:rPr>
            <w:color w:val="4472C4" w:themeColor="accent1"/>
          </w:rPr>
          <w:t>link</w:t>
        </w:r>
      </w:hyperlink>
      <w:r w:rsidR="00484304">
        <w:t xml:space="preserve">) </w:t>
      </w:r>
      <w:r w:rsidR="004F2699">
        <w:t>that are updated at regular intervals and when new evidence emerges</w:t>
      </w:r>
      <w:r w:rsidR="00381134">
        <w:t>. A</w:t>
      </w:r>
      <w:r w:rsidR="004F2699">
        <w:t>n update was made on 25 November 2022 to indicate that accumulating evidence suggests that molnupiravir may not be associated with any meaningful clinical benefit in vaccinated adults.</w:t>
      </w:r>
      <w:r>
        <w:t xml:space="preserve"> </w:t>
      </w:r>
      <w:r w:rsidR="00EC22A4" w:rsidRPr="00040A3F">
        <w:rPr>
          <w:b/>
          <w:bCs/>
        </w:rPr>
        <w:t xml:space="preserve">These guidelines </w:t>
      </w:r>
      <w:r w:rsidR="00967C77">
        <w:rPr>
          <w:b/>
          <w:bCs/>
        </w:rPr>
        <w:t>were</w:t>
      </w:r>
      <w:r w:rsidR="00EC22A4" w:rsidRPr="00040A3F">
        <w:rPr>
          <w:b/>
          <w:bCs/>
        </w:rPr>
        <w:t xml:space="preserve"> update</w:t>
      </w:r>
      <w:r w:rsidRPr="00040A3F">
        <w:rPr>
          <w:b/>
          <w:bCs/>
        </w:rPr>
        <w:t>d</w:t>
      </w:r>
      <w:r w:rsidR="00381134" w:rsidRPr="00040A3F">
        <w:rPr>
          <w:b/>
          <w:bCs/>
        </w:rPr>
        <w:t xml:space="preserve"> again</w:t>
      </w:r>
      <w:r w:rsidRPr="00040A3F">
        <w:rPr>
          <w:b/>
          <w:bCs/>
        </w:rPr>
        <w:t xml:space="preserve"> </w:t>
      </w:r>
      <w:r w:rsidR="00B82C48" w:rsidRPr="00040A3F">
        <w:rPr>
          <w:b/>
          <w:bCs/>
        </w:rPr>
        <w:t xml:space="preserve">on 24 </w:t>
      </w:r>
      <w:r w:rsidRPr="00040A3F">
        <w:rPr>
          <w:b/>
          <w:bCs/>
        </w:rPr>
        <w:t>February 2023</w:t>
      </w:r>
      <w:r w:rsidR="00EC22A4" w:rsidRPr="00040A3F">
        <w:rPr>
          <w:b/>
          <w:bCs/>
        </w:rPr>
        <w:t xml:space="preserve"> to </w:t>
      </w:r>
      <w:r w:rsidR="00D22783" w:rsidRPr="00040A3F">
        <w:rPr>
          <w:b/>
          <w:bCs/>
        </w:rPr>
        <w:t>reflect</w:t>
      </w:r>
      <w:r w:rsidR="00EC22A4" w:rsidRPr="00040A3F">
        <w:rPr>
          <w:b/>
          <w:bCs/>
        </w:rPr>
        <w:t xml:space="preserve"> that </w:t>
      </w:r>
      <w:r w:rsidR="00D22783" w:rsidRPr="00040A3F">
        <w:rPr>
          <w:b/>
          <w:bCs/>
        </w:rPr>
        <w:t xml:space="preserve">Therapeutics TAG </w:t>
      </w:r>
      <w:r w:rsidR="008D4706">
        <w:rPr>
          <w:b/>
          <w:bCs/>
        </w:rPr>
        <w:t xml:space="preserve">no longer </w:t>
      </w:r>
      <w:r w:rsidR="00D22783" w:rsidRPr="00040A3F">
        <w:rPr>
          <w:b/>
          <w:bCs/>
        </w:rPr>
        <w:t>recommend</w:t>
      </w:r>
      <w:r w:rsidR="007F33A1">
        <w:rPr>
          <w:b/>
          <w:bCs/>
        </w:rPr>
        <w:t>s</w:t>
      </w:r>
      <w:r w:rsidR="00D22783" w:rsidRPr="00040A3F">
        <w:rPr>
          <w:b/>
          <w:bCs/>
        </w:rPr>
        <w:t xml:space="preserve"> the use of </w:t>
      </w:r>
      <w:r w:rsidR="001D7C34">
        <w:rPr>
          <w:b/>
          <w:bCs/>
        </w:rPr>
        <w:t>molnupiravir</w:t>
      </w:r>
      <w:r w:rsidR="00D22783" w:rsidRPr="00040A3F">
        <w:rPr>
          <w:b/>
          <w:bCs/>
        </w:rPr>
        <w:t>.</w:t>
      </w:r>
    </w:p>
    <w:p w14:paraId="19AF4C9F" w14:textId="5083A63A" w:rsidR="005E55BD" w:rsidRDefault="002B3BF2" w:rsidP="007F33A1">
      <w:pPr>
        <w:pStyle w:val="Heading4"/>
        <w:numPr>
          <w:ilvl w:val="0"/>
          <w:numId w:val="0"/>
        </w:numPr>
      </w:pPr>
      <w:r>
        <w:t xml:space="preserve">References </w:t>
      </w:r>
    </w:p>
    <w:p w14:paraId="02305E46" w14:textId="7CD31848" w:rsidR="00B51E24" w:rsidRPr="00B51E24" w:rsidRDefault="005E55BD" w:rsidP="00B51E24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51E24" w:rsidRPr="00B51E24">
        <w:t>1.</w:t>
      </w:r>
      <w:r w:rsidR="00B51E24" w:rsidRPr="00B51E24">
        <w:tab/>
        <w:t xml:space="preserve">Jayk Bernal A, Gomes da Silva MM, Musungaie DB, Kovalchuk E, Gonzalez A, Delos Reyes V, et al. Molnupiravir for Oral Treatment of Covid-19 in Nonhospitalized Patients 2022 [509-20]. Available from: </w:t>
      </w:r>
      <w:hyperlink r:id="rId9" w:history="1">
        <w:r w:rsidR="00B51E24" w:rsidRPr="00B51E24">
          <w:rPr>
            <w:rStyle w:val="Hyperlink"/>
          </w:rPr>
          <w:t>https://www.nejm.org/doi/full/10.1056/NEJMoa2116044</w:t>
        </w:r>
      </w:hyperlink>
      <w:r w:rsidR="00B51E24" w:rsidRPr="00B51E24">
        <w:t>.</w:t>
      </w:r>
    </w:p>
    <w:p w14:paraId="41C4C04F" w14:textId="7CC25632" w:rsidR="00B51E24" w:rsidRPr="00B51E24" w:rsidRDefault="00B51E24" w:rsidP="00B51E24">
      <w:pPr>
        <w:pStyle w:val="EndNoteBibliography"/>
        <w:spacing w:after="0"/>
      </w:pPr>
      <w:r w:rsidRPr="00B51E24">
        <w:t>2.</w:t>
      </w:r>
      <w:r w:rsidRPr="00B51E24">
        <w:tab/>
        <w:t xml:space="preserve">Molnupiravir plus usual care versus usual care alone as early treatment for adults with COVID-19 at increased risk of adverse outcomes (PANORAMIC): an open-label, platform-adaptive randomised controlled trial The Lancet2022 [updated 22 December 2022 Available from: </w:t>
      </w:r>
      <w:hyperlink r:id="rId10" w:anchor="%20" w:history="1">
        <w:r w:rsidRPr="00B51E24">
          <w:rPr>
            <w:rStyle w:val="Hyperlink"/>
          </w:rPr>
          <w:t>https://www.thelancet.com/journals/lancet/article/PIIS0140-6736(22)02597-1/fulltext#%20</w:t>
        </w:r>
      </w:hyperlink>
      <w:r w:rsidRPr="00B51E24">
        <w:t>.</w:t>
      </w:r>
    </w:p>
    <w:p w14:paraId="1BFA2E26" w14:textId="75F92773" w:rsidR="00B51E24" w:rsidRPr="00B51E24" w:rsidRDefault="00B51E24" w:rsidP="00B51E24">
      <w:pPr>
        <w:pStyle w:val="EndNoteBibliography"/>
      </w:pPr>
      <w:r w:rsidRPr="00B51E24">
        <w:t>3.</w:t>
      </w:r>
      <w:r w:rsidRPr="00B51E24">
        <w:tab/>
        <w:t xml:space="preserve">Sanderson T, Hisner R, Donovan-Banfield Ia, Peacock T, Ruis C. Identification of a molnupiravir-associated mutational signature in SARS-CoV-2 sequencing databases 2023 [2023.01.26.23284998]. Available from: </w:t>
      </w:r>
      <w:hyperlink r:id="rId11" w:history="1">
        <w:r w:rsidRPr="00B51E24">
          <w:rPr>
            <w:rStyle w:val="Hyperlink"/>
          </w:rPr>
          <w:t>https://www.medrxiv.org/content/medrxiv/early/2023/01/27/2023.01.26.23284998.full.pdf</w:t>
        </w:r>
      </w:hyperlink>
      <w:r w:rsidRPr="00B51E24">
        <w:t>.</w:t>
      </w:r>
    </w:p>
    <w:p w14:paraId="71982539" w14:textId="41F2D5A0" w:rsidR="004F2699" w:rsidRPr="001B5A1D" w:rsidRDefault="005E55BD" w:rsidP="001B5A1D">
      <w:pPr>
        <w:pStyle w:val="BodyText"/>
      </w:pPr>
      <w:r>
        <w:fldChar w:fldCharType="end"/>
      </w:r>
    </w:p>
    <w:sectPr w:rsidR="004F2699" w:rsidRPr="001B5A1D" w:rsidSect="00EF6E51"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FE73" w14:textId="77777777" w:rsidR="008B6316" w:rsidRDefault="008B6316" w:rsidP="006F3367">
      <w:pPr>
        <w:spacing w:after="0"/>
      </w:pPr>
      <w:r>
        <w:separator/>
      </w:r>
    </w:p>
  </w:endnote>
  <w:endnote w:type="continuationSeparator" w:id="0">
    <w:p w14:paraId="1885B775" w14:textId="77777777" w:rsidR="008B6316" w:rsidRDefault="008B6316" w:rsidP="006F3367">
      <w:pPr>
        <w:spacing w:after="0"/>
      </w:pPr>
      <w:r>
        <w:continuationSeparator/>
      </w:r>
    </w:p>
  </w:endnote>
  <w:endnote w:type="continuationNotice" w:id="1">
    <w:p w14:paraId="761E34CC" w14:textId="77777777" w:rsidR="008B6316" w:rsidRDefault="008B63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37A9" w14:textId="77777777" w:rsidR="00467560" w:rsidRDefault="00467560" w:rsidP="00467560">
    <w:pPr>
      <w:pStyle w:val="Footer"/>
      <w:spacing w:after="120"/>
      <w:rPr>
        <w:lang w:val="en-US"/>
      </w:rPr>
    </w:pPr>
  </w:p>
  <w:p w14:paraId="7B4023F5" w14:textId="6867F325" w:rsidR="00EF6E51" w:rsidRDefault="00EF6E51" w:rsidP="00EF6E51">
    <w:pPr>
      <w:rPr>
        <w:lang w:val="en-US"/>
      </w:rPr>
    </w:pPr>
    <w:r>
      <w:rPr>
        <w:lang w:val="en-US"/>
      </w:rPr>
      <w:t xml:space="preserve">Therapeutics TAG. Update for health professionals: </w:t>
    </w:r>
    <w:proofErr w:type="spellStart"/>
    <w:r w:rsidR="009E3E9B" w:rsidRPr="009E3E9B">
      <w:rPr>
        <w:lang w:val="en-US"/>
      </w:rPr>
      <w:t>Molnuparivir</w:t>
    </w:r>
    <w:proofErr w:type="spellEnd"/>
    <w:r w:rsidR="00695D42">
      <w:rPr>
        <w:lang w:val="en-US"/>
      </w:rPr>
      <w:t xml:space="preserve"> is</w:t>
    </w:r>
    <w:r w:rsidR="009E3E9B" w:rsidRPr="009E3E9B">
      <w:rPr>
        <w:lang w:val="en-US"/>
      </w:rPr>
      <w:t xml:space="preserve"> no longer recommended by Therapeutics TAG due to lack of clinical benefit  </w:t>
    </w:r>
  </w:p>
  <w:p w14:paraId="30270BB0" w14:textId="02A2D81F" w:rsidR="00467560" w:rsidRDefault="00EF6E51" w:rsidP="00EF6E51">
    <w:pPr>
      <w:pStyle w:val="Footer"/>
      <w:spacing w:after="120"/>
    </w:pPr>
    <w:r>
      <w:rPr>
        <w:lang w:val="en-US"/>
      </w:rPr>
      <w:t>February 202</w:t>
    </w:r>
    <w:r w:rsidR="00560680">
      <w:rPr>
        <w:lang w:val="en-US"/>
      </w:rPr>
      <w:t>3</w:t>
    </w:r>
    <w:r>
      <w:rPr>
        <w:lang w:val="en-US"/>
      </w:rPr>
      <w:tab/>
    </w:r>
    <w:r w:rsidR="00467560">
      <w:rPr>
        <w:lang w:val="en-US"/>
      </w:rPr>
      <w:tab/>
    </w:r>
    <w:sdt>
      <w:sdtPr>
        <w:id w:val="-86155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7560">
          <w:rPr>
            <w:b/>
            <w:bCs/>
          </w:rPr>
          <w:fldChar w:fldCharType="begin"/>
        </w:r>
        <w:r w:rsidR="00467560">
          <w:rPr>
            <w:b/>
            <w:bCs/>
          </w:rPr>
          <w:instrText xml:space="preserve"> PAGE  \* Arabic  \* MERGEFORMAT </w:instrText>
        </w:r>
        <w:r w:rsidR="00467560">
          <w:rPr>
            <w:b/>
            <w:bCs/>
          </w:rPr>
          <w:fldChar w:fldCharType="separate"/>
        </w:r>
        <w:r w:rsidR="0075684F">
          <w:rPr>
            <w:b/>
            <w:bCs/>
            <w:noProof/>
          </w:rPr>
          <w:t>1</w:t>
        </w:r>
        <w:r w:rsidR="00467560">
          <w:rPr>
            <w:b/>
            <w:bCs/>
          </w:rPr>
          <w:fldChar w:fldCharType="end"/>
        </w:r>
        <w:r w:rsidR="00467560">
          <w:t xml:space="preserve"> of </w:t>
        </w:r>
        <w:r w:rsidR="00467560">
          <w:rPr>
            <w:b/>
            <w:bCs/>
          </w:rPr>
          <w:fldChar w:fldCharType="begin"/>
        </w:r>
        <w:r w:rsidR="00467560">
          <w:rPr>
            <w:b/>
            <w:bCs/>
          </w:rPr>
          <w:instrText xml:space="preserve"> NUMPAGES  \* Arabic  \* MERGEFORMAT </w:instrText>
        </w:r>
        <w:r w:rsidR="00467560">
          <w:rPr>
            <w:b/>
            <w:bCs/>
          </w:rPr>
          <w:fldChar w:fldCharType="separate"/>
        </w:r>
        <w:r w:rsidR="0075684F">
          <w:rPr>
            <w:b/>
            <w:bCs/>
            <w:noProof/>
          </w:rPr>
          <w:t>2</w:t>
        </w:r>
        <w:r w:rsidR="00467560">
          <w:rPr>
            <w:b/>
            <w:bCs/>
          </w:rPr>
          <w:fldChar w:fldCharType="end"/>
        </w:r>
      </w:sdtContent>
    </w:sdt>
  </w:p>
  <w:p w14:paraId="6CB7C59A" w14:textId="7A25ABDA" w:rsidR="008A79C9" w:rsidRDefault="008A79C9" w:rsidP="00467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7D9F" w14:textId="77777777" w:rsidR="00467560" w:rsidRDefault="00467560" w:rsidP="00467560">
    <w:pPr>
      <w:pStyle w:val="Footer"/>
      <w:spacing w:after="120"/>
      <w:rPr>
        <w:lang w:val="en-US"/>
      </w:rPr>
    </w:pPr>
  </w:p>
  <w:p w14:paraId="4C39E278" w14:textId="77777777" w:rsidR="0098130A" w:rsidRDefault="00071734" w:rsidP="00BF7983">
    <w:pPr>
      <w:rPr>
        <w:lang w:val="en-US"/>
      </w:rPr>
    </w:pPr>
    <w:r>
      <w:rPr>
        <w:lang w:val="en-US"/>
      </w:rPr>
      <w:t>Therapeutics TAG</w:t>
    </w:r>
    <w:r w:rsidR="008C3114">
      <w:rPr>
        <w:lang w:val="en-US"/>
      </w:rPr>
      <w:t xml:space="preserve">. </w:t>
    </w:r>
    <w:r w:rsidR="00BF7983">
      <w:rPr>
        <w:lang w:val="en-US"/>
      </w:rPr>
      <w:t>Update for health professionals</w:t>
    </w:r>
    <w:r w:rsidR="008C3114">
      <w:rPr>
        <w:lang w:val="en-US"/>
      </w:rPr>
      <w:t>:</w:t>
    </w:r>
    <w:r w:rsidR="00BF7983">
      <w:rPr>
        <w:lang w:val="en-US"/>
      </w:rPr>
      <w:t xml:space="preserve"> </w:t>
    </w:r>
    <w:r w:rsidR="008C3114">
      <w:rPr>
        <w:lang w:val="en-US"/>
      </w:rPr>
      <w:t xml:space="preserve">Therapeutics for the treatment of COVID-19 </w:t>
    </w:r>
    <w:r w:rsidR="0098130A">
      <w:rPr>
        <w:lang w:val="en-US"/>
      </w:rPr>
      <w:t xml:space="preserve"> </w:t>
    </w:r>
  </w:p>
  <w:p w14:paraId="38F474B6" w14:textId="43510D26" w:rsidR="00467560" w:rsidRPr="00BF7983" w:rsidRDefault="00BF7983" w:rsidP="00BF7983">
    <w:pPr>
      <w:rPr>
        <w:color w:val="auto"/>
      </w:rPr>
    </w:pPr>
    <w:r>
      <w:rPr>
        <w:lang w:val="en-US"/>
      </w:rPr>
      <w:t>February</w:t>
    </w:r>
    <w:r w:rsidR="00BF6FC4">
      <w:rPr>
        <w:lang w:val="en-US"/>
      </w:rPr>
      <w:t xml:space="preserve"> 2022</w:t>
    </w:r>
    <w:r w:rsidR="00467560">
      <w:rPr>
        <w:lang w:val="en-US"/>
      </w:rPr>
      <w:tab/>
    </w:r>
    <w:sdt>
      <w:sdtPr>
        <w:id w:val="1142628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130A">
          <w:tab/>
        </w:r>
        <w:r w:rsidR="0098130A">
          <w:tab/>
        </w:r>
        <w:r w:rsidR="0098130A">
          <w:tab/>
        </w:r>
        <w:r w:rsidR="0098130A">
          <w:tab/>
        </w:r>
        <w:r w:rsidR="0098130A">
          <w:tab/>
        </w:r>
        <w:r w:rsidR="0098130A">
          <w:tab/>
        </w:r>
        <w:r w:rsidR="0098130A">
          <w:tab/>
        </w:r>
        <w:r w:rsidR="0098130A">
          <w:tab/>
        </w:r>
        <w:r w:rsidR="0098130A">
          <w:tab/>
        </w:r>
        <w:r w:rsidR="00467560">
          <w:rPr>
            <w:b/>
            <w:bCs/>
          </w:rPr>
          <w:fldChar w:fldCharType="begin"/>
        </w:r>
        <w:r w:rsidR="00467560">
          <w:rPr>
            <w:b/>
            <w:bCs/>
          </w:rPr>
          <w:instrText xml:space="preserve"> PAGE  \* Arabic  \* MERGEFORMAT </w:instrText>
        </w:r>
        <w:r w:rsidR="00467560">
          <w:rPr>
            <w:b/>
            <w:bCs/>
          </w:rPr>
          <w:fldChar w:fldCharType="separate"/>
        </w:r>
        <w:r w:rsidR="00467560">
          <w:rPr>
            <w:b/>
            <w:bCs/>
          </w:rPr>
          <w:t>1</w:t>
        </w:r>
        <w:r w:rsidR="00467560">
          <w:rPr>
            <w:b/>
            <w:bCs/>
          </w:rPr>
          <w:fldChar w:fldCharType="end"/>
        </w:r>
        <w:r w:rsidR="00467560">
          <w:t xml:space="preserve"> of </w:t>
        </w:r>
        <w:r w:rsidR="00467560">
          <w:rPr>
            <w:b/>
            <w:bCs/>
          </w:rPr>
          <w:fldChar w:fldCharType="begin"/>
        </w:r>
        <w:r w:rsidR="00467560">
          <w:rPr>
            <w:b/>
            <w:bCs/>
          </w:rPr>
          <w:instrText xml:space="preserve"> NUMPAGES  \* Arabic  \* MERGEFORMAT </w:instrText>
        </w:r>
        <w:r w:rsidR="00467560">
          <w:rPr>
            <w:b/>
            <w:bCs/>
          </w:rPr>
          <w:fldChar w:fldCharType="separate"/>
        </w:r>
        <w:r w:rsidR="00467560">
          <w:rPr>
            <w:b/>
            <w:bCs/>
          </w:rPr>
          <w:t>5</w:t>
        </w:r>
        <w:r w:rsidR="00467560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782B" w14:textId="77777777" w:rsidR="008B6316" w:rsidRDefault="008B6316" w:rsidP="006F3367">
      <w:pPr>
        <w:spacing w:after="0"/>
      </w:pPr>
      <w:r>
        <w:separator/>
      </w:r>
    </w:p>
  </w:footnote>
  <w:footnote w:type="continuationSeparator" w:id="0">
    <w:p w14:paraId="3DC503D7" w14:textId="77777777" w:rsidR="008B6316" w:rsidRDefault="008B6316" w:rsidP="006F3367">
      <w:pPr>
        <w:spacing w:after="0"/>
      </w:pPr>
      <w:r>
        <w:continuationSeparator/>
      </w:r>
    </w:p>
  </w:footnote>
  <w:footnote w:type="continuationNotice" w:id="1">
    <w:p w14:paraId="5D190545" w14:textId="77777777" w:rsidR="008B6316" w:rsidRDefault="008B631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6443" w14:textId="4B031D07" w:rsidR="00524D9D" w:rsidRDefault="00524D9D">
    <w:pPr>
      <w:pStyle w:val="Header"/>
      <w:rPr>
        <w:noProof/>
      </w:rPr>
    </w:pPr>
  </w:p>
  <w:p w14:paraId="34803538" w14:textId="026CD692" w:rsidR="00933056" w:rsidRDefault="00933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DA"/>
    <w:multiLevelType w:val="hybridMultilevel"/>
    <w:tmpl w:val="044C4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8B7"/>
    <w:multiLevelType w:val="multilevel"/>
    <w:tmpl w:val="EFF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73689"/>
    <w:multiLevelType w:val="hybridMultilevel"/>
    <w:tmpl w:val="B5041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6CCE"/>
    <w:multiLevelType w:val="hybridMultilevel"/>
    <w:tmpl w:val="D45EA5CE"/>
    <w:lvl w:ilvl="0" w:tplc="743E05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3AC42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0583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2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2E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65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7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1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7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6D6D"/>
    <w:multiLevelType w:val="hybridMultilevel"/>
    <w:tmpl w:val="337EC6A0"/>
    <w:lvl w:ilvl="0" w:tplc="23A8334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1741746"/>
    <w:multiLevelType w:val="hybridMultilevel"/>
    <w:tmpl w:val="0A70E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BB1"/>
    <w:multiLevelType w:val="hybridMultilevel"/>
    <w:tmpl w:val="686C6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70D"/>
    <w:multiLevelType w:val="hybridMultilevel"/>
    <w:tmpl w:val="1218661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82738"/>
    <w:multiLevelType w:val="hybridMultilevel"/>
    <w:tmpl w:val="826CF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597C"/>
    <w:multiLevelType w:val="multilevel"/>
    <w:tmpl w:val="CC66E496"/>
    <w:lvl w:ilvl="0">
      <w:start w:val="1"/>
      <w:numFmt w:val="decimal"/>
      <w:pStyle w:val="ReportBody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0" w15:restartNumberingAfterBreak="0">
    <w:nsid w:val="31F70EA3"/>
    <w:multiLevelType w:val="hybridMultilevel"/>
    <w:tmpl w:val="0016B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A2CDD"/>
    <w:multiLevelType w:val="hybridMultilevel"/>
    <w:tmpl w:val="194855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841BE"/>
    <w:multiLevelType w:val="hybridMultilevel"/>
    <w:tmpl w:val="A468C3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CA6"/>
    <w:multiLevelType w:val="hybridMultilevel"/>
    <w:tmpl w:val="D7CE8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FC7"/>
    <w:multiLevelType w:val="hybridMultilevel"/>
    <w:tmpl w:val="AFFA7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1214F"/>
    <w:multiLevelType w:val="hybridMultilevel"/>
    <w:tmpl w:val="22C6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1F87"/>
    <w:multiLevelType w:val="hybridMultilevel"/>
    <w:tmpl w:val="577A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C4A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4C9"/>
    <w:multiLevelType w:val="hybridMultilevel"/>
    <w:tmpl w:val="2F728E80"/>
    <w:lvl w:ilvl="0" w:tplc="B51EB9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C4961"/>
    <w:multiLevelType w:val="hybridMultilevel"/>
    <w:tmpl w:val="A06AA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E2EE2"/>
    <w:multiLevelType w:val="hybridMultilevel"/>
    <w:tmpl w:val="8C82C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289"/>
    <w:multiLevelType w:val="hybridMultilevel"/>
    <w:tmpl w:val="A386E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F7603"/>
    <w:multiLevelType w:val="hybridMultilevel"/>
    <w:tmpl w:val="6B1C9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056E2"/>
    <w:multiLevelType w:val="hybridMultilevel"/>
    <w:tmpl w:val="D90A1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5B25"/>
    <w:multiLevelType w:val="hybridMultilevel"/>
    <w:tmpl w:val="0B5E6F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C7EB8"/>
    <w:multiLevelType w:val="hybridMultilevel"/>
    <w:tmpl w:val="6E948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02E17"/>
    <w:multiLevelType w:val="hybridMultilevel"/>
    <w:tmpl w:val="E098E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17B65"/>
    <w:multiLevelType w:val="hybridMultilevel"/>
    <w:tmpl w:val="491ABE9E"/>
    <w:lvl w:ilvl="0" w:tplc="E3B06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8112C"/>
    <w:multiLevelType w:val="hybridMultilevel"/>
    <w:tmpl w:val="E6E43CBA"/>
    <w:lvl w:ilvl="0" w:tplc="D7A210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94A0C"/>
    <w:multiLevelType w:val="multilevel"/>
    <w:tmpl w:val="C6288F34"/>
    <w:styleLink w:val="MSIHeadingsList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EA208C"/>
    <w:multiLevelType w:val="hybridMultilevel"/>
    <w:tmpl w:val="B95A5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19"/>
  </w:num>
  <w:num w:numId="5">
    <w:abstractNumId w:val="28"/>
  </w:num>
  <w:num w:numId="6">
    <w:abstractNumId w:val="25"/>
  </w:num>
  <w:num w:numId="7">
    <w:abstractNumId w:val="4"/>
  </w:num>
  <w:num w:numId="8">
    <w:abstractNumId w:val="26"/>
  </w:num>
  <w:num w:numId="9">
    <w:abstractNumId w:val="7"/>
  </w:num>
  <w:num w:numId="10">
    <w:abstractNumId w:val="21"/>
  </w:num>
  <w:num w:numId="11">
    <w:abstractNumId w:val="5"/>
  </w:num>
  <w:num w:numId="12">
    <w:abstractNumId w:val="2"/>
  </w:num>
  <w:num w:numId="13">
    <w:abstractNumId w:val="3"/>
  </w:num>
  <w:num w:numId="14">
    <w:abstractNumId w:val="17"/>
  </w:num>
  <w:num w:numId="15">
    <w:abstractNumId w:val="16"/>
  </w:num>
  <w:num w:numId="16">
    <w:abstractNumId w:val="23"/>
  </w:num>
  <w:num w:numId="17">
    <w:abstractNumId w:val="14"/>
  </w:num>
  <w:num w:numId="18">
    <w:abstractNumId w:val="6"/>
  </w:num>
  <w:num w:numId="19">
    <w:abstractNumId w:val="15"/>
  </w:num>
  <w:num w:numId="20">
    <w:abstractNumId w:val="13"/>
  </w:num>
  <w:num w:numId="21">
    <w:abstractNumId w:val="18"/>
  </w:num>
  <w:num w:numId="22">
    <w:abstractNumId w:val="1"/>
  </w:num>
  <w:num w:numId="23">
    <w:abstractNumId w:val="10"/>
  </w:num>
  <w:num w:numId="24">
    <w:abstractNumId w:val="8"/>
  </w:num>
  <w:num w:numId="25">
    <w:abstractNumId w:val="29"/>
  </w:num>
  <w:num w:numId="26">
    <w:abstractNumId w:val="12"/>
  </w:num>
  <w:num w:numId="27">
    <w:abstractNumId w:val="20"/>
  </w:num>
  <w:num w:numId="28">
    <w:abstractNumId w:val="11"/>
  </w:num>
  <w:num w:numId="29">
    <w:abstractNumId w:val="9"/>
    <w:lvlOverride w:ilvl="0">
      <w:lvl w:ilvl="0">
        <w:start w:val="1"/>
        <w:numFmt w:val="decimal"/>
        <w:pStyle w:val="ReportBody-MOH"/>
        <w:lvlText w:val="%1."/>
        <w:lvlJc w:val="left"/>
        <w:pPr>
          <w:ind w:left="851" w:hanging="851"/>
        </w:pPr>
        <w:rPr>
          <w:rFonts w:hint="default"/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055fx0pep2f9edzt2ppp2kr2x90zsw0fe2&quot;&gt;sa_forms-power_scienceandtechnologyadvisory@health.govt.nz&lt;record-ids&gt;&lt;item&gt;5272&lt;/item&gt;&lt;item&gt;5559&lt;/item&gt;&lt;item&gt;5566&lt;/item&gt;&lt;/record-ids&gt;&lt;/item&gt;&lt;/Libraries&gt;"/>
  </w:docVars>
  <w:rsids>
    <w:rsidRoot w:val="006F3367"/>
    <w:rsid w:val="00000541"/>
    <w:rsid w:val="00004245"/>
    <w:rsid w:val="0000521F"/>
    <w:rsid w:val="000054C9"/>
    <w:rsid w:val="00006A6F"/>
    <w:rsid w:val="0002475A"/>
    <w:rsid w:val="0002732F"/>
    <w:rsid w:val="0002748D"/>
    <w:rsid w:val="00033EF8"/>
    <w:rsid w:val="00034DF2"/>
    <w:rsid w:val="000353F6"/>
    <w:rsid w:val="000362EA"/>
    <w:rsid w:val="00037DC3"/>
    <w:rsid w:val="000401C3"/>
    <w:rsid w:val="00040A3F"/>
    <w:rsid w:val="00042110"/>
    <w:rsid w:val="00047ED6"/>
    <w:rsid w:val="000513FA"/>
    <w:rsid w:val="000522EB"/>
    <w:rsid w:val="000555C0"/>
    <w:rsid w:val="00062720"/>
    <w:rsid w:val="00063909"/>
    <w:rsid w:val="0007053F"/>
    <w:rsid w:val="00070728"/>
    <w:rsid w:val="00071734"/>
    <w:rsid w:val="000775D0"/>
    <w:rsid w:val="00085315"/>
    <w:rsid w:val="00094D12"/>
    <w:rsid w:val="000A39ED"/>
    <w:rsid w:val="000A5733"/>
    <w:rsid w:val="000A6EA2"/>
    <w:rsid w:val="000B11A0"/>
    <w:rsid w:val="000B31CC"/>
    <w:rsid w:val="000B3CEF"/>
    <w:rsid w:val="000C02C7"/>
    <w:rsid w:val="000C0BC5"/>
    <w:rsid w:val="000D0F0A"/>
    <w:rsid w:val="000D3B52"/>
    <w:rsid w:val="000D6583"/>
    <w:rsid w:val="000E17BC"/>
    <w:rsid w:val="000E4175"/>
    <w:rsid w:val="000F0C4E"/>
    <w:rsid w:val="000F3459"/>
    <w:rsid w:val="000F43E0"/>
    <w:rsid w:val="000F4B57"/>
    <w:rsid w:val="000F5E36"/>
    <w:rsid w:val="000F5E3E"/>
    <w:rsid w:val="000F6A58"/>
    <w:rsid w:val="001052F3"/>
    <w:rsid w:val="00111086"/>
    <w:rsid w:val="0011457A"/>
    <w:rsid w:val="001154B4"/>
    <w:rsid w:val="001259A6"/>
    <w:rsid w:val="00125AD5"/>
    <w:rsid w:val="00127546"/>
    <w:rsid w:val="001302FA"/>
    <w:rsid w:val="001316C8"/>
    <w:rsid w:val="0013340F"/>
    <w:rsid w:val="00135FF0"/>
    <w:rsid w:val="00137501"/>
    <w:rsid w:val="00142778"/>
    <w:rsid w:val="00145AF8"/>
    <w:rsid w:val="00145FE1"/>
    <w:rsid w:val="0015211E"/>
    <w:rsid w:val="001560BF"/>
    <w:rsid w:val="00156389"/>
    <w:rsid w:val="001569F8"/>
    <w:rsid w:val="00161BEB"/>
    <w:rsid w:val="00167D41"/>
    <w:rsid w:val="00172782"/>
    <w:rsid w:val="00173D4F"/>
    <w:rsid w:val="00174A5C"/>
    <w:rsid w:val="001750FF"/>
    <w:rsid w:val="0018042F"/>
    <w:rsid w:val="00182814"/>
    <w:rsid w:val="0018495E"/>
    <w:rsid w:val="00184E36"/>
    <w:rsid w:val="00185C77"/>
    <w:rsid w:val="001872FA"/>
    <w:rsid w:val="001919FA"/>
    <w:rsid w:val="00194CA2"/>
    <w:rsid w:val="0019592A"/>
    <w:rsid w:val="001A2B48"/>
    <w:rsid w:val="001A4FDC"/>
    <w:rsid w:val="001B4806"/>
    <w:rsid w:val="001B5A1D"/>
    <w:rsid w:val="001C141A"/>
    <w:rsid w:val="001C255E"/>
    <w:rsid w:val="001C272C"/>
    <w:rsid w:val="001C3B7E"/>
    <w:rsid w:val="001C42A2"/>
    <w:rsid w:val="001C4B4B"/>
    <w:rsid w:val="001D00C6"/>
    <w:rsid w:val="001D06AF"/>
    <w:rsid w:val="001D719F"/>
    <w:rsid w:val="001D7BE9"/>
    <w:rsid w:val="001D7C34"/>
    <w:rsid w:val="001E223E"/>
    <w:rsid w:val="001E25A2"/>
    <w:rsid w:val="001E7319"/>
    <w:rsid w:val="001E7E9B"/>
    <w:rsid w:val="001F6AF6"/>
    <w:rsid w:val="001F7665"/>
    <w:rsid w:val="00202DB5"/>
    <w:rsid w:val="002107C3"/>
    <w:rsid w:val="002113B4"/>
    <w:rsid w:val="002134AC"/>
    <w:rsid w:val="002143B2"/>
    <w:rsid w:val="00214CE0"/>
    <w:rsid w:val="00214EE1"/>
    <w:rsid w:val="00217B01"/>
    <w:rsid w:val="00221A9F"/>
    <w:rsid w:val="0022211D"/>
    <w:rsid w:val="00222301"/>
    <w:rsid w:val="002328B3"/>
    <w:rsid w:val="00245DBA"/>
    <w:rsid w:val="002528DC"/>
    <w:rsid w:val="00260784"/>
    <w:rsid w:val="00262AE7"/>
    <w:rsid w:val="00262BD7"/>
    <w:rsid w:val="00271BD2"/>
    <w:rsid w:val="002814DF"/>
    <w:rsid w:val="00283FFB"/>
    <w:rsid w:val="00285E58"/>
    <w:rsid w:val="00287068"/>
    <w:rsid w:val="002A22F1"/>
    <w:rsid w:val="002A4C5C"/>
    <w:rsid w:val="002A5BCA"/>
    <w:rsid w:val="002A79DA"/>
    <w:rsid w:val="002B3273"/>
    <w:rsid w:val="002B3BF2"/>
    <w:rsid w:val="002B3E1C"/>
    <w:rsid w:val="002C0192"/>
    <w:rsid w:val="002C0635"/>
    <w:rsid w:val="002C1CA1"/>
    <w:rsid w:val="002C4968"/>
    <w:rsid w:val="002C572B"/>
    <w:rsid w:val="002C6442"/>
    <w:rsid w:val="002D0FBC"/>
    <w:rsid w:val="002D2F7E"/>
    <w:rsid w:val="002E1A55"/>
    <w:rsid w:val="002E3CAE"/>
    <w:rsid w:val="002E3D55"/>
    <w:rsid w:val="002E4D7D"/>
    <w:rsid w:val="002E5576"/>
    <w:rsid w:val="002E6B07"/>
    <w:rsid w:val="002F1532"/>
    <w:rsid w:val="002F6ABE"/>
    <w:rsid w:val="002F7A43"/>
    <w:rsid w:val="002F7C79"/>
    <w:rsid w:val="0030467E"/>
    <w:rsid w:val="00307E17"/>
    <w:rsid w:val="00312D2E"/>
    <w:rsid w:val="00314904"/>
    <w:rsid w:val="00315C75"/>
    <w:rsid w:val="00320F80"/>
    <w:rsid w:val="00322E24"/>
    <w:rsid w:val="0032541E"/>
    <w:rsid w:val="00325BED"/>
    <w:rsid w:val="00333AC3"/>
    <w:rsid w:val="00336A85"/>
    <w:rsid w:val="00340D21"/>
    <w:rsid w:val="00343F44"/>
    <w:rsid w:val="003512DE"/>
    <w:rsid w:val="00354BB0"/>
    <w:rsid w:val="00357E4C"/>
    <w:rsid w:val="00365E38"/>
    <w:rsid w:val="00366A2A"/>
    <w:rsid w:val="00373E2E"/>
    <w:rsid w:val="003767BF"/>
    <w:rsid w:val="00376C27"/>
    <w:rsid w:val="00381134"/>
    <w:rsid w:val="00381B47"/>
    <w:rsid w:val="00387286"/>
    <w:rsid w:val="003939F5"/>
    <w:rsid w:val="0039729A"/>
    <w:rsid w:val="003A1E89"/>
    <w:rsid w:val="003A4DCB"/>
    <w:rsid w:val="003A648D"/>
    <w:rsid w:val="003B0D12"/>
    <w:rsid w:val="003B151B"/>
    <w:rsid w:val="003B178F"/>
    <w:rsid w:val="003B4C8C"/>
    <w:rsid w:val="003C06AF"/>
    <w:rsid w:val="003C1778"/>
    <w:rsid w:val="003C1F2B"/>
    <w:rsid w:val="003C339A"/>
    <w:rsid w:val="003C40AD"/>
    <w:rsid w:val="003C4A6F"/>
    <w:rsid w:val="003D06BB"/>
    <w:rsid w:val="003D290B"/>
    <w:rsid w:val="003E5D52"/>
    <w:rsid w:val="003F65A4"/>
    <w:rsid w:val="003F7D5F"/>
    <w:rsid w:val="00402688"/>
    <w:rsid w:val="00403018"/>
    <w:rsid w:val="00412F9A"/>
    <w:rsid w:val="0041336B"/>
    <w:rsid w:val="0041373C"/>
    <w:rsid w:val="00421584"/>
    <w:rsid w:val="00426DED"/>
    <w:rsid w:val="004415FC"/>
    <w:rsid w:val="004429CE"/>
    <w:rsid w:val="00444125"/>
    <w:rsid w:val="00446DED"/>
    <w:rsid w:val="004534A6"/>
    <w:rsid w:val="00455A74"/>
    <w:rsid w:val="00460AD8"/>
    <w:rsid w:val="00466AD6"/>
    <w:rsid w:val="00467560"/>
    <w:rsid w:val="004707C4"/>
    <w:rsid w:val="00471660"/>
    <w:rsid w:val="00473474"/>
    <w:rsid w:val="0047430B"/>
    <w:rsid w:val="004841BB"/>
    <w:rsid w:val="00484304"/>
    <w:rsid w:val="00493FCC"/>
    <w:rsid w:val="00495B8A"/>
    <w:rsid w:val="00496DEE"/>
    <w:rsid w:val="004A0A6E"/>
    <w:rsid w:val="004A1606"/>
    <w:rsid w:val="004A3ADA"/>
    <w:rsid w:val="004A567F"/>
    <w:rsid w:val="004A5ABB"/>
    <w:rsid w:val="004A6784"/>
    <w:rsid w:val="004B0B07"/>
    <w:rsid w:val="004B25D2"/>
    <w:rsid w:val="004B2D48"/>
    <w:rsid w:val="004B55A0"/>
    <w:rsid w:val="004C2D53"/>
    <w:rsid w:val="004C34F4"/>
    <w:rsid w:val="004C6ED8"/>
    <w:rsid w:val="004C7A2F"/>
    <w:rsid w:val="004D1E25"/>
    <w:rsid w:val="004E0A73"/>
    <w:rsid w:val="004E3CA8"/>
    <w:rsid w:val="004E6F3E"/>
    <w:rsid w:val="004F16FF"/>
    <w:rsid w:val="004F2699"/>
    <w:rsid w:val="004F2AFF"/>
    <w:rsid w:val="004F70FB"/>
    <w:rsid w:val="00501886"/>
    <w:rsid w:val="0050559D"/>
    <w:rsid w:val="005121FF"/>
    <w:rsid w:val="005176B6"/>
    <w:rsid w:val="0051776A"/>
    <w:rsid w:val="00521B6C"/>
    <w:rsid w:val="0052340E"/>
    <w:rsid w:val="00524D9D"/>
    <w:rsid w:val="00530A21"/>
    <w:rsid w:val="00531D3C"/>
    <w:rsid w:val="00533097"/>
    <w:rsid w:val="005342FE"/>
    <w:rsid w:val="00535B1B"/>
    <w:rsid w:val="0053761D"/>
    <w:rsid w:val="005414B2"/>
    <w:rsid w:val="00543253"/>
    <w:rsid w:val="005449B4"/>
    <w:rsid w:val="00550005"/>
    <w:rsid w:val="005509ED"/>
    <w:rsid w:val="00552AB2"/>
    <w:rsid w:val="005535D2"/>
    <w:rsid w:val="00554202"/>
    <w:rsid w:val="00554AC6"/>
    <w:rsid w:val="00555EF7"/>
    <w:rsid w:val="00560680"/>
    <w:rsid w:val="005606FE"/>
    <w:rsid w:val="00566821"/>
    <w:rsid w:val="005706B7"/>
    <w:rsid w:val="00571525"/>
    <w:rsid w:val="00574156"/>
    <w:rsid w:val="00576DD3"/>
    <w:rsid w:val="0058178F"/>
    <w:rsid w:val="00581966"/>
    <w:rsid w:val="00583D28"/>
    <w:rsid w:val="00593AEA"/>
    <w:rsid w:val="00595512"/>
    <w:rsid w:val="005A1CDB"/>
    <w:rsid w:val="005A2887"/>
    <w:rsid w:val="005A3638"/>
    <w:rsid w:val="005A388C"/>
    <w:rsid w:val="005A574A"/>
    <w:rsid w:val="005A64B9"/>
    <w:rsid w:val="005B1BE5"/>
    <w:rsid w:val="005B6F76"/>
    <w:rsid w:val="005C5416"/>
    <w:rsid w:val="005C71C7"/>
    <w:rsid w:val="005D30E9"/>
    <w:rsid w:val="005D61C2"/>
    <w:rsid w:val="005D6AEA"/>
    <w:rsid w:val="005E0606"/>
    <w:rsid w:val="005E4814"/>
    <w:rsid w:val="005E55BD"/>
    <w:rsid w:val="005E7E3C"/>
    <w:rsid w:val="005F3FB5"/>
    <w:rsid w:val="005F4923"/>
    <w:rsid w:val="005F5A0C"/>
    <w:rsid w:val="00600745"/>
    <w:rsid w:val="00600CCC"/>
    <w:rsid w:val="006028B1"/>
    <w:rsid w:val="00605D0A"/>
    <w:rsid w:val="00612F7C"/>
    <w:rsid w:val="006153DF"/>
    <w:rsid w:val="006246A2"/>
    <w:rsid w:val="00625ED9"/>
    <w:rsid w:val="00630062"/>
    <w:rsid w:val="00640D06"/>
    <w:rsid w:val="006445E6"/>
    <w:rsid w:val="006467E2"/>
    <w:rsid w:val="00650FF7"/>
    <w:rsid w:val="0065475A"/>
    <w:rsid w:val="00656EB6"/>
    <w:rsid w:val="00661EBC"/>
    <w:rsid w:val="00665F30"/>
    <w:rsid w:val="00666215"/>
    <w:rsid w:val="00674D15"/>
    <w:rsid w:val="0067706C"/>
    <w:rsid w:val="00680B0C"/>
    <w:rsid w:val="00681828"/>
    <w:rsid w:val="00682523"/>
    <w:rsid w:val="006825B2"/>
    <w:rsid w:val="00682D54"/>
    <w:rsid w:val="00687BB9"/>
    <w:rsid w:val="00690F81"/>
    <w:rsid w:val="00695D42"/>
    <w:rsid w:val="00697B39"/>
    <w:rsid w:val="00697F5F"/>
    <w:rsid w:val="006A0977"/>
    <w:rsid w:val="006A25F3"/>
    <w:rsid w:val="006A3DD5"/>
    <w:rsid w:val="006A5EB5"/>
    <w:rsid w:val="006A6B8C"/>
    <w:rsid w:val="006A6EE8"/>
    <w:rsid w:val="006A6FD9"/>
    <w:rsid w:val="006B0F23"/>
    <w:rsid w:val="006C32B7"/>
    <w:rsid w:val="006C53B5"/>
    <w:rsid w:val="006C71BD"/>
    <w:rsid w:val="006D300E"/>
    <w:rsid w:val="006D328A"/>
    <w:rsid w:val="006E15BC"/>
    <w:rsid w:val="006E2DD6"/>
    <w:rsid w:val="006E4856"/>
    <w:rsid w:val="006E48CC"/>
    <w:rsid w:val="006E4D73"/>
    <w:rsid w:val="006E6036"/>
    <w:rsid w:val="006F0225"/>
    <w:rsid w:val="006F07F1"/>
    <w:rsid w:val="006F2161"/>
    <w:rsid w:val="006F3367"/>
    <w:rsid w:val="006F491B"/>
    <w:rsid w:val="006F5082"/>
    <w:rsid w:val="00712014"/>
    <w:rsid w:val="00712D14"/>
    <w:rsid w:val="00712EBD"/>
    <w:rsid w:val="0071598B"/>
    <w:rsid w:val="007169D6"/>
    <w:rsid w:val="00722148"/>
    <w:rsid w:val="00726730"/>
    <w:rsid w:val="00727124"/>
    <w:rsid w:val="007322BA"/>
    <w:rsid w:val="007343A5"/>
    <w:rsid w:val="00734A28"/>
    <w:rsid w:val="00743DEA"/>
    <w:rsid w:val="007466B5"/>
    <w:rsid w:val="0074681E"/>
    <w:rsid w:val="007523CF"/>
    <w:rsid w:val="00753C42"/>
    <w:rsid w:val="0075684F"/>
    <w:rsid w:val="007630A5"/>
    <w:rsid w:val="007650AE"/>
    <w:rsid w:val="00765208"/>
    <w:rsid w:val="0076722C"/>
    <w:rsid w:val="00773E40"/>
    <w:rsid w:val="00780493"/>
    <w:rsid w:val="00783746"/>
    <w:rsid w:val="00784366"/>
    <w:rsid w:val="00794627"/>
    <w:rsid w:val="00794C7C"/>
    <w:rsid w:val="00796EED"/>
    <w:rsid w:val="0079788E"/>
    <w:rsid w:val="007A04ED"/>
    <w:rsid w:val="007A0E2E"/>
    <w:rsid w:val="007A1F0B"/>
    <w:rsid w:val="007A6117"/>
    <w:rsid w:val="007A6B71"/>
    <w:rsid w:val="007A7FB1"/>
    <w:rsid w:val="007B526C"/>
    <w:rsid w:val="007B7B88"/>
    <w:rsid w:val="007C00F4"/>
    <w:rsid w:val="007C32AF"/>
    <w:rsid w:val="007C49BA"/>
    <w:rsid w:val="007D1379"/>
    <w:rsid w:val="007D64C5"/>
    <w:rsid w:val="007D7720"/>
    <w:rsid w:val="007E21F1"/>
    <w:rsid w:val="007E222A"/>
    <w:rsid w:val="007E262D"/>
    <w:rsid w:val="007E2AC9"/>
    <w:rsid w:val="007E2F7C"/>
    <w:rsid w:val="007F04CF"/>
    <w:rsid w:val="007F33A1"/>
    <w:rsid w:val="007F591F"/>
    <w:rsid w:val="007F7291"/>
    <w:rsid w:val="007F78ED"/>
    <w:rsid w:val="007F7FC2"/>
    <w:rsid w:val="00813436"/>
    <w:rsid w:val="0081532C"/>
    <w:rsid w:val="00816390"/>
    <w:rsid w:val="008164FC"/>
    <w:rsid w:val="00821BFC"/>
    <w:rsid w:val="0082389B"/>
    <w:rsid w:val="00824AFC"/>
    <w:rsid w:val="008275AA"/>
    <w:rsid w:val="00830DB1"/>
    <w:rsid w:val="008326A9"/>
    <w:rsid w:val="0083471F"/>
    <w:rsid w:val="00836BB9"/>
    <w:rsid w:val="008402E6"/>
    <w:rsid w:val="008475AF"/>
    <w:rsid w:val="0086032A"/>
    <w:rsid w:val="00861080"/>
    <w:rsid w:val="00870BED"/>
    <w:rsid w:val="00875626"/>
    <w:rsid w:val="00881030"/>
    <w:rsid w:val="00881EDC"/>
    <w:rsid w:val="008849D1"/>
    <w:rsid w:val="008904F6"/>
    <w:rsid w:val="008920EE"/>
    <w:rsid w:val="008A1E01"/>
    <w:rsid w:val="008A6B71"/>
    <w:rsid w:val="008A79C9"/>
    <w:rsid w:val="008A7EAB"/>
    <w:rsid w:val="008B09B9"/>
    <w:rsid w:val="008B186E"/>
    <w:rsid w:val="008B49ED"/>
    <w:rsid w:val="008B6316"/>
    <w:rsid w:val="008C0A1D"/>
    <w:rsid w:val="008C3114"/>
    <w:rsid w:val="008C4EFC"/>
    <w:rsid w:val="008D2CAF"/>
    <w:rsid w:val="008D3352"/>
    <w:rsid w:val="008D4706"/>
    <w:rsid w:val="008E23D8"/>
    <w:rsid w:val="008F3D36"/>
    <w:rsid w:val="008F6F27"/>
    <w:rsid w:val="008F7843"/>
    <w:rsid w:val="00901C1C"/>
    <w:rsid w:val="009051D6"/>
    <w:rsid w:val="00910E3B"/>
    <w:rsid w:val="009112AD"/>
    <w:rsid w:val="00913B73"/>
    <w:rsid w:val="009160DF"/>
    <w:rsid w:val="00916474"/>
    <w:rsid w:val="009176B3"/>
    <w:rsid w:val="009201FF"/>
    <w:rsid w:val="00922895"/>
    <w:rsid w:val="009234DE"/>
    <w:rsid w:val="0092518E"/>
    <w:rsid w:val="00926AA4"/>
    <w:rsid w:val="00933056"/>
    <w:rsid w:val="009343D1"/>
    <w:rsid w:val="00936F5D"/>
    <w:rsid w:val="0094184E"/>
    <w:rsid w:val="00943BBE"/>
    <w:rsid w:val="00944959"/>
    <w:rsid w:val="00947465"/>
    <w:rsid w:val="00950DB9"/>
    <w:rsid w:val="0095192C"/>
    <w:rsid w:val="00955203"/>
    <w:rsid w:val="0096384A"/>
    <w:rsid w:val="009654AC"/>
    <w:rsid w:val="00967391"/>
    <w:rsid w:val="00967655"/>
    <w:rsid w:val="00967C77"/>
    <w:rsid w:val="00975278"/>
    <w:rsid w:val="00975B24"/>
    <w:rsid w:val="00976368"/>
    <w:rsid w:val="00976BFE"/>
    <w:rsid w:val="0098130A"/>
    <w:rsid w:val="00983438"/>
    <w:rsid w:val="009840F5"/>
    <w:rsid w:val="00991898"/>
    <w:rsid w:val="009935F5"/>
    <w:rsid w:val="009944C5"/>
    <w:rsid w:val="00994CE1"/>
    <w:rsid w:val="00996838"/>
    <w:rsid w:val="009A25F8"/>
    <w:rsid w:val="009A5269"/>
    <w:rsid w:val="009A7857"/>
    <w:rsid w:val="009A7B73"/>
    <w:rsid w:val="009A7B80"/>
    <w:rsid w:val="009B1252"/>
    <w:rsid w:val="009B1F68"/>
    <w:rsid w:val="009C2965"/>
    <w:rsid w:val="009E0843"/>
    <w:rsid w:val="009E36C3"/>
    <w:rsid w:val="009E3E9B"/>
    <w:rsid w:val="009E6DFA"/>
    <w:rsid w:val="009F16B9"/>
    <w:rsid w:val="009F3633"/>
    <w:rsid w:val="009F440B"/>
    <w:rsid w:val="00A00850"/>
    <w:rsid w:val="00A03A50"/>
    <w:rsid w:val="00A056EE"/>
    <w:rsid w:val="00A13E78"/>
    <w:rsid w:val="00A15601"/>
    <w:rsid w:val="00A21584"/>
    <w:rsid w:val="00A27675"/>
    <w:rsid w:val="00A32739"/>
    <w:rsid w:val="00A3569C"/>
    <w:rsid w:val="00A42DEB"/>
    <w:rsid w:val="00A4393A"/>
    <w:rsid w:val="00A46EEE"/>
    <w:rsid w:val="00A54CA9"/>
    <w:rsid w:val="00A54CF8"/>
    <w:rsid w:val="00A602B6"/>
    <w:rsid w:val="00A61A27"/>
    <w:rsid w:val="00A628A7"/>
    <w:rsid w:val="00A67CDD"/>
    <w:rsid w:val="00A7095B"/>
    <w:rsid w:val="00A762D9"/>
    <w:rsid w:val="00A76570"/>
    <w:rsid w:val="00A7708F"/>
    <w:rsid w:val="00A91B68"/>
    <w:rsid w:val="00A93287"/>
    <w:rsid w:val="00A956FB"/>
    <w:rsid w:val="00AA035D"/>
    <w:rsid w:val="00AA35E2"/>
    <w:rsid w:val="00AA6DDB"/>
    <w:rsid w:val="00AC3A50"/>
    <w:rsid w:val="00AC6E44"/>
    <w:rsid w:val="00AD18D6"/>
    <w:rsid w:val="00AE1524"/>
    <w:rsid w:val="00AE222A"/>
    <w:rsid w:val="00AE2E2A"/>
    <w:rsid w:val="00AE5510"/>
    <w:rsid w:val="00AE745F"/>
    <w:rsid w:val="00B005CD"/>
    <w:rsid w:val="00B03DC5"/>
    <w:rsid w:val="00B05DFE"/>
    <w:rsid w:val="00B066F9"/>
    <w:rsid w:val="00B0683F"/>
    <w:rsid w:val="00B0713A"/>
    <w:rsid w:val="00B10C53"/>
    <w:rsid w:val="00B1188E"/>
    <w:rsid w:val="00B203A2"/>
    <w:rsid w:val="00B2466B"/>
    <w:rsid w:val="00B27F40"/>
    <w:rsid w:val="00B337DE"/>
    <w:rsid w:val="00B345EF"/>
    <w:rsid w:val="00B422FA"/>
    <w:rsid w:val="00B435C8"/>
    <w:rsid w:val="00B449D8"/>
    <w:rsid w:val="00B45161"/>
    <w:rsid w:val="00B46AB5"/>
    <w:rsid w:val="00B501EC"/>
    <w:rsid w:val="00B51E24"/>
    <w:rsid w:val="00B52BE5"/>
    <w:rsid w:val="00B52ED4"/>
    <w:rsid w:val="00B53A19"/>
    <w:rsid w:val="00B54450"/>
    <w:rsid w:val="00B54830"/>
    <w:rsid w:val="00B573E5"/>
    <w:rsid w:val="00B61E20"/>
    <w:rsid w:val="00B62944"/>
    <w:rsid w:val="00B6379C"/>
    <w:rsid w:val="00B658A7"/>
    <w:rsid w:val="00B662A3"/>
    <w:rsid w:val="00B67EA3"/>
    <w:rsid w:val="00B715DA"/>
    <w:rsid w:val="00B72DAD"/>
    <w:rsid w:val="00B73B64"/>
    <w:rsid w:val="00B7649A"/>
    <w:rsid w:val="00B801D9"/>
    <w:rsid w:val="00B8049A"/>
    <w:rsid w:val="00B80DBF"/>
    <w:rsid w:val="00B810A0"/>
    <w:rsid w:val="00B8170E"/>
    <w:rsid w:val="00B824A0"/>
    <w:rsid w:val="00B82AD2"/>
    <w:rsid w:val="00B82C48"/>
    <w:rsid w:val="00B8511D"/>
    <w:rsid w:val="00B916B8"/>
    <w:rsid w:val="00B941D4"/>
    <w:rsid w:val="00B952DD"/>
    <w:rsid w:val="00B955EB"/>
    <w:rsid w:val="00B965A8"/>
    <w:rsid w:val="00BA02BB"/>
    <w:rsid w:val="00BA0341"/>
    <w:rsid w:val="00BA1CD2"/>
    <w:rsid w:val="00BA6B3F"/>
    <w:rsid w:val="00BB2440"/>
    <w:rsid w:val="00BB4B60"/>
    <w:rsid w:val="00BB5C9B"/>
    <w:rsid w:val="00BB7B9B"/>
    <w:rsid w:val="00BC0407"/>
    <w:rsid w:val="00BC183F"/>
    <w:rsid w:val="00BC22F5"/>
    <w:rsid w:val="00BC778B"/>
    <w:rsid w:val="00BD2345"/>
    <w:rsid w:val="00BD2B89"/>
    <w:rsid w:val="00BD732D"/>
    <w:rsid w:val="00BD7C82"/>
    <w:rsid w:val="00BE0C09"/>
    <w:rsid w:val="00BE10C2"/>
    <w:rsid w:val="00BE1345"/>
    <w:rsid w:val="00BE4AA6"/>
    <w:rsid w:val="00BE651D"/>
    <w:rsid w:val="00BE65A8"/>
    <w:rsid w:val="00BE74F1"/>
    <w:rsid w:val="00BF6FC4"/>
    <w:rsid w:val="00BF7714"/>
    <w:rsid w:val="00BF7983"/>
    <w:rsid w:val="00C0267F"/>
    <w:rsid w:val="00C03FCA"/>
    <w:rsid w:val="00C06FEE"/>
    <w:rsid w:val="00C116ED"/>
    <w:rsid w:val="00C11756"/>
    <w:rsid w:val="00C16166"/>
    <w:rsid w:val="00C21B16"/>
    <w:rsid w:val="00C23DEC"/>
    <w:rsid w:val="00C240DC"/>
    <w:rsid w:val="00C25E33"/>
    <w:rsid w:val="00C4241C"/>
    <w:rsid w:val="00C4458F"/>
    <w:rsid w:val="00C4540A"/>
    <w:rsid w:val="00C46951"/>
    <w:rsid w:val="00C52CB4"/>
    <w:rsid w:val="00C668C9"/>
    <w:rsid w:val="00C718D1"/>
    <w:rsid w:val="00C75616"/>
    <w:rsid w:val="00C75EBF"/>
    <w:rsid w:val="00C77937"/>
    <w:rsid w:val="00C82A2F"/>
    <w:rsid w:val="00C82BE7"/>
    <w:rsid w:val="00C87ED4"/>
    <w:rsid w:val="00C9169C"/>
    <w:rsid w:val="00C94A22"/>
    <w:rsid w:val="00C94CC6"/>
    <w:rsid w:val="00C977F5"/>
    <w:rsid w:val="00CA5EF7"/>
    <w:rsid w:val="00CB7906"/>
    <w:rsid w:val="00CC07B1"/>
    <w:rsid w:val="00CC48AE"/>
    <w:rsid w:val="00CC6C22"/>
    <w:rsid w:val="00CD3075"/>
    <w:rsid w:val="00CD460E"/>
    <w:rsid w:val="00CD608F"/>
    <w:rsid w:val="00CE0F11"/>
    <w:rsid w:val="00CE2813"/>
    <w:rsid w:val="00CE799A"/>
    <w:rsid w:val="00CF211F"/>
    <w:rsid w:val="00D044F5"/>
    <w:rsid w:val="00D12A90"/>
    <w:rsid w:val="00D13407"/>
    <w:rsid w:val="00D13CAD"/>
    <w:rsid w:val="00D16163"/>
    <w:rsid w:val="00D1716F"/>
    <w:rsid w:val="00D20634"/>
    <w:rsid w:val="00D22783"/>
    <w:rsid w:val="00D2383D"/>
    <w:rsid w:val="00D27CCC"/>
    <w:rsid w:val="00D32B18"/>
    <w:rsid w:val="00D35063"/>
    <w:rsid w:val="00D3709C"/>
    <w:rsid w:val="00D41DCE"/>
    <w:rsid w:val="00D45DDD"/>
    <w:rsid w:val="00D4634E"/>
    <w:rsid w:val="00D4754E"/>
    <w:rsid w:val="00D50FDD"/>
    <w:rsid w:val="00D55027"/>
    <w:rsid w:val="00D56EF8"/>
    <w:rsid w:val="00D574BD"/>
    <w:rsid w:val="00D576C1"/>
    <w:rsid w:val="00D57E5C"/>
    <w:rsid w:val="00D60C22"/>
    <w:rsid w:val="00D61FE0"/>
    <w:rsid w:val="00D66E35"/>
    <w:rsid w:val="00D72D12"/>
    <w:rsid w:val="00D80454"/>
    <w:rsid w:val="00D85734"/>
    <w:rsid w:val="00D9007A"/>
    <w:rsid w:val="00D9207E"/>
    <w:rsid w:val="00D92ABA"/>
    <w:rsid w:val="00D92FDC"/>
    <w:rsid w:val="00DC371F"/>
    <w:rsid w:val="00DC5646"/>
    <w:rsid w:val="00DD1871"/>
    <w:rsid w:val="00DD2F03"/>
    <w:rsid w:val="00DD3269"/>
    <w:rsid w:val="00DD5577"/>
    <w:rsid w:val="00DD565D"/>
    <w:rsid w:val="00DD7E28"/>
    <w:rsid w:val="00DD7F93"/>
    <w:rsid w:val="00DE3660"/>
    <w:rsid w:val="00DE404E"/>
    <w:rsid w:val="00DE505C"/>
    <w:rsid w:val="00DE6D66"/>
    <w:rsid w:val="00DF6715"/>
    <w:rsid w:val="00E02345"/>
    <w:rsid w:val="00E02874"/>
    <w:rsid w:val="00E04AF2"/>
    <w:rsid w:val="00E12C54"/>
    <w:rsid w:val="00E2101F"/>
    <w:rsid w:val="00E21B5C"/>
    <w:rsid w:val="00E234E1"/>
    <w:rsid w:val="00E23BC4"/>
    <w:rsid w:val="00E2506E"/>
    <w:rsid w:val="00E35D7C"/>
    <w:rsid w:val="00E3636A"/>
    <w:rsid w:val="00E51ED8"/>
    <w:rsid w:val="00E60A7E"/>
    <w:rsid w:val="00E66BC2"/>
    <w:rsid w:val="00E67CE1"/>
    <w:rsid w:val="00E71A4E"/>
    <w:rsid w:val="00E816CA"/>
    <w:rsid w:val="00E83004"/>
    <w:rsid w:val="00E87B49"/>
    <w:rsid w:val="00E93D5F"/>
    <w:rsid w:val="00E96490"/>
    <w:rsid w:val="00EA2E9C"/>
    <w:rsid w:val="00EA31A6"/>
    <w:rsid w:val="00EB289B"/>
    <w:rsid w:val="00EB314E"/>
    <w:rsid w:val="00EB6445"/>
    <w:rsid w:val="00EB6D51"/>
    <w:rsid w:val="00EC22A4"/>
    <w:rsid w:val="00EC51EA"/>
    <w:rsid w:val="00ED1D81"/>
    <w:rsid w:val="00ED1FF4"/>
    <w:rsid w:val="00ED2336"/>
    <w:rsid w:val="00EE4995"/>
    <w:rsid w:val="00EE5FDD"/>
    <w:rsid w:val="00EE6110"/>
    <w:rsid w:val="00EE6F08"/>
    <w:rsid w:val="00EF0E8E"/>
    <w:rsid w:val="00EF149A"/>
    <w:rsid w:val="00EF14FF"/>
    <w:rsid w:val="00EF5430"/>
    <w:rsid w:val="00EF6E51"/>
    <w:rsid w:val="00F14AE7"/>
    <w:rsid w:val="00F15512"/>
    <w:rsid w:val="00F16DD6"/>
    <w:rsid w:val="00F20432"/>
    <w:rsid w:val="00F24648"/>
    <w:rsid w:val="00F26B96"/>
    <w:rsid w:val="00F41544"/>
    <w:rsid w:val="00F455C2"/>
    <w:rsid w:val="00F47A18"/>
    <w:rsid w:val="00F51194"/>
    <w:rsid w:val="00F52D49"/>
    <w:rsid w:val="00F5301C"/>
    <w:rsid w:val="00F56EC0"/>
    <w:rsid w:val="00F626E3"/>
    <w:rsid w:val="00F64FEB"/>
    <w:rsid w:val="00F6573F"/>
    <w:rsid w:val="00F73960"/>
    <w:rsid w:val="00F74934"/>
    <w:rsid w:val="00F74C77"/>
    <w:rsid w:val="00F77628"/>
    <w:rsid w:val="00F841C8"/>
    <w:rsid w:val="00F941C9"/>
    <w:rsid w:val="00FA0F03"/>
    <w:rsid w:val="00FA28FF"/>
    <w:rsid w:val="00FA63FD"/>
    <w:rsid w:val="00FA6489"/>
    <w:rsid w:val="00FA7C91"/>
    <w:rsid w:val="00FC537D"/>
    <w:rsid w:val="00FD4728"/>
    <w:rsid w:val="00FD5EED"/>
    <w:rsid w:val="00FE1A83"/>
    <w:rsid w:val="00FE20EB"/>
    <w:rsid w:val="00FE5164"/>
    <w:rsid w:val="00FE5E9C"/>
    <w:rsid w:val="00FE7DED"/>
    <w:rsid w:val="00FF147D"/>
    <w:rsid w:val="00FF2D76"/>
    <w:rsid w:val="00FF4E0C"/>
    <w:rsid w:val="00FF5BEB"/>
    <w:rsid w:val="00FF5C01"/>
    <w:rsid w:val="41B6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7E3C"/>
    <w:pPr>
      <w:spacing w:after="120" w:line="240" w:lineRule="auto"/>
    </w:pPr>
    <w:rPr>
      <w:color w:val="404040" w:themeColor="text1" w:themeTint="BF"/>
    </w:rPr>
  </w:style>
  <w:style w:type="paragraph" w:styleId="Heading1">
    <w:name w:val="heading 1"/>
    <w:basedOn w:val="BodyText"/>
    <w:next w:val="BodyText"/>
    <w:link w:val="Heading1Char"/>
    <w:qFormat/>
    <w:rsid w:val="008E23D8"/>
    <w:pPr>
      <w:keepNext/>
      <w:numPr>
        <w:numId w:val="5"/>
      </w:numPr>
      <w:spacing w:before="240"/>
      <w:outlineLvl w:val="0"/>
    </w:pPr>
    <w:rPr>
      <w:rFonts w:ascii="Tahoma" w:hAnsi="Tahoma"/>
      <w:b/>
      <w:bCs/>
      <w:color w:val="1F3864" w:themeColor="accent1" w:themeShade="80"/>
      <w:sz w:val="32"/>
    </w:rPr>
  </w:style>
  <w:style w:type="paragraph" w:styleId="Heading2">
    <w:name w:val="heading 2"/>
    <w:basedOn w:val="BodyText"/>
    <w:next w:val="BodyText"/>
    <w:link w:val="Heading2Char"/>
    <w:qFormat/>
    <w:rsid w:val="008E23D8"/>
    <w:pPr>
      <w:keepNext/>
      <w:numPr>
        <w:ilvl w:val="1"/>
        <w:numId w:val="5"/>
      </w:numPr>
      <w:spacing w:before="240"/>
      <w:ind w:left="113"/>
      <w:outlineLvl w:val="1"/>
    </w:pPr>
    <w:rPr>
      <w:rFonts w:ascii="Tahoma" w:hAnsi="Tahoma"/>
      <w:b/>
      <w:bCs/>
      <w:iCs/>
      <w:color w:val="1F3864" w:themeColor="accent1" w:themeShade="80"/>
      <w:sz w:val="28"/>
    </w:rPr>
  </w:style>
  <w:style w:type="paragraph" w:styleId="Heading3">
    <w:name w:val="heading 3"/>
    <w:basedOn w:val="BodyText"/>
    <w:next w:val="BodyText"/>
    <w:link w:val="Heading3Char"/>
    <w:qFormat/>
    <w:rsid w:val="008E23D8"/>
    <w:pPr>
      <w:keepNext/>
      <w:numPr>
        <w:ilvl w:val="2"/>
        <w:numId w:val="5"/>
      </w:numPr>
      <w:spacing w:before="200"/>
      <w:ind w:left="227"/>
      <w:outlineLvl w:val="2"/>
    </w:pPr>
    <w:rPr>
      <w:rFonts w:ascii="Tahoma" w:hAnsi="Tahoma"/>
      <w:b/>
      <w:bCs/>
      <w:color w:val="038387"/>
      <w:sz w:val="24"/>
    </w:rPr>
  </w:style>
  <w:style w:type="paragraph" w:styleId="Heading4">
    <w:name w:val="heading 4"/>
    <w:basedOn w:val="BodyText"/>
    <w:next w:val="BodyText"/>
    <w:link w:val="Heading4Char"/>
    <w:qFormat/>
    <w:rsid w:val="008E23D8"/>
    <w:pPr>
      <w:keepNext/>
      <w:numPr>
        <w:ilvl w:val="3"/>
        <w:numId w:val="5"/>
      </w:numPr>
      <w:spacing w:before="120"/>
      <w:ind w:left="340"/>
      <w:outlineLvl w:val="3"/>
    </w:pPr>
    <w:rPr>
      <w:rFonts w:ascii="Tahoma" w:hAnsi="Tahoma"/>
      <w:b/>
      <w:color w:val="1F3864" w:themeColor="accent1" w:themeShade="80"/>
    </w:rPr>
  </w:style>
  <w:style w:type="paragraph" w:styleId="Heading5">
    <w:name w:val="heading 5"/>
    <w:basedOn w:val="BodyText"/>
    <w:next w:val="BodyText"/>
    <w:link w:val="Heading5Char"/>
    <w:qFormat/>
    <w:rsid w:val="008E23D8"/>
    <w:pPr>
      <w:keepNext/>
      <w:numPr>
        <w:ilvl w:val="4"/>
        <w:numId w:val="5"/>
      </w:numPr>
      <w:spacing w:before="120"/>
      <w:ind w:left="3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3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367"/>
  </w:style>
  <w:style w:type="paragraph" w:styleId="Footer">
    <w:name w:val="footer"/>
    <w:basedOn w:val="Normal"/>
    <w:link w:val="FooterChar"/>
    <w:uiPriority w:val="99"/>
    <w:unhideWhenUsed/>
    <w:rsid w:val="006F33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367"/>
  </w:style>
  <w:style w:type="paragraph" w:styleId="BalloonText">
    <w:name w:val="Balloon Text"/>
    <w:basedOn w:val="Normal"/>
    <w:link w:val="BalloonTextChar"/>
    <w:uiPriority w:val="99"/>
    <w:semiHidden/>
    <w:unhideWhenUsed/>
    <w:rsid w:val="006F33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F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2"/>
    <w:unhideWhenUsed/>
    <w:rsid w:val="006F3367"/>
    <w:pPr>
      <w:spacing w:before="360" w:after="360" w:line="312" w:lineRule="auto"/>
    </w:pPr>
    <w:rPr>
      <w:rFonts w:eastAsiaTheme="minorEastAsia"/>
      <w:iCs/>
      <w:color w:val="50637D" w:themeColor="text2" w:themeTint="E6"/>
      <w:sz w:val="28"/>
      <w:lang w:val="en-US" w:eastAsia="ja-JP"/>
    </w:rPr>
  </w:style>
  <w:style w:type="table" w:customStyle="1" w:styleId="PlainTable41">
    <w:name w:val="Plain Table 41"/>
    <w:basedOn w:val="TableNormal"/>
    <w:uiPriority w:val="44"/>
    <w:rsid w:val="006F3367"/>
    <w:pPr>
      <w:spacing w:after="0" w:line="240" w:lineRule="auto"/>
    </w:pPr>
    <w:rPr>
      <w:color w:val="44546A" w:themeColor="text2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odernPaper">
    <w:name w:val="Modern Paper"/>
    <w:basedOn w:val="TableNormal"/>
    <w:uiPriority w:val="99"/>
    <w:rsid w:val="00773E40"/>
    <w:pPr>
      <w:spacing w:before="200" w:after="200" w:line="240" w:lineRule="auto"/>
    </w:pPr>
    <w:rPr>
      <w:color w:val="44546A"/>
      <w:lang w:val="en-US" w:eastAsia="ja-JP"/>
    </w:rPr>
    <w:tblPr>
      <w:tblBorders>
        <w:insideH w:val="single" w:sz="8" w:space="0" w:color="44546A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="Tahoma" w:hAnsi="Tahoma"/>
        <w:b/>
        <w:i w:val="0"/>
        <w:color w:val="01182F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paragraph" w:styleId="ListParagraph">
    <w:name w:val="List Paragraph"/>
    <w:aliases w:val="Rec para,List Paragraph1,List Paragraph11"/>
    <w:basedOn w:val="Normal"/>
    <w:link w:val="ListParagraphChar"/>
    <w:uiPriority w:val="34"/>
    <w:qFormat/>
    <w:rsid w:val="006F07F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8E23D8"/>
    <w:pPr>
      <w:spacing w:line="288" w:lineRule="auto"/>
    </w:pPr>
    <w:rPr>
      <w:rFonts w:ascii="Calibri" w:eastAsia="Times New Roman" w:hAnsi="Calibri" w:cs="Arial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8E23D8"/>
    <w:rPr>
      <w:rFonts w:ascii="Calibri" w:eastAsia="Times New Roman" w:hAnsi="Calibri" w:cs="Arial"/>
      <w:color w:val="404040" w:themeColor="text1" w:themeTint="BF"/>
      <w:szCs w:val="20"/>
      <w:lang w:val="en-US" w:eastAsia="en-GB"/>
    </w:rPr>
  </w:style>
  <w:style w:type="paragraph" w:styleId="FootnoteText">
    <w:name w:val="footnote text"/>
    <w:aliases w:val="Footnote - MOH"/>
    <w:basedOn w:val="Normal"/>
    <w:link w:val="FootnoteTextChar"/>
    <w:uiPriority w:val="99"/>
    <w:unhideWhenUsed/>
    <w:qFormat/>
    <w:rsid w:val="006F07F1"/>
    <w:pPr>
      <w:spacing w:after="0" w:line="200" w:lineRule="exact"/>
    </w:pPr>
    <w:rPr>
      <w:rFonts w:ascii="Arial" w:eastAsia="Times New Roman" w:hAnsi="Arial" w:cs="Arial"/>
      <w:sz w:val="17"/>
      <w:szCs w:val="17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uiPriority w:val="99"/>
    <w:rsid w:val="006F07F1"/>
    <w:rPr>
      <w:rFonts w:ascii="Arial" w:eastAsia="Times New Roman" w:hAnsi="Arial" w:cs="Arial"/>
      <w:sz w:val="17"/>
      <w:szCs w:val="17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F07F1"/>
    <w:rPr>
      <w:rFonts w:ascii="Arial" w:hAnsi="Arial"/>
      <w:vertAlign w:val="superscript"/>
    </w:rPr>
  </w:style>
  <w:style w:type="character" w:styleId="Hyperlink">
    <w:name w:val="Hyperlink"/>
    <w:qFormat/>
    <w:rsid w:val="00B54830"/>
    <w:rPr>
      <w:color w:val="038387"/>
      <w:u w:val="single"/>
    </w:rPr>
  </w:style>
  <w:style w:type="paragraph" w:styleId="NormalWeb">
    <w:name w:val="Normal (Web)"/>
    <w:basedOn w:val="Normal"/>
    <w:uiPriority w:val="99"/>
    <w:unhideWhenUsed/>
    <w:rsid w:val="006F07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rsid w:val="008E23D8"/>
    <w:rPr>
      <w:rFonts w:ascii="Tahoma" w:eastAsia="Times New Roman" w:hAnsi="Tahoma" w:cs="Arial"/>
      <w:b/>
      <w:bCs/>
      <w:color w:val="1F3864" w:themeColor="accent1" w:themeShade="80"/>
      <w:sz w:val="32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8E23D8"/>
    <w:rPr>
      <w:rFonts w:ascii="Tahoma" w:eastAsia="Times New Roman" w:hAnsi="Tahoma" w:cs="Arial"/>
      <w:b/>
      <w:bCs/>
      <w:iCs/>
      <w:color w:val="1F3864" w:themeColor="accent1" w:themeShade="80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E23D8"/>
    <w:rPr>
      <w:rFonts w:ascii="Tahoma" w:eastAsia="Times New Roman" w:hAnsi="Tahoma" w:cs="Arial"/>
      <w:b/>
      <w:bCs/>
      <w:color w:val="038387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8E23D8"/>
    <w:rPr>
      <w:rFonts w:ascii="Tahoma" w:eastAsia="Times New Roman" w:hAnsi="Tahoma" w:cs="Arial"/>
      <w:b/>
      <w:color w:val="1F3864" w:themeColor="accent1" w:themeShade="8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8E23D8"/>
    <w:rPr>
      <w:rFonts w:ascii="Calibri" w:eastAsia="Times New Roman" w:hAnsi="Calibri" w:cs="Arial"/>
      <w:b/>
      <w:color w:val="404040" w:themeColor="text1" w:themeTint="BF"/>
      <w:szCs w:val="20"/>
      <w:lang w:val="en-US" w:eastAsia="en-GB"/>
    </w:rPr>
  </w:style>
  <w:style w:type="numbering" w:customStyle="1" w:styleId="MSIHeadingsList">
    <w:name w:val="MSI Headings List"/>
    <w:basedOn w:val="NoList"/>
    <w:uiPriority w:val="99"/>
    <w:rsid w:val="00B82AD2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BE74F1"/>
    <w:rPr>
      <w:color w:val="808080"/>
    </w:rPr>
  </w:style>
  <w:style w:type="table" w:customStyle="1" w:styleId="TableGrid1">
    <w:name w:val="Table Grid1"/>
    <w:basedOn w:val="TableNormal"/>
    <w:next w:val="TableGrid"/>
    <w:rsid w:val="0031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D15"/>
    <w:rPr>
      <w:b/>
      <w:bCs/>
      <w:sz w:val="20"/>
      <w:szCs w:val="20"/>
    </w:rPr>
  </w:style>
  <w:style w:type="paragraph" w:customStyle="1" w:styleId="STAStyle">
    <w:name w:val="STA Style"/>
    <w:basedOn w:val="Heading1"/>
    <w:link w:val="STAStyleChar"/>
    <w:semiHidden/>
    <w:rsid w:val="00495B8A"/>
    <w:pPr>
      <w:spacing w:before="0"/>
    </w:pPr>
    <w:rPr>
      <w:rFonts w:eastAsiaTheme="minorHAnsi" w:cstheme="minorHAnsi"/>
      <w:sz w:val="26"/>
      <w:szCs w:val="22"/>
      <w:lang w:eastAsia="en-US"/>
    </w:rPr>
  </w:style>
  <w:style w:type="character" w:customStyle="1" w:styleId="STAStyleChar">
    <w:name w:val="STA Style Char"/>
    <w:basedOn w:val="BodyTextChar"/>
    <w:link w:val="STAStyle"/>
    <w:semiHidden/>
    <w:rsid w:val="0082389B"/>
    <w:rPr>
      <w:rFonts w:ascii="Tahoma" w:eastAsia="Times New Roman" w:hAnsi="Tahoma" w:cstheme="minorHAnsi"/>
      <w:b/>
      <w:bCs/>
      <w:color w:val="1F3864" w:themeColor="accent1" w:themeShade="80"/>
      <w:sz w:val="26"/>
      <w:szCs w:val="20"/>
      <w:lang w:val="en-US" w:eastAsia="en-GB"/>
    </w:rPr>
  </w:style>
  <w:style w:type="paragraph" w:styleId="NoSpacing">
    <w:name w:val="No Spacing"/>
    <w:autoRedefine/>
    <w:uiPriority w:val="1"/>
    <w:rsid w:val="007F591F"/>
    <w:pPr>
      <w:spacing w:after="0" w:line="240" w:lineRule="auto"/>
    </w:pPr>
    <w:rPr>
      <w:color w:val="404040" w:themeColor="text1" w:themeTint="BF"/>
    </w:rPr>
  </w:style>
  <w:style w:type="paragraph" w:styleId="Title">
    <w:name w:val="Title"/>
    <w:aliases w:val="Doc Title"/>
    <w:basedOn w:val="Normal"/>
    <w:next w:val="Normal"/>
    <w:link w:val="TitleChar"/>
    <w:uiPriority w:val="10"/>
    <w:rsid w:val="008E23D8"/>
    <w:pPr>
      <w:spacing w:after="240"/>
      <w:contextualSpacing/>
      <w:jc w:val="center"/>
    </w:pPr>
    <w:rPr>
      <w:rFonts w:ascii="Tahoma" w:eastAsiaTheme="majorEastAsia" w:hAnsi="Tahoma" w:cstheme="majorBidi"/>
      <w:b/>
      <w:color w:val="1F3864" w:themeColor="accent1" w:themeShade="80"/>
      <w:spacing w:val="-10"/>
      <w:kern w:val="28"/>
      <w:sz w:val="40"/>
      <w:szCs w:val="56"/>
      <w:lang w:val="en-US" w:eastAsia="ja-JP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8E23D8"/>
    <w:rPr>
      <w:rFonts w:ascii="Tahoma" w:eastAsiaTheme="majorEastAsia" w:hAnsi="Tahoma" w:cstheme="majorBidi"/>
      <w:b/>
      <w:color w:val="1F3864" w:themeColor="accent1" w:themeShade="80"/>
      <w:spacing w:val="-10"/>
      <w:kern w:val="28"/>
      <w:sz w:val="40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7F591F"/>
    <w:pPr>
      <w:numPr>
        <w:ilvl w:val="1"/>
      </w:numPr>
      <w:spacing w:after="160"/>
    </w:pPr>
    <w:rPr>
      <w:rFonts w:ascii="Tahoma" w:eastAsiaTheme="minorEastAsia" w:hAnsi="Tahom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591F"/>
    <w:rPr>
      <w:rFonts w:ascii="Tahoma" w:eastAsiaTheme="minorEastAsia" w:hAnsi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B5483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B54830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B5483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48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5483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B5483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B54830"/>
    <w:rPr>
      <w:b/>
      <w:bCs/>
      <w:smallCaps/>
      <w:color w:val="038387"/>
      <w:spacing w:val="5"/>
    </w:rPr>
  </w:style>
  <w:style w:type="paragraph" w:customStyle="1" w:styleId="BodyNewInfo">
    <w:name w:val="Body New Info"/>
    <w:basedOn w:val="BodyText"/>
    <w:link w:val="BodyNewInfoChar"/>
    <w:autoRedefine/>
    <w:rsid w:val="00B54830"/>
    <w:rPr>
      <w:color w:val="C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830"/>
    <w:rPr>
      <w:color w:val="605E5C"/>
      <w:shd w:val="clear" w:color="auto" w:fill="E1DFDD"/>
    </w:rPr>
  </w:style>
  <w:style w:type="character" w:customStyle="1" w:styleId="BodyNewInfoChar">
    <w:name w:val="Body New Info Char"/>
    <w:basedOn w:val="BodyTextChar"/>
    <w:link w:val="BodyNewInfo"/>
    <w:rsid w:val="005E7E3C"/>
    <w:rPr>
      <w:rFonts w:ascii="Calibri" w:eastAsia="Times New Roman" w:hAnsi="Calibri" w:cs="Arial"/>
      <w:color w:val="C00000"/>
      <w:szCs w:val="20"/>
      <w:lang w:val="en-US" w:eastAsia="en-GB"/>
    </w:rPr>
  </w:style>
  <w:style w:type="paragraph" w:customStyle="1" w:styleId="SubTitle0">
    <w:name w:val="Sub Title"/>
    <w:basedOn w:val="Title"/>
    <w:link w:val="SubTitleChar0"/>
    <w:autoRedefine/>
    <w:uiPriority w:val="1"/>
    <w:rsid w:val="00FC537D"/>
    <w:pPr>
      <w:jc w:val="left"/>
    </w:pPr>
    <w:rPr>
      <w:color w:val="038387"/>
    </w:rPr>
  </w:style>
  <w:style w:type="paragraph" w:customStyle="1" w:styleId="SummaryPoints">
    <w:name w:val="Summary Points"/>
    <w:basedOn w:val="Heading1"/>
    <w:link w:val="SummaryPointsChar"/>
    <w:autoRedefine/>
    <w:rsid w:val="005E7E3C"/>
    <w:pPr>
      <w:numPr>
        <w:numId w:val="0"/>
      </w:numPr>
      <w:spacing w:before="120"/>
      <w:ind w:right="397"/>
    </w:pPr>
    <w:rPr>
      <w:lang w:val="en-NZ"/>
    </w:rPr>
  </w:style>
  <w:style w:type="character" w:customStyle="1" w:styleId="SubTitleChar0">
    <w:name w:val="Sub Title Char"/>
    <w:basedOn w:val="TitleChar"/>
    <w:link w:val="SubTitle0"/>
    <w:uiPriority w:val="1"/>
    <w:rsid w:val="005E7E3C"/>
    <w:rPr>
      <w:rFonts w:ascii="Tahoma" w:eastAsiaTheme="majorEastAsia" w:hAnsi="Tahoma" w:cstheme="majorBidi"/>
      <w:b/>
      <w:color w:val="038387"/>
      <w:spacing w:val="-10"/>
      <w:kern w:val="28"/>
      <w:sz w:val="40"/>
      <w:szCs w:val="56"/>
      <w:lang w:val="en-US" w:eastAsia="ja-JP"/>
    </w:rPr>
  </w:style>
  <w:style w:type="character" w:customStyle="1" w:styleId="SummaryPointsChar">
    <w:name w:val="Summary Points Char"/>
    <w:basedOn w:val="Heading1Char"/>
    <w:link w:val="SummaryPoints"/>
    <w:rsid w:val="005E7E3C"/>
    <w:rPr>
      <w:rFonts w:ascii="Tahoma" w:eastAsia="Times New Roman" w:hAnsi="Tahoma" w:cs="Arial"/>
      <w:b/>
      <w:bCs/>
      <w:color w:val="1F3864" w:themeColor="accent1" w:themeShade="80"/>
      <w:sz w:val="32"/>
      <w:szCs w:val="20"/>
      <w:lang w:val="en-US" w:eastAsia="en-GB"/>
    </w:rPr>
  </w:style>
  <w:style w:type="paragraph" w:customStyle="1" w:styleId="Default">
    <w:name w:val="Default"/>
    <w:rsid w:val="00071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eriod">
    <w:name w:val="period"/>
    <w:basedOn w:val="DefaultParagraphFont"/>
    <w:rsid w:val="00983438"/>
  </w:style>
  <w:style w:type="character" w:customStyle="1" w:styleId="cit">
    <w:name w:val="cit"/>
    <w:basedOn w:val="DefaultParagraphFont"/>
    <w:rsid w:val="00983438"/>
  </w:style>
  <w:style w:type="character" w:customStyle="1" w:styleId="citation-doi">
    <w:name w:val="citation-doi"/>
    <w:basedOn w:val="DefaultParagraphFont"/>
    <w:rsid w:val="00983438"/>
  </w:style>
  <w:style w:type="character" w:customStyle="1" w:styleId="secondary-date">
    <w:name w:val="secondary-date"/>
    <w:basedOn w:val="DefaultParagraphFont"/>
    <w:rsid w:val="0098343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22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5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87ED4"/>
    <w:pPr>
      <w:spacing w:after="0" w:line="240" w:lineRule="auto"/>
    </w:pPr>
    <w:rPr>
      <w:color w:val="404040" w:themeColor="text1" w:themeTint="BF"/>
    </w:rPr>
  </w:style>
  <w:style w:type="character" w:customStyle="1" w:styleId="ListParagraphChar">
    <w:name w:val="List Paragraph Char"/>
    <w:aliases w:val="Rec para Char,List Paragraph1 Char,List Paragraph11 Char"/>
    <w:basedOn w:val="DefaultParagraphFont"/>
    <w:link w:val="ListParagraph"/>
    <w:uiPriority w:val="34"/>
    <w:rsid w:val="00D80454"/>
    <w:rPr>
      <w:color w:val="404040" w:themeColor="text1" w:themeTint="BF"/>
    </w:rPr>
  </w:style>
  <w:style w:type="paragraph" w:customStyle="1" w:styleId="ReportBody-MOH">
    <w:name w:val="Report Body - MOH"/>
    <w:basedOn w:val="Normal"/>
    <w:link w:val="ReportBody-MOHChar"/>
    <w:qFormat/>
    <w:rsid w:val="001B5A1D"/>
    <w:pPr>
      <w:numPr>
        <w:numId w:val="29"/>
      </w:numPr>
      <w:spacing w:before="120"/>
      <w:ind w:right="284"/>
    </w:pPr>
    <w:rPr>
      <w:rFonts w:ascii="Segoe UI" w:eastAsia="Times New Roman" w:hAnsi="Segoe UI" w:cs="Arial"/>
      <w:color w:val="auto"/>
      <w:kern w:val="22"/>
      <w:lang w:eastAsia="en-NZ"/>
    </w:rPr>
  </w:style>
  <w:style w:type="paragraph" w:customStyle="1" w:styleId="ReportBody2-MOH">
    <w:name w:val="Report Body 2 - MOH"/>
    <w:basedOn w:val="ReportBody-MOH"/>
    <w:qFormat/>
    <w:rsid w:val="001B5A1D"/>
    <w:pPr>
      <w:numPr>
        <w:ilvl w:val="1"/>
      </w:numPr>
      <w:tabs>
        <w:tab w:val="num" w:pos="360"/>
      </w:tabs>
      <w:ind w:left="1440" w:hanging="360"/>
    </w:pPr>
  </w:style>
  <w:style w:type="character" w:customStyle="1" w:styleId="ReportBody-MOHChar">
    <w:name w:val="Report Body - MOH Char"/>
    <w:basedOn w:val="DefaultParagraphFont"/>
    <w:link w:val="ReportBody-MOH"/>
    <w:rsid w:val="001B5A1D"/>
    <w:rPr>
      <w:rFonts w:ascii="Segoe UI" w:eastAsia="Times New Roman" w:hAnsi="Segoe UI" w:cs="Arial"/>
      <w:kern w:val="22"/>
      <w:lang w:eastAsia="en-NZ"/>
    </w:rPr>
  </w:style>
  <w:style w:type="paragraph" w:customStyle="1" w:styleId="EndNoteBibliographyTitle">
    <w:name w:val="EndNote Bibliography Title"/>
    <w:basedOn w:val="Normal"/>
    <w:link w:val="EndNoteBibliographyTitleChar"/>
    <w:rsid w:val="005E55B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5E55BD"/>
    <w:rPr>
      <w:rFonts w:ascii="Calibri" w:hAnsi="Calibri" w:cs="Calibri"/>
      <w:noProof/>
      <w:color w:val="404040" w:themeColor="text1" w:themeTint="BF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55BD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5E55BD"/>
    <w:rPr>
      <w:rFonts w:ascii="Calibri" w:hAnsi="Calibri" w:cs="Calibri"/>
      <w:noProof/>
      <w:color w:val="404040" w:themeColor="text1" w:themeTint="BF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whatuora.govt.nz/for-the-health-sector/covid-19-information-for-health-professionals/covid-19-information-for-all-health-professionals/covid-19-advice-for-all-health-professionals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rxiv.org/content/medrxiv/early/2023/01/27/2023.01.26.23284998.ful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lancet.com/journals/lancet/article/PIIS0140-6736(22)02597-1/fulltex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nejm.org/doi/full/10.1056/NEJMoa21160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F7FB86988B743BEFDC239BC557988" ma:contentTypeVersion="16" ma:contentTypeDescription="Create a new document." ma:contentTypeScope="" ma:versionID="d22da83025ef2b85d78bd7c98582ff8e">
  <xsd:schema xmlns:xsd="http://www.w3.org/2001/XMLSchema" xmlns:xs="http://www.w3.org/2001/XMLSchema" xmlns:p="http://schemas.microsoft.com/office/2006/metadata/properties" xmlns:ns2="9d2b3685-9c67-48eb-80de-bd07bff8af28" xmlns:ns3="e0731c95-5453-4cc4-b91b-72230631047b" xmlns:ns4="00a4df5b-51f4-4e7a-b755-8a381a6dfbc5" targetNamespace="http://schemas.microsoft.com/office/2006/metadata/properties" ma:root="true" ma:fieldsID="1c167dd988c724b6dbac0044278a049b" ns2:_="" ns3:_="" ns4:_="">
    <xsd:import namespace="9d2b3685-9c67-48eb-80de-bd07bff8af28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3685-9c67-48eb-80de-bd07bff8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2" nillable="true" ma:displayName="Assigned to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b3685-9c67-48eb-80de-bd07bff8af28">
      <Terms xmlns="http://schemas.microsoft.com/office/infopath/2007/PartnerControls"/>
    </lcf76f155ced4ddcb4097134ff3c332f>
    <TaxCatchAll xmlns="00a4df5b-51f4-4e7a-b755-8a381a6dfbc5" xsi:nil="true"/>
    <Assignedto xmlns="9d2b3685-9c67-48eb-80de-bd07bff8af28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4F75550A-79C3-4E37-B22A-0DE90F7D5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CCF0B-7337-4367-82CE-056543B0D4F8}"/>
</file>

<file path=customXml/itemProps3.xml><?xml version="1.0" encoding="utf-8"?>
<ds:datastoreItem xmlns:ds="http://schemas.openxmlformats.org/officeDocument/2006/customXml" ds:itemID="{53111DE2-1CB5-481F-AA65-4A640C81DC79}"/>
</file>

<file path=customXml/itemProps4.xml><?xml version="1.0" encoding="utf-8"?>
<ds:datastoreItem xmlns:ds="http://schemas.openxmlformats.org/officeDocument/2006/customXml" ds:itemID="{E73C9E3A-4648-468D-95E5-0A47EB402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Links>
    <vt:vector size="48" baseType="variant">
      <vt:variant>
        <vt:i4>5177410</vt:i4>
      </vt:variant>
      <vt:variant>
        <vt:i4>21</vt:i4>
      </vt:variant>
      <vt:variant>
        <vt:i4>0</vt:i4>
      </vt:variant>
      <vt:variant>
        <vt:i4>5</vt:i4>
      </vt:variant>
      <vt:variant>
        <vt:lpwstr>https://pharmac.govt.nz/news-and-resources/consultations-and-decisions/2022-01-26-decision-access-criteria-on-baricitinib-oluminant-casirivimab-imdevimab-ronapreve/</vt:lpwstr>
      </vt:variant>
      <vt:variant>
        <vt:lpwstr/>
      </vt:variant>
      <vt:variant>
        <vt:i4>7340155</vt:i4>
      </vt:variant>
      <vt:variant>
        <vt:i4>18</vt:i4>
      </vt:variant>
      <vt:variant>
        <vt:i4>0</vt:i4>
      </vt:variant>
      <vt:variant>
        <vt:i4>5</vt:i4>
      </vt:variant>
      <vt:variant>
        <vt:lpwstr>https://starship.org.nz/guidelines/covid-19-associated-multi-system-inflammatory-conditions-pims-ts-mis-c/</vt:lpwstr>
      </vt:variant>
      <vt:variant>
        <vt:lpwstr/>
      </vt:variant>
      <vt:variant>
        <vt:i4>5439573</vt:i4>
      </vt:variant>
      <vt:variant>
        <vt:i4>15</vt:i4>
      </vt:variant>
      <vt:variant>
        <vt:i4>0</vt:i4>
      </vt:variant>
      <vt:variant>
        <vt:i4>5</vt:i4>
      </vt:variant>
      <vt:variant>
        <vt:lpwstr>https://starship.org.nz/guidelines/covid-19-disease-in-children/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https://www.health.govt.nz/our-work/diseases-and-conditions/covid-19-novel-coronavirus/covid-19-information-health-professionals/covid-19-advice-all-health-professionals</vt:lpwstr>
      </vt:variant>
      <vt:variant>
        <vt:lpwstr>adult-management</vt:lpwstr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https://pubmed.ncbi.nlm.nih.gov/34937145/</vt:lpwstr>
      </vt:variant>
      <vt:variant>
        <vt:lpwstr/>
      </vt:variant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https://www.who.int/emergencies/diseases/novel-coronavirus-2019/question-and-answers-hub/q-a-detail/coronavirus-disease-(covid-19)-hydroxychloroquine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https://www.medsafe.govt.nz/safety/Alerts/ivermectin-covid19.htm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https://pharmac.govt.nz/news-and-resources/covid19/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2023-02-28T19:29:00Z</dcterms:created>
  <dcterms:modified xsi:type="dcterms:W3CDTF">2023-02-28T19:31:00Z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0x010100BC3F7FB86988B743BEFDC239BC557988</vt:lpwstr>
  </property>
  <property fmtid="{D5CDD505-2E9C-101B-9397-08002B2CF9AE}" pid="4" name="Document Type">
    <vt:lpwstr/>
  </property>
</Properties>
</file>