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0242AB" w14:textId="6032DD1C" w:rsidR="008E5748" w:rsidRDefault="008E5748" w:rsidP="00D72252"/>
    <w:p w14:paraId="28235804" w14:textId="0A0796F4" w:rsidR="009A42D5" w:rsidRDefault="009A42D5" w:rsidP="00D72252"/>
    <w:p w14:paraId="663C0564" w14:textId="1F211F2E" w:rsidR="00AB74F5" w:rsidRDefault="00AB74F5" w:rsidP="00D72252"/>
    <w:p w14:paraId="54B5F57C" w14:textId="639784B7" w:rsidR="00AB74F5" w:rsidRDefault="00AB74F5" w:rsidP="00D72252"/>
    <w:p w14:paraId="46CB452F" w14:textId="21644966" w:rsidR="00AB74F5" w:rsidRDefault="00AB74F5" w:rsidP="00D72252"/>
    <w:p w14:paraId="1FC931AD" w14:textId="31CB5136" w:rsidR="00AB74F5" w:rsidRDefault="00FE4644" w:rsidP="00AB74F5">
      <w:pPr>
        <w:pStyle w:val="Heading1"/>
      </w:pPr>
      <w:bookmarkStart w:id="0" w:name="_Toc2753222"/>
      <w:r>
        <w:t xml:space="preserve">Assisted dying </w:t>
      </w:r>
      <w:r w:rsidR="0082201D">
        <w:br/>
      </w:r>
      <w:r>
        <w:t>care pathways for health practitioners</w:t>
      </w:r>
    </w:p>
    <w:tbl>
      <w:tblPr>
        <w:tblW w:w="5264" w:type="pct"/>
        <w:tblBorders>
          <w:bottom w:val="single" w:sz="12" w:space="0" w:color="auto"/>
        </w:tblBorders>
        <w:tblLayout w:type="fixed"/>
        <w:tblCellMar>
          <w:left w:w="0" w:type="dxa"/>
          <w:right w:w="0" w:type="dxa"/>
        </w:tblCellMar>
        <w:tblLook w:val="01E0" w:firstRow="1" w:lastRow="1" w:firstColumn="1" w:lastColumn="1" w:noHBand="0" w:noVBand="0"/>
      </w:tblPr>
      <w:tblGrid>
        <w:gridCol w:w="6379"/>
        <w:gridCol w:w="2127"/>
      </w:tblGrid>
      <w:tr w:rsidR="00CA21B8" w:rsidRPr="00CA21B8" w14:paraId="41EBD07A" w14:textId="77777777" w:rsidTr="00CA21B8">
        <w:trPr>
          <w:cantSplit/>
        </w:trPr>
        <w:tc>
          <w:tcPr>
            <w:tcW w:w="6379" w:type="dxa"/>
            <w:shd w:val="clear" w:color="auto" w:fill="auto"/>
            <w:vAlign w:val="bottom"/>
          </w:tcPr>
          <w:p w14:paraId="7753C25C" w14:textId="51993033" w:rsidR="00CA21B8" w:rsidRPr="00CA21B8" w:rsidRDefault="00FC62AA" w:rsidP="00CA21B8">
            <w:pPr>
              <w:pStyle w:val="Introductoryparagraph"/>
              <w:spacing w:line="440" w:lineRule="atLeast"/>
              <w:rPr>
                <w:rFonts w:ascii="Segoe UI" w:hAnsi="Segoe UI" w:cs="Segoe UI"/>
                <w:szCs w:val="44"/>
              </w:rPr>
            </w:pPr>
            <w:r>
              <w:rPr>
                <w:rFonts w:ascii="Segoe UI" w:eastAsiaTheme="majorEastAsia" w:hAnsi="Segoe UI" w:cs="Segoe UI"/>
                <w:b/>
                <w:bCs/>
                <w:color w:val="000000" w:themeColor="text1"/>
                <w:szCs w:val="44"/>
              </w:rPr>
              <w:t xml:space="preserve">Supporting </w:t>
            </w:r>
            <w:r w:rsidR="001A14AE">
              <w:rPr>
                <w:rFonts w:ascii="Segoe UI" w:eastAsiaTheme="majorEastAsia" w:hAnsi="Segoe UI" w:cs="Segoe UI"/>
                <w:b/>
                <w:bCs/>
                <w:color w:val="000000" w:themeColor="text1"/>
                <w:szCs w:val="44"/>
              </w:rPr>
              <w:br/>
              <w:t xml:space="preserve">information </w:t>
            </w:r>
            <w:r>
              <w:rPr>
                <w:rFonts w:ascii="Segoe UI" w:eastAsiaTheme="majorEastAsia" w:hAnsi="Segoe UI" w:cs="Segoe UI"/>
                <w:b/>
                <w:bCs/>
                <w:color w:val="000000" w:themeColor="text1"/>
                <w:szCs w:val="44"/>
              </w:rPr>
              <w:t>guide</w:t>
            </w:r>
            <w:r w:rsidR="00FE4644">
              <w:rPr>
                <w:rFonts w:ascii="Segoe UI" w:eastAsiaTheme="majorEastAsia" w:hAnsi="Segoe UI" w:cs="Segoe UI"/>
                <w:b/>
                <w:bCs/>
                <w:color w:val="000000" w:themeColor="text1"/>
                <w:szCs w:val="44"/>
              </w:rPr>
              <w:t xml:space="preserve"> </w:t>
            </w:r>
          </w:p>
        </w:tc>
        <w:tc>
          <w:tcPr>
            <w:tcW w:w="2127" w:type="dxa"/>
            <w:shd w:val="clear" w:color="auto" w:fill="auto"/>
            <w:vAlign w:val="bottom"/>
          </w:tcPr>
          <w:p w14:paraId="04837352" w14:textId="578D37A6" w:rsidR="00CA21B8" w:rsidRPr="00CC7800" w:rsidRDefault="00CA21B8" w:rsidP="00CC7800">
            <w:pPr>
              <w:pStyle w:val="Introductoryparagraph"/>
              <w:spacing w:line="440" w:lineRule="atLeast"/>
              <w:jc w:val="right"/>
              <w:rPr>
                <w:rFonts w:ascii="Segoe UI" w:hAnsi="Segoe UI" w:cs="Segoe UI"/>
                <w:position w:val="10"/>
                <w:sz w:val="24"/>
                <w:szCs w:val="24"/>
              </w:rPr>
            </w:pPr>
            <w:r w:rsidRPr="00CC7800">
              <w:rPr>
                <w:rFonts w:ascii="Segoe UI" w:eastAsiaTheme="majorEastAsia" w:hAnsi="Segoe UI" w:cs="Segoe UI"/>
                <w:color w:val="000000" w:themeColor="text1"/>
                <w:position w:val="10"/>
                <w:sz w:val="24"/>
                <w:szCs w:val="24"/>
              </w:rPr>
              <w:t>September 2021</w:t>
            </w:r>
          </w:p>
        </w:tc>
      </w:tr>
      <w:bookmarkEnd w:id="0"/>
    </w:tbl>
    <w:p w14:paraId="5EC041FA" w14:textId="3B857BDC" w:rsidR="00AB74F5" w:rsidRDefault="00AB74F5" w:rsidP="00AB74F5">
      <w:pPr>
        <w:rPr>
          <w:sz w:val="22"/>
          <w:szCs w:val="22"/>
        </w:rPr>
      </w:pPr>
    </w:p>
    <w:p w14:paraId="7CDB15CC" w14:textId="099B097A" w:rsidR="00FE4644" w:rsidRDefault="00FC62AA" w:rsidP="00FC62AA">
      <w:pPr>
        <w:pStyle w:val="Introductoryparagraph"/>
        <w:spacing w:line="440" w:lineRule="atLeast"/>
      </w:pPr>
      <w:r w:rsidRPr="00B92454">
        <w:t xml:space="preserve">This guide is designed to support </w:t>
      </w:r>
      <w:r>
        <w:t>health practitioners’ understanding</w:t>
      </w:r>
      <w:r w:rsidR="001A14AE">
        <w:br/>
      </w:r>
      <w:r>
        <w:t xml:space="preserve">of their role in responding to a person </w:t>
      </w:r>
      <w:r w:rsidR="001A14AE">
        <w:br/>
      </w:r>
      <w:r>
        <w:t xml:space="preserve">who raises assisted dying or in providing </w:t>
      </w:r>
      <w:r>
        <w:br/>
        <w:t>assisted dying services.</w:t>
      </w:r>
    </w:p>
    <w:p w14:paraId="5BEC93C9" w14:textId="1DEE6508" w:rsidR="00FC62AA" w:rsidRDefault="00FC62AA" w:rsidP="00FE4644"/>
    <w:p w14:paraId="210B9715" w14:textId="7C410B2B" w:rsidR="00FE4644" w:rsidRDefault="00FE4644" w:rsidP="00FE4644">
      <w:r>
        <w:t xml:space="preserve">The Ministry of Health will be responsible for the </w:t>
      </w:r>
      <w:hyperlink r:id="rId11" w:history="1">
        <w:r w:rsidRPr="00FC62AA">
          <w:rPr>
            <w:rStyle w:val="Hyperlink"/>
          </w:rPr>
          <w:t>End of Life Choice Act 2019</w:t>
        </w:r>
      </w:hyperlink>
      <w:r>
        <w:t xml:space="preserve"> </w:t>
      </w:r>
      <w:r w:rsidR="00FC62AA">
        <w:br/>
      </w:r>
      <w:r>
        <w:t xml:space="preserve">(the Act) and has a work programme underway to implement and oversee the assisted dying service. Assisted dying will be legal in New Zealand from 7 November 2021. More information on this work can be found on the </w:t>
      </w:r>
      <w:hyperlink r:id="rId12" w:history="1">
        <w:r w:rsidRPr="004D1776">
          <w:rPr>
            <w:rStyle w:val="Hyperlink"/>
          </w:rPr>
          <w:t>Ministry’s website.</w:t>
        </w:r>
      </w:hyperlink>
      <w:r>
        <w:t xml:space="preserve"> </w:t>
      </w:r>
    </w:p>
    <w:p w14:paraId="54AFCBC8" w14:textId="77777777" w:rsidR="00FE4644" w:rsidRDefault="00FE4644" w:rsidP="00FE4644"/>
    <w:p w14:paraId="70CE3873" w14:textId="66565EB0" w:rsidR="00FE4644" w:rsidRDefault="00FE4644" w:rsidP="00FE4644">
      <w:r>
        <w:t xml:space="preserve">You can find the Act in full on the </w:t>
      </w:r>
      <w:hyperlink r:id="rId13" w:history="1">
        <w:r w:rsidRPr="004D1776">
          <w:rPr>
            <w:rStyle w:val="Hyperlink"/>
          </w:rPr>
          <w:t>New Zealand Legislation website</w:t>
        </w:r>
      </w:hyperlink>
      <w:r>
        <w:t>.</w:t>
      </w:r>
    </w:p>
    <w:p w14:paraId="0BE40DEA" w14:textId="46F6910A" w:rsidR="00FE4644" w:rsidRDefault="00FE4644" w:rsidP="00FE4644"/>
    <w:p w14:paraId="6C0F9D14" w14:textId="77777777" w:rsidR="00CC7800" w:rsidRPr="00CC7800" w:rsidRDefault="00CC7800" w:rsidP="00CC7800"/>
    <w:p w14:paraId="60B270B4" w14:textId="31BD3521" w:rsidR="004674AB" w:rsidRPr="00CC7800" w:rsidRDefault="004674AB" w:rsidP="00CC7800">
      <w:pPr>
        <w:sectPr w:rsidR="004674AB" w:rsidRPr="00CC7800" w:rsidSect="00B52673">
          <w:headerReference w:type="default" r:id="rId14"/>
          <w:footerReference w:type="even" r:id="rId15"/>
          <w:footerReference w:type="default" r:id="rId16"/>
          <w:footerReference w:type="first" r:id="rId17"/>
          <w:pgSz w:w="11907" w:h="16834" w:code="9"/>
          <w:pgMar w:top="1418" w:right="1701" w:bottom="1134" w:left="1843" w:header="284" w:footer="425" w:gutter="284"/>
          <w:pgNumType w:start="1"/>
          <w:cols w:space="720"/>
          <w:docGrid w:linePitch="286"/>
        </w:sectPr>
      </w:pPr>
    </w:p>
    <w:p w14:paraId="5B7816AD" w14:textId="5C82FAAD" w:rsidR="004D1776" w:rsidRDefault="00040F12" w:rsidP="008B401E">
      <w:pPr>
        <w:pStyle w:val="Heading1"/>
        <w:spacing w:before="0"/>
      </w:pPr>
      <w:r w:rsidRPr="00040F12">
        <w:rPr>
          <w:b w:val="0"/>
          <w:bCs/>
        </w:rPr>
        <w:lastRenderedPageBreak/>
        <w:t>Section 1:</w:t>
      </w:r>
      <w:r w:rsidRPr="00040F12">
        <w:rPr>
          <w:b w:val="0"/>
          <w:bCs/>
        </w:rPr>
        <w:br/>
      </w:r>
      <w:r w:rsidR="004D1776">
        <w:t>Care pathways for assisted dying</w:t>
      </w:r>
    </w:p>
    <w:p w14:paraId="290AC6C9" w14:textId="471BB9A9" w:rsidR="004D1776" w:rsidRDefault="004D1776" w:rsidP="001A14AE">
      <w:r>
        <w:t xml:space="preserve">There are three care pathways for assisted dying services to reflect that while a person may raise assisted dying with any health practitioner, not all health practitioners will provide these services. These care pathways provide an overview of the process followed when a person raises the topic of assisted dying, or chooses to access the assisted dying service. </w:t>
      </w:r>
    </w:p>
    <w:p w14:paraId="0B6A26D1" w14:textId="025FD61A" w:rsidR="001A14AE" w:rsidRDefault="001A14AE" w:rsidP="001A14AE"/>
    <w:p w14:paraId="41828000" w14:textId="77777777" w:rsidR="004D1776" w:rsidRPr="00063866" w:rsidRDefault="004D1776" w:rsidP="001A14AE">
      <w:pPr>
        <w:pStyle w:val="Number"/>
      </w:pPr>
      <w:r w:rsidRPr="00063866">
        <w:t xml:space="preserve">For medical practitioners who do not provide assisted dying services for reasons of conscientious objection or as they do not have the appropriate skills or experience (reasons of competency).  </w:t>
      </w:r>
    </w:p>
    <w:p w14:paraId="467558B7" w14:textId="77777777" w:rsidR="004D1776" w:rsidRPr="00063866" w:rsidRDefault="004D1776" w:rsidP="001A14AE">
      <w:pPr>
        <w:pStyle w:val="Number"/>
      </w:pPr>
      <w:r w:rsidRPr="00063866">
        <w:t xml:space="preserve">For health practitioners (not including medical practitioners) who </w:t>
      </w:r>
      <w:r>
        <w:t>cannot provide assisted dying services</w:t>
      </w:r>
      <w:r w:rsidRPr="00063866">
        <w:t xml:space="preserve">. </w:t>
      </w:r>
    </w:p>
    <w:p w14:paraId="1ED940B8" w14:textId="77777777" w:rsidR="004D1776" w:rsidRPr="001338A9" w:rsidRDefault="004D1776" w:rsidP="001A14AE">
      <w:pPr>
        <w:pStyle w:val="Number"/>
      </w:pPr>
      <w:r w:rsidRPr="00063866">
        <w:t xml:space="preserve">For medical and nurse practitioners who will provide assisted dying services. </w:t>
      </w:r>
    </w:p>
    <w:p w14:paraId="0F949D53" w14:textId="0E04916A" w:rsidR="004D1776" w:rsidRPr="001338A9" w:rsidRDefault="00040F12" w:rsidP="00723C65">
      <w:pPr>
        <w:pStyle w:val="Heading2"/>
        <w:rPr>
          <w:rFonts w:cs="Segoe UI"/>
          <w:lang w:val="en-US"/>
        </w:rPr>
      </w:pPr>
      <w:r>
        <w:rPr>
          <w:lang w:val="en-US"/>
        </w:rPr>
        <w:t>O</w:t>
      </w:r>
      <w:r w:rsidR="004D1776">
        <w:rPr>
          <w:lang w:val="en-US"/>
        </w:rPr>
        <w:t>bjectives of the care pathways</w:t>
      </w:r>
    </w:p>
    <w:p w14:paraId="536441C2" w14:textId="604B5903" w:rsidR="004D1776" w:rsidRDefault="004D1776" w:rsidP="001A14AE">
      <w:r>
        <w:rPr>
          <w:lang w:val="en-US"/>
        </w:rPr>
        <w:t>All</w:t>
      </w:r>
      <w:r w:rsidRPr="001338A9">
        <w:rPr>
          <w:lang w:val="en-US"/>
        </w:rPr>
        <w:t xml:space="preserve"> three care pathways </w:t>
      </w:r>
      <w:r>
        <w:rPr>
          <w:lang w:val="en-US"/>
        </w:rPr>
        <w:t>aim to ensure that</w:t>
      </w:r>
      <w:r w:rsidRPr="001338A9">
        <w:rPr>
          <w:lang w:val="en-US"/>
        </w:rPr>
        <w:t xml:space="preserve"> </w:t>
      </w:r>
      <w:bookmarkStart w:id="1" w:name="_Hlk81841454"/>
      <w:r w:rsidRPr="001338A9">
        <w:t xml:space="preserve">assisted dying services are provided in a person- and whānau-centred </w:t>
      </w:r>
      <w:r>
        <w:t>approach</w:t>
      </w:r>
      <w:r w:rsidRPr="001338A9">
        <w:t xml:space="preserve">, which focusses on what matters from the perspectives of the person and their whānau at each step of the process. </w:t>
      </w:r>
    </w:p>
    <w:p w14:paraId="1906A543" w14:textId="77777777" w:rsidR="001A14AE" w:rsidRDefault="001A14AE" w:rsidP="001A14AE"/>
    <w:p w14:paraId="483B89B1" w14:textId="45A2A932" w:rsidR="004D1776" w:rsidRDefault="004D1776" w:rsidP="001A14AE">
      <w:r>
        <w:t xml:space="preserve">A person- and </w:t>
      </w:r>
      <w:r w:rsidR="008B401E">
        <w:t>whānau</w:t>
      </w:r>
      <w:r>
        <w:t xml:space="preserve">-centred approach means that a person and their whānau are heard, information is provided in a way that is understood by a person and their whānau, and the person is empowered to self-determine. Choosing assisted dying is the person’s choice. </w:t>
      </w:r>
    </w:p>
    <w:p w14:paraId="3A16270C" w14:textId="77777777" w:rsidR="001A14AE" w:rsidRDefault="001A14AE" w:rsidP="001A14AE"/>
    <w:p w14:paraId="5826BA4E" w14:textId="7C8E1275" w:rsidR="00C75D3C" w:rsidRDefault="004D1776" w:rsidP="001A14AE">
      <w:r>
        <w:t xml:space="preserve">Health practitioners should also consider any additional support a person may need throughout these care pathways based on their individual circumstances, such as for a person with complex, disability or social support needs. </w:t>
      </w:r>
    </w:p>
    <w:p w14:paraId="4E1F52EF" w14:textId="77777777" w:rsidR="00723C65" w:rsidRDefault="00723C65" w:rsidP="004D1776"/>
    <w:p w14:paraId="4CDEC332" w14:textId="1FBA6E1F" w:rsidR="004D1776" w:rsidRPr="00063866" w:rsidRDefault="004D1776" w:rsidP="004D1776">
      <w:pPr>
        <w:rPr>
          <w:lang w:val="en-US"/>
        </w:rPr>
      </w:pPr>
      <w:r>
        <w:t>The objectives of the care pathways</w:t>
      </w:r>
      <w:r w:rsidRPr="001338A9">
        <w:t xml:space="preserve"> include: </w:t>
      </w:r>
      <w:bookmarkEnd w:id="1"/>
    </w:p>
    <w:p w14:paraId="18F335AD" w14:textId="77777777" w:rsidR="004D1776" w:rsidRPr="00063866" w:rsidRDefault="004D1776" w:rsidP="0095648E">
      <w:pPr>
        <w:pStyle w:val="Bullet"/>
      </w:pPr>
      <w:r w:rsidRPr="00063866">
        <w:t xml:space="preserve">robust accountability and safety measures </w:t>
      </w:r>
    </w:p>
    <w:p w14:paraId="455EDF86" w14:textId="77777777" w:rsidR="004D1776" w:rsidRPr="00063866" w:rsidRDefault="004D1776" w:rsidP="0095648E">
      <w:pPr>
        <w:pStyle w:val="Bullet"/>
      </w:pPr>
      <w:r w:rsidRPr="00063866">
        <w:t xml:space="preserve">timely access to </w:t>
      </w:r>
      <w:r>
        <w:t xml:space="preserve">appropriate </w:t>
      </w:r>
      <w:r w:rsidRPr="00063866">
        <w:t>information (verbal</w:t>
      </w:r>
      <w:r>
        <w:t xml:space="preserve">, </w:t>
      </w:r>
      <w:r w:rsidRPr="00063866">
        <w:t>written, accessible formats</w:t>
      </w:r>
      <w:r>
        <w:t xml:space="preserve">, </w:t>
      </w:r>
      <w:r w:rsidRPr="00063866">
        <w:t>translations)</w:t>
      </w:r>
    </w:p>
    <w:p w14:paraId="63B201ED" w14:textId="77777777" w:rsidR="004D1776" w:rsidRPr="00063866" w:rsidRDefault="004D1776" w:rsidP="0095648E">
      <w:pPr>
        <w:pStyle w:val="Bullet"/>
      </w:pPr>
      <w:r w:rsidRPr="00063866">
        <w:t>equitable access and service delivery</w:t>
      </w:r>
    </w:p>
    <w:p w14:paraId="3F00D0AB" w14:textId="77777777" w:rsidR="004D1776" w:rsidRPr="00063866" w:rsidRDefault="004D1776" w:rsidP="0095648E">
      <w:pPr>
        <w:pStyle w:val="Bullet"/>
      </w:pPr>
      <w:r w:rsidRPr="00063866">
        <w:t>continuity of care throughout the care pathway</w:t>
      </w:r>
    </w:p>
    <w:p w14:paraId="1D51F55B" w14:textId="61AA6917" w:rsidR="004D1776" w:rsidRPr="005B6575" w:rsidRDefault="004D1776" w:rsidP="0095648E">
      <w:pPr>
        <w:pStyle w:val="Bullet"/>
      </w:pPr>
      <w:r w:rsidRPr="00063866">
        <w:lastRenderedPageBreak/>
        <w:t>consistency with health and disability system legislation and strategies,</w:t>
      </w:r>
      <w:r w:rsidR="00C75D3C">
        <w:t xml:space="preserve"> </w:t>
      </w:r>
      <w:r w:rsidR="00C75D3C">
        <w:br/>
      </w:r>
      <w:r>
        <w:t xml:space="preserve">including </w:t>
      </w:r>
      <w:r w:rsidRPr="00063866">
        <w:t>standards of care, codes of conduct, evidenced best practice and</w:t>
      </w:r>
      <w:r w:rsidR="00C75D3C">
        <w:t xml:space="preserve"> </w:t>
      </w:r>
      <w:r w:rsidR="00C75D3C">
        <w:br/>
      </w:r>
      <w:r w:rsidRPr="00063866">
        <w:t>Te Tiriti o Waitangi.</w:t>
      </w:r>
    </w:p>
    <w:p w14:paraId="2F3BD317" w14:textId="2C9DD1E6" w:rsidR="006E4D14" w:rsidRDefault="004D1776" w:rsidP="005F39F0">
      <w:pPr>
        <w:pStyle w:val="Heading2"/>
      </w:pPr>
      <w:r>
        <w:t xml:space="preserve">Definitions of </w:t>
      </w:r>
      <w:r w:rsidR="005F39F0">
        <w:t xml:space="preserve">terms </w:t>
      </w:r>
      <w:r w:rsidR="00872C10">
        <w:t>used</w:t>
      </w:r>
    </w:p>
    <w:tbl>
      <w:tblPr>
        <w:tblStyle w:val="GridTable1Light"/>
        <w:tblW w:w="0" w:type="auto"/>
        <w:tblLook w:val="04A0" w:firstRow="1" w:lastRow="0" w:firstColumn="1" w:lastColumn="0" w:noHBand="0" w:noVBand="1"/>
      </w:tblPr>
      <w:tblGrid>
        <w:gridCol w:w="2405"/>
        <w:gridCol w:w="5664"/>
      </w:tblGrid>
      <w:tr w:rsidR="00877CA4" w:rsidRPr="00B3403F" w14:paraId="6F0218D9" w14:textId="77777777" w:rsidTr="00723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2116DA" w14:textId="1F4CE2F6" w:rsidR="00877CA4" w:rsidRPr="00B3403F" w:rsidRDefault="00040F12" w:rsidP="001F6B80">
            <w:r>
              <w:t>Term</w:t>
            </w:r>
          </w:p>
        </w:tc>
        <w:tc>
          <w:tcPr>
            <w:tcW w:w="5664" w:type="dxa"/>
          </w:tcPr>
          <w:p w14:paraId="6D7650AE" w14:textId="79904915" w:rsidR="00877CA4" w:rsidRPr="00B3403F" w:rsidRDefault="005F39F0" w:rsidP="001F6B80">
            <w:pPr>
              <w:cnfStyle w:val="100000000000" w:firstRow="1" w:lastRow="0" w:firstColumn="0" w:lastColumn="0" w:oddVBand="0" w:evenVBand="0" w:oddHBand="0" w:evenHBand="0" w:firstRowFirstColumn="0" w:firstRowLastColumn="0" w:lastRowFirstColumn="0" w:lastRowLastColumn="0"/>
            </w:pPr>
            <w:r>
              <w:t>Definition</w:t>
            </w:r>
          </w:p>
        </w:tc>
      </w:tr>
      <w:tr w:rsidR="00040F12" w:rsidRPr="00B3403F" w14:paraId="5A97231D" w14:textId="77777777" w:rsidTr="0072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8028F4" w14:textId="456E3C60" w:rsidR="00040F12" w:rsidRPr="00040F12" w:rsidRDefault="00040F12" w:rsidP="00040F12">
            <w:pPr>
              <w:pStyle w:val="Table10pt"/>
            </w:pPr>
            <w:r w:rsidRPr="00040F12">
              <w:t xml:space="preserve">Assisted dying </w:t>
            </w:r>
          </w:p>
        </w:tc>
        <w:tc>
          <w:tcPr>
            <w:tcW w:w="5664" w:type="dxa"/>
          </w:tcPr>
          <w:p w14:paraId="55AFF6AD" w14:textId="50489EF3" w:rsidR="00040F12" w:rsidRPr="00B3403F" w:rsidRDefault="00040F12" w:rsidP="00040F12">
            <w:pPr>
              <w:pStyle w:val="Table10pt"/>
              <w:cnfStyle w:val="000000100000" w:firstRow="0" w:lastRow="0" w:firstColumn="0" w:lastColumn="0" w:oddVBand="0" w:evenVBand="0" w:oddHBand="1" w:evenHBand="0" w:firstRowFirstColumn="0" w:firstRowLastColumn="0" w:lastRowFirstColumn="0" w:lastRowLastColumn="0"/>
            </w:pPr>
            <w:r>
              <w:rPr>
                <w:lang w:eastAsia="en-NZ"/>
              </w:rPr>
              <w:t>T</w:t>
            </w:r>
            <w:r w:rsidRPr="005122F6">
              <w:rPr>
                <w:lang w:eastAsia="en-NZ"/>
              </w:rPr>
              <w:t>he administration by an attending medical practitioner or an attending nurse practitioner of medication to a person to relieve the person’s suffering by hastening death; or</w:t>
            </w:r>
            <w:r w:rsidRPr="005122F6">
              <w:t xml:space="preserve"> </w:t>
            </w:r>
            <w:r w:rsidRPr="005122F6">
              <w:rPr>
                <w:lang w:eastAsia="en-NZ"/>
              </w:rPr>
              <w:t>the self-administration by the person of medication to relieve their suffering by hastening death</w:t>
            </w:r>
          </w:p>
        </w:tc>
      </w:tr>
      <w:tr w:rsidR="00040F12" w:rsidRPr="00B3403F" w14:paraId="6797DEC7" w14:textId="77777777" w:rsidTr="0072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2AE853" w14:textId="6EC03A6D" w:rsidR="00040F12" w:rsidRPr="00040F12" w:rsidRDefault="00040F12" w:rsidP="00040F12">
            <w:pPr>
              <w:pStyle w:val="Table10pt"/>
            </w:pPr>
            <w:r w:rsidRPr="00040F12">
              <w:t xml:space="preserve">Attending medical practitioner (AMP) </w:t>
            </w:r>
          </w:p>
        </w:tc>
        <w:tc>
          <w:tcPr>
            <w:tcW w:w="5664" w:type="dxa"/>
          </w:tcPr>
          <w:p w14:paraId="501F9B5B" w14:textId="7492DC41" w:rsidR="00040F12" w:rsidRPr="00B3403F" w:rsidRDefault="00040F12" w:rsidP="00040F12">
            <w:pPr>
              <w:pStyle w:val="Table10pt"/>
              <w:cnfStyle w:val="000000010000" w:firstRow="0" w:lastRow="0" w:firstColumn="0" w:lastColumn="0" w:oddVBand="0" w:evenVBand="0" w:oddHBand="0" w:evenHBand="1" w:firstRowFirstColumn="0" w:firstRowLastColumn="0" w:lastRowFirstColumn="0" w:lastRowLastColumn="0"/>
            </w:pPr>
            <w:r w:rsidRPr="00C3508F">
              <w:t>The medical practitioner who provides end-to-end care throughout the assisted dying service, including carrying out the first eligibility assessment and preparing and administering the medication for assisted dying</w:t>
            </w:r>
          </w:p>
        </w:tc>
      </w:tr>
      <w:tr w:rsidR="00040F12" w:rsidRPr="00B3403F" w14:paraId="0920DA31" w14:textId="77777777" w:rsidTr="0072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4A67A3" w14:textId="00159C96" w:rsidR="00040F12" w:rsidRPr="00040F12" w:rsidRDefault="00040F12" w:rsidP="00040F12">
            <w:pPr>
              <w:pStyle w:val="Table10pt"/>
            </w:pPr>
            <w:r w:rsidRPr="00040F12">
              <w:t xml:space="preserve">Attending nurse practitioner (ANP) </w:t>
            </w:r>
          </w:p>
        </w:tc>
        <w:tc>
          <w:tcPr>
            <w:tcW w:w="5664" w:type="dxa"/>
          </w:tcPr>
          <w:p w14:paraId="6976AEE8" w14:textId="16D0E788" w:rsidR="00040F12" w:rsidRPr="00B3403F" w:rsidRDefault="00040F12" w:rsidP="00040F12">
            <w:pPr>
              <w:pStyle w:val="Table10pt"/>
              <w:cnfStyle w:val="000000100000" w:firstRow="0" w:lastRow="0" w:firstColumn="0" w:lastColumn="0" w:oddVBand="0" w:evenVBand="0" w:oddHBand="1" w:evenHBand="0" w:firstRowFirstColumn="0" w:firstRowLastColumn="0" w:lastRowFirstColumn="0" w:lastRowLastColumn="0"/>
            </w:pPr>
            <w:r w:rsidRPr="00426A4B">
              <w:t>The nurse practitioner who administers the medication for assisted dying (under the instruction of the attending medical practitioner)</w:t>
            </w:r>
          </w:p>
        </w:tc>
      </w:tr>
      <w:tr w:rsidR="00040F12" w:rsidRPr="00B3403F" w14:paraId="7E3BF8A0" w14:textId="77777777" w:rsidTr="0072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5F5075" w14:textId="2DB87897" w:rsidR="00040F12" w:rsidRPr="00040F12" w:rsidRDefault="00040F12" w:rsidP="00040F12">
            <w:pPr>
              <w:pStyle w:val="Table10pt"/>
            </w:pPr>
            <w:r w:rsidRPr="00040F12">
              <w:t xml:space="preserve">Health practitioner </w:t>
            </w:r>
          </w:p>
        </w:tc>
        <w:tc>
          <w:tcPr>
            <w:tcW w:w="5664" w:type="dxa"/>
          </w:tcPr>
          <w:p w14:paraId="7F9E7D5B" w14:textId="24A1476D" w:rsidR="00040F12" w:rsidRPr="00B3403F" w:rsidRDefault="00040F12" w:rsidP="00040F12">
            <w:pPr>
              <w:pStyle w:val="Table10pt"/>
              <w:cnfStyle w:val="000000010000" w:firstRow="0" w:lastRow="0" w:firstColumn="0" w:lastColumn="0" w:oddVBand="0" w:evenVBand="0" w:oddHBand="0" w:evenHBand="1" w:firstRowFirstColumn="0" w:firstRowLastColumn="0" w:lastRowFirstColumn="0" w:lastRowLastColumn="0"/>
            </w:pPr>
            <w:r w:rsidRPr="00457E86">
              <w:t xml:space="preserve">A </w:t>
            </w:r>
            <w:r w:rsidRPr="00457E86">
              <w:rPr>
                <w:shd w:val="clear" w:color="auto" w:fill="FFFFFF"/>
              </w:rPr>
              <w:t xml:space="preserve">health professional who is registered and holds </w:t>
            </w:r>
            <w:r w:rsidR="00723C65">
              <w:rPr>
                <w:shd w:val="clear" w:color="auto" w:fill="FFFFFF"/>
              </w:rPr>
              <w:t xml:space="preserve">a </w:t>
            </w:r>
            <w:r w:rsidRPr="00457E86">
              <w:rPr>
                <w:shd w:val="clear" w:color="auto" w:fill="FFFFFF"/>
              </w:rPr>
              <w:t>practising certificate in line with the Health Practitioners Competence Assurance Act 2003</w:t>
            </w:r>
          </w:p>
        </w:tc>
      </w:tr>
      <w:tr w:rsidR="00040F12" w:rsidRPr="00B3403F" w14:paraId="0456058D" w14:textId="77777777" w:rsidTr="0072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BE19F8" w14:textId="1CE41297" w:rsidR="00040F12" w:rsidRPr="00040F12" w:rsidRDefault="00040F12" w:rsidP="00040F12">
            <w:pPr>
              <w:pStyle w:val="Table10pt"/>
            </w:pPr>
            <w:r w:rsidRPr="00040F12">
              <w:t>I</w:t>
            </w:r>
            <w:r w:rsidRPr="00040F12" w:rsidDel="007068EE">
              <w:t xml:space="preserve">ndependent medical practitioner (IMP) </w:t>
            </w:r>
          </w:p>
        </w:tc>
        <w:tc>
          <w:tcPr>
            <w:tcW w:w="5664" w:type="dxa"/>
          </w:tcPr>
          <w:p w14:paraId="60F72512" w14:textId="364157D7" w:rsidR="00040F12" w:rsidRPr="00B3403F" w:rsidRDefault="00040F12" w:rsidP="00040F12">
            <w:pPr>
              <w:pStyle w:val="Table10pt"/>
              <w:cnfStyle w:val="000000100000" w:firstRow="0" w:lastRow="0" w:firstColumn="0" w:lastColumn="0" w:oddVBand="0" w:evenVBand="0" w:oddHBand="1" w:evenHBand="0" w:firstRowFirstColumn="0" w:firstRowLastColumn="0" w:lastRowFirstColumn="0" w:lastRowLastColumn="0"/>
            </w:pPr>
            <w:r w:rsidRPr="004159E9">
              <w:t>T</w:t>
            </w:r>
            <w:r w:rsidRPr="004159E9" w:rsidDel="007068EE">
              <w:t>he medical practitioner who provides the second eligibility assessment (the SCENZ Group</w:t>
            </w:r>
            <w:r w:rsidRPr="004159E9">
              <w:t xml:space="preserve"> provides the IMP – see below</w:t>
            </w:r>
            <w:r w:rsidRPr="004159E9" w:rsidDel="007068EE">
              <w:t>)</w:t>
            </w:r>
          </w:p>
        </w:tc>
      </w:tr>
      <w:tr w:rsidR="00040F12" w:rsidRPr="00B3403F" w14:paraId="64401CBF" w14:textId="77777777" w:rsidTr="0072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1F95D0" w14:textId="6B6D8846" w:rsidR="00040F12" w:rsidRPr="00040F12" w:rsidRDefault="00040F12" w:rsidP="00040F12">
            <w:pPr>
              <w:pStyle w:val="Table10pt"/>
            </w:pPr>
            <w:r w:rsidRPr="00040F12">
              <w:t xml:space="preserve">Medical practitioner </w:t>
            </w:r>
          </w:p>
        </w:tc>
        <w:tc>
          <w:tcPr>
            <w:tcW w:w="5664" w:type="dxa"/>
          </w:tcPr>
          <w:p w14:paraId="1DC3311E" w14:textId="19593B01" w:rsidR="00040F12" w:rsidRPr="00B3403F" w:rsidRDefault="00040F12" w:rsidP="00040F12">
            <w:pPr>
              <w:pStyle w:val="Table10pt"/>
              <w:cnfStyle w:val="000000010000" w:firstRow="0" w:lastRow="0" w:firstColumn="0" w:lastColumn="0" w:oddVBand="0" w:evenVBand="0" w:oddHBand="0" w:evenHBand="1" w:firstRowFirstColumn="0" w:firstRowLastColumn="0" w:lastRowFirstColumn="0" w:lastRowLastColumn="0"/>
            </w:pPr>
            <w:r w:rsidRPr="004159E9">
              <w:t>A</w:t>
            </w:r>
            <w:r w:rsidRPr="004159E9">
              <w:rPr>
                <w:shd w:val="clear" w:color="auto" w:fill="FFFFFF"/>
              </w:rPr>
              <w:t xml:space="preserve"> doctor who is registered with the Medical Council of New Zealand and holds a practising certificate</w:t>
            </w:r>
          </w:p>
        </w:tc>
      </w:tr>
      <w:tr w:rsidR="00040F12" w:rsidRPr="00B3403F" w14:paraId="53EB07F5" w14:textId="77777777" w:rsidTr="0072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9BA4DB" w14:textId="24DA0433" w:rsidR="00040F12" w:rsidRPr="00040F12" w:rsidRDefault="00040F12" w:rsidP="00040F12">
            <w:pPr>
              <w:pStyle w:val="Table10pt"/>
            </w:pPr>
            <w:r w:rsidRPr="00040F12">
              <w:t>Nurse practitioner </w:t>
            </w:r>
          </w:p>
        </w:tc>
        <w:tc>
          <w:tcPr>
            <w:tcW w:w="5664" w:type="dxa"/>
          </w:tcPr>
          <w:p w14:paraId="10101464" w14:textId="5AB58517" w:rsidR="00040F12" w:rsidRPr="00B3403F" w:rsidRDefault="00040F12" w:rsidP="00040F12">
            <w:pPr>
              <w:pStyle w:val="Table10pt"/>
              <w:cnfStyle w:val="000000100000" w:firstRow="0" w:lastRow="0" w:firstColumn="0" w:lastColumn="0" w:oddVBand="0" w:evenVBand="0" w:oddHBand="1" w:evenHBand="0" w:firstRowFirstColumn="0" w:firstRowLastColumn="0" w:lastRowFirstColumn="0" w:lastRowLastColumn="0"/>
            </w:pPr>
            <w:r w:rsidRPr="004159E9">
              <w:rPr>
                <w:shd w:val="clear" w:color="auto" w:fill="FFFFFF"/>
              </w:rPr>
              <w:t>A practitioner who has advanced education, clinical training and the demonstrated competence and legal authority to practise beyond the level of a registered nurse</w:t>
            </w:r>
          </w:p>
        </w:tc>
      </w:tr>
      <w:tr w:rsidR="00040F12" w:rsidRPr="00B3403F" w14:paraId="1A373552" w14:textId="77777777" w:rsidTr="0072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9D34B7" w14:textId="51F5B939" w:rsidR="00040F12" w:rsidRPr="00040F12" w:rsidRDefault="00040F12" w:rsidP="00040F12">
            <w:pPr>
              <w:pStyle w:val="Table10pt"/>
            </w:pPr>
            <w:r w:rsidRPr="00040F12">
              <w:t>P</w:t>
            </w:r>
            <w:r w:rsidRPr="00040F12" w:rsidDel="007068EE">
              <w:t>erson</w:t>
            </w:r>
          </w:p>
        </w:tc>
        <w:tc>
          <w:tcPr>
            <w:tcW w:w="5664" w:type="dxa"/>
          </w:tcPr>
          <w:p w14:paraId="7BFC5433" w14:textId="6B0B786E" w:rsidR="00040F12" w:rsidRPr="00B3403F" w:rsidRDefault="00040F12" w:rsidP="00040F12">
            <w:pPr>
              <w:pStyle w:val="Table10pt"/>
              <w:cnfStyle w:val="000000010000" w:firstRow="0" w:lastRow="0" w:firstColumn="0" w:lastColumn="0" w:oddVBand="0" w:evenVBand="0" w:oddHBand="0" w:evenHBand="1" w:firstRowFirstColumn="0" w:firstRowLastColumn="0" w:lastRowFirstColumn="0" w:lastRowLastColumn="0"/>
            </w:pPr>
            <w:r w:rsidRPr="004159E9">
              <w:t>T</w:t>
            </w:r>
            <w:r w:rsidRPr="004159E9" w:rsidDel="007068EE">
              <w:t>he person who has requested assisted dying</w:t>
            </w:r>
          </w:p>
        </w:tc>
      </w:tr>
      <w:tr w:rsidR="00040F12" w:rsidRPr="00B3403F" w14:paraId="5F8F2B35" w14:textId="77777777" w:rsidTr="0072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0549F4" w14:textId="5F0FB4EB" w:rsidR="00040F12" w:rsidRPr="00040F12" w:rsidRDefault="00040F12" w:rsidP="00040F12">
            <w:pPr>
              <w:pStyle w:val="Table10pt"/>
            </w:pPr>
            <w:r w:rsidRPr="00040F12">
              <w:t xml:space="preserve">Psychiatrist </w:t>
            </w:r>
          </w:p>
        </w:tc>
        <w:tc>
          <w:tcPr>
            <w:tcW w:w="5664" w:type="dxa"/>
          </w:tcPr>
          <w:p w14:paraId="0CF2F434" w14:textId="5A3DD6FF" w:rsidR="00040F12" w:rsidRPr="00B3403F" w:rsidRDefault="00040F12" w:rsidP="00040F12">
            <w:pPr>
              <w:pStyle w:val="Table10pt"/>
              <w:cnfStyle w:val="000000100000" w:firstRow="0" w:lastRow="0" w:firstColumn="0" w:lastColumn="0" w:oddVBand="0" w:evenVBand="0" w:oddHBand="1" w:evenHBand="0" w:firstRowFirstColumn="0" w:firstRowLastColumn="0" w:lastRowFirstColumn="0" w:lastRowLastColumn="0"/>
            </w:pPr>
            <w:r w:rsidRPr="004159E9">
              <w:t>A medical practitioner with a specialty in psychiatry, who may perform a competency assessment as part of the assisted dying process, if required (the SCENZ Group provides the psychiatrist – see below)</w:t>
            </w:r>
          </w:p>
        </w:tc>
      </w:tr>
      <w:tr w:rsidR="00040F12" w:rsidRPr="00B3403F" w14:paraId="47794F5D" w14:textId="77777777" w:rsidTr="0072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797290" w14:textId="0FEF6CF2" w:rsidR="00040F12" w:rsidRPr="00B3403F" w:rsidRDefault="00040F12" w:rsidP="00040F12">
            <w:pPr>
              <w:pStyle w:val="Table10pt"/>
            </w:pPr>
            <w:r w:rsidRPr="00FF3E94">
              <w:t xml:space="preserve">Request for assisted dying </w:t>
            </w:r>
          </w:p>
        </w:tc>
        <w:tc>
          <w:tcPr>
            <w:tcW w:w="5664" w:type="dxa"/>
          </w:tcPr>
          <w:p w14:paraId="582CBDC7" w14:textId="18DA456D" w:rsidR="00040F12" w:rsidRPr="00B3403F" w:rsidRDefault="00040F12" w:rsidP="00040F12">
            <w:pPr>
              <w:pStyle w:val="Table10pt"/>
              <w:cnfStyle w:val="000000010000" w:firstRow="0" w:lastRow="0" w:firstColumn="0" w:lastColumn="0" w:oddVBand="0" w:evenVBand="0" w:oddHBand="0" w:evenHBand="1" w:firstRowFirstColumn="0" w:firstRowLastColumn="0" w:lastRowFirstColumn="0" w:lastRowLastColumn="0"/>
            </w:pPr>
            <w:r w:rsidRPr="00FF3E94">
              <w:t>The clear request that a person would like to start the assisted dying process, noting that they may have already had some conversations before making this request</w:t>
            </w:r>
          </w:p>
        </w:tc>
      </w:tr>
      <w:tr w:rsidR="00877CA4" w:rsidRPr="00B3403F" w14:paraId="4B2055A7" w14:textId="77777777" w:rsidTr="0072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E674FC" w14:textId="7EFFABDB" w:rsidR="00877CA4" w:rsidRPr="00B3403F" w:rsidRDefault="00040F12" w:rsidP="001F6B80">
            <w:pPr>
              <w:pStyle w:val="Table10pt"/>
            </w:pPr>
            <w:r w:rsidRPr="002C2AAC">
              <w:t>Support and Consultation for End of Life in New Zealand Group (SCENZ Group)</w:t>
            </w:r>
          </w:p>
        </w:tc>
        <w:tc>
          <w:tcPr>
            <w:tcW w:w="5664" w:type="dxa"/>
          </w:tcPr>
          <w:p w14:paraId="0B22A4FE" w14:textId="116DC989" w:rsidR="00877CA4" w:rsidRPr="00B3403F" w:rsidRDefault="00040F12" w:rsidP="001F6B80">
            <w:pPr>
              <w:pStyle w:val="Table10pt"/>
              <w:cnfStyle w:val="000000100000" w:firstRow="0" w:lastRow="0" w:firstColumn="0" w:lastColumn="0" w:oddVBand="0" w:evenVBand="0" w:oddHBand="1" w:evenHBand="0" w:firstRowFirstColumn="0" w:firstRowLastColumn="0" w:lastRowFirstColumn="0" w:lastRowLastColumn="0"/>
            </w:pPr>
            <w:r>
              <w:t>T</w:t>
            </w:r>
            <w:r>
              <w:rPr>
                <w:shd w:val="clear" w:color="auto" w:fill="FFFFFF"/>
              </w:rPr>
              <w:t>he</w:t>
            </w:r>
            <w:r w:rsidRPr="00624CF6">
              <w:rPr>
                <w:shd w:val="clear" w:color="auto" w:fill="FFFFFF"/>
              </w:rPr>
              <w:t xml:space="preserve"> statutory body for the assisted dying service</w:t>
            </w:r>
            <w:r>
              <w:rPr>
                <w:shd w:val="clear" w:color="auto" w:fill="FFFFFF"/>
              </w:rPr>
              <w:t xml:space="preserve"> that </w:t>
            </w:r>
            <w:r w:rsidRPr="00624CF6">
              <w:rPr>
                <w:shd w:val="clear" w:color="auto" w:fill="FFFFFF"/>
              </w:rPr>
              <w:t>is responsible for maintaining lists of practitioners who are willing to provide assisted dying services</w:t>
            </w:r>
            <w:r>
              <w:rPr>
                <w:shd w:val="clear" w:color="auto" w:fill="FFFFFF"/>
              </w:rPr>
              <w:t>, as well as providing practical help in relation to assisted dying</w:t>
            </w:r>
          </w:p>
        </w:tc>
      </w:tr>
    </w:tbl>
    <w:p w14:paraId="6D701D4D" w14:textId="77777777" w:rsidR="00877CA4" w:rsidRDefault="00877CA4" w:rsidP="0095648E"/>
    <w:p w14:paraId="04EE1F9E" w14:textId="38476B9C" w:rsidR="004D1776" w:rsidRDefault="004D1776" w:rsidP="00723C65">
      <w:pPr>
        <w:pStyle w:val="Heading2"/>
        <w:rPr>
          <w:lang w:val="en-US"/>
        </w:rPr>
      </w:pPr>
      <w:r>
        <w:rPr>
          <w:lang w:val="en-US"/>
        </w:rPr>
        <w:lastRenderedPageBreak/>
        <w:t xml:space="preserve">Role of health and disability </w:t>
      </w:r>
      <w:r w:rsidR="00723C65">
        <w:rPr>
          <w:lang w:val="en-US"/>
        </w:rPr>
        <w:br/>
      </w:r>
      <w:r>
        <w:rPr>
          <w:lang w:val="en-US"/>
        </w:rPr>
        <w:t xml:space="preserve">service providers </w:t>
      </w:r>
    </w:p>
    <w:p w14:paraId="3E3F93B1" w14:textId="77777777" w:rsidR="004D1776" w:rsidRPr="00064F29" w:rsidRDefault="004D1776" w:rsidP="006E4D14">
      <w:r>
        <w:t xml:space="preserve">All health and disability service providers may care for or support people who choose to access assisted dying services. Service providers </w:t>
      </w:r>
      <w:r w:rsidRPr="00064F29">
        <w:t>should have appropriate policies</w:t>
      </w:r>
      <w:r>
        <w:t xml:space="preserve"> and procedures</w:t>
      </w:r>
      <w:r w:rsidRPr="00064F29">
        <w:t xml:space="preserve"> in place to support staff in situations where a person in </w:t>
      </w:r>
      <w:r>
        <w:t>the service provider’s</w:t>
      </w:r>
      <w:r w:rsidRPr="00064F29">
        <w:t xml:space="preserve"> care </w:t>
      </w:r>
      <w:r>
        <w:t>asks for</w:t>
      </w:r>
      <w:r w:rsidRPr="00064F29">
        <w:t xml:space="preserve"> information about or access to assisted dying services. </w:t>
      </w:r>
      <w:r>
        <w:t xml:space="preserve">These policies or procedures may vary between service providers based on the </w:t>
      </w:r>
      <w:r>
        <w:rPr>
          <w:lang w:val="en-US"/>
        </w:rPr>
        <w:t>the service provider’s level of involvement in assisted dying services.</w:t>
      </w:r>
    </w:p>
    <w:p w14:paraId="2811B5FC" w14:textId="77777777" w:rsidR="004D1776" w:rsidRDefault="004D1776" w:rsidP="006E4D14">
      <w:pPr>
        <w:rPr>
          <w:lang w:val="en-US"/>
        </w:rPr>
      </w:pPr>
    </w:p>
    <w:p w14:paraId="4A7F3F5E" w14:textId="77777777" w:rsidR="004D1776" w:rsidRDefault="004D1776" w:rsidP="006E4D14">
      <w:pPr>
        <w:rPr>
          <w:lang w:val="en-US"/>
        </w:rPr>
      </w:pPr>
      <w:r>
        <w:rPr>
          <w:lang w:val="en-US"/>
        </w:rPr>
        <w:t xml:space="preserve">Service providers should also encourage staff to complete training provided by the Ministry of Health, and provide additional guidance and support, where appropriate. This may include group discussions or debrief sessions, as well as access to pastoral or wellbeing support, such as Employee Assistance Programmes. </w:t>
      </w:r>
    </w:p>
    <w:p w14:paraId="0EAEC32E" w14:textId="77777777" w:rsidR="004D1776" w:rsidRDefault="004D1776" w:rsidP="006E4D14">
      <w:pPr>
        <w:rPr>
          <w:lang w:val="en-US"/>
        </w:rPr>
      </w:pPr>
    </w:p>
    <w:p w14:paraId="618280DE" w14:textId="0EDEAFE0" w:rsidR="004D1776" w:rsidRPr="008136A0" w:rsidRDefault="004D1776" w:rsidP="006E4D14">
      <w:r>
        <w:t>For more</w:t>
      </w:r>
      <w:r w:rsidRPr="00064F29">
        <w:t xml:space="preserve"> information </w:t>
      </w:r>
      <w:r>
        <w:t>that</w:t>
      </w:r>
      <w:r w:rsidRPr="00064F29">
        <w:t xml:space="preserve"> support</w:t>
      </w:r>
      <w:r>
        <w:t>s</w:t>
      </w:r>
      <w:r w:rsidRPr="00064F29">
        <w:t xml:space="preserve"> health </w:t>
      </w:r>
      <w:r>
        <w:t xml:space="preserve">service </w:t>
      </w:r>
      <w:r w:rsidRPr="00064F29">
        <w:t xml:space="preserve">providers </w:t>
      </w:r>
      <w:r>
        <w:t>to prepare and create appropriate policies and procedures,</w:t>
      </w:r>
      <w:r w:rsidRPr="00064F29">
        <w:t xml:space="preserve"> </w:t>
      </w:r>
      <w:r>
        <w:t xml:space="preserve">see </w:t>
      </w:r>
      <w:r w:rsidRPr="00064F29">
        <w:t xml:space="preserve">the </w:t>
      </w:r>
      <w:r w:rsidRPr="00651948">
        <w:t>‘Preparing for assisted dying services’</w:t>
      </w:r>
      <w:r>
        <w:t xml:space="preserve"> and ‘Policy guidance for assisted dying services’</w:t>
      </w:r>
      <w:r w:rsidRPr="004E68DA">
        <w:t xml:space="preserve"> </w:t>
      </w:r>
      <w:r w:rsidRPr="00064F29">
        <w:t xml:space="preserve">information </w:t>
      </w:r>
      <w:r w:rsidRPr="008136A0">
        <w:t xml:space="preserve">sheets found on the </w:t>
      </w:r>
      <w:hyperlink r:id="rId18" w:history="1">
        <w:r w:rsidRPr="006E4D14">
          <w:rPr>
            <w:rStyle w:val="Hyperlink"/>
          </w:rPr>
          <w:t>Ministry’s website</w:t>
        </w:r>
      </w:hyperlink>
      <w:r w:rsidRPr="006E4D14">
        <w:rPr>
          <w:rStyle w:val="Hyperlink"/>
        </w:rPr>
        <w:t>.</w:t>
      </w:r>
      <w:r w:rsidRPr="008136A0">
        <w:t xml:space="preserve"> </w:t>
      </w:r>
    </w:p>
    <w:p w14:paraId="6696B796" w14:textId="77777777" w:rsidR="004D1776" w:rsidRDefault="004D1776" w:rsidP="00723C65">
      <w:pPr>
        <w:pStyle w:val="Heading2"/>
        <w:rPr>
          <w:lang w:val="en-US"/>
        </w:rPr>
      </w:pPr>
      <w:r>
        <w:rPr>
          <w:lang w:val="en-US"/>
        </w:rPr>
        <w:t>Workforce training and support</w:t>
      </w:r>
    </w:p>
    <w:p w14:paraId="3F0DE7C2" w14:textId="77777777" w:rsidR="004D1776" w:rsidRDefault="004D1776" w:rsidP="0095648E">
      <w:r>
        <w:rPr>
          <w:lang w:val="en-US"/>
        </w:rPr>
        <w:t xml:space="preserve">All health practitioners, regardless of their involvement in assisted dying services, </w:t>
      </w:r>
      <w:r>
        <w:t xml:space="preserve">should complete appropriate training to ensure they understand their legal obligations under the Act and to enable them to fulfil their duty of care to the person. This includes being prepared to respond to a person who may raise assisted dying with them in a respectful and helpful manner, including knowing where to direct a person who wishes to access this service.  </w:t>
      </w:r>
    </w:p>
    <w:p w14:paraId="1380D765" w14:textId="77777777" w:rsidR="004D1776" w:rsidRDefault="004D1776" w:rsidP="0095648E"/>
    <w:p w14:paraId="50D3EFF8" w14:textId="100DE08C" w:rsidR="004D1776" w:rsidRDefault="004D1776" w:rsidP="0095648E">
      <w:pPr>
        <w:rPr>
          <w:rFonts w:cs="Segoe UI"/>
          <w:szCs w:val="22"/>
        </w:rPr>
      </w:pPr>
      <w:r>
        <w:t xml:space="preserve">The Ministry of Health has created a number of learning and guidance resources to support practitioners. </w:t>
      </w:r>
      <w:r w:rsidRPr="00064F29">
        <w:rPr>
          <w:rFonts w:cs="Segoe UI"/>
          <w:szCs w:val="22"/>
        </w:rPr>
        <w:t xml:space="preserve">All </w:t>
      </w:r>
      <w:r>
        <w:rPr>
          <w:rFonts w:cs="Segoe UI"/>
          <w:szCs w:val="22"/>
        </w:rPr>
        <w:t xml:space="preserve">of these </w:t>
      </w:r>
      <w:r w:rsidRPr="00064F29">
        <w:rPr>
          <w:rFonts w:cs="Segoe UI"/>
          <w:szCs w:val="22"/>
        </w:rPr>
        <w:t>resources are available through</w:t>
      </w:r>
      <w:r w:rsidRPr="00E03271">
        <w:rPr>
          <w:rFonts w:cs="Segoe UI"/>
          <w:color w:val="0070C0"/>
          <w:szCs w:val="22"/>
        </w:rPr>
        <w:t xml:space="preserve"> </w:t>
      </w:r>
      <w:hyperlink r:id="rId19" w:history="1">
        <w:r w:rsidRPr="006E4D14">
          <w:rPr>
            <w:rStyle w:val="Hyperlink"/>
          </w:rPr>
          <w:t>LearnOnline</w:t>
        </w:r>
      </w:hyperlink>
      <w:r w:rsidRPr="00064F29">
        <w:rPr>
          <w:rFonts w:cs="Segoe UI"/>
          <w:szCs w:val="22"/>
        </w:rPr>
        <w:t xml:space="preserve">. </w:t>
      </w:r>
    </w:p>
    <w:p w14:paraId="02A619B6" w14:textId="39350873" w:rsidR="0095648E" w:rsidRDefault="0095648E" w:rsidP="0095648E">
      <w:pPr>
        <w:rPr>
          <w:rFonts w:cs="Segoe UI"/>
          <w:szCs w:val="22"/>
        </w:rPr>
      </w:pPr>
    </w:p>
    <w:p w14:paraId="6DA9D25C" w14:textId="77777777" w:rsidR="004D1776" w:rsidRDefault="004D1776" w:rsidP="0095648E">
      <w:pPr>
        <w:rPr>
          <w:rFonts w:cs="Segoe UI"/>
          <w:szCs w:val="22"/>
        </w:rPr>
      </w:pPr>
      <w:r>
        <w:rPr>
          <w:rFonts w:cs="Segoe UI"/>
          <w:szCs w:val="22"/>
        </w:rPr>
        <w:t xml:space="preserve">Ministry of Health resources include: </w:t>
      </w:r>
    </w:p>
    <w:p w14:paraId="26F80863" w14:textId="2F687C81" w:rsidR="004D1776" w:rsidRPr="002C672F" w:rsidRDefault="004D1776" w:rsidP="006E4D14">
      <w:pPr>
        <w:pStyle w:val="Bullet"/>
      </w:pPr>
      <w:r>
        <w:t>e</w:t>
      </w:r>
      <w:r w:rsidRPr="002C672F">
        <w:t xml:space="preserve">-learning modules about assisted dying services </w:t>
      </w:r>
      <w:r w:rsidR="003F4697">
        <w:t>(these can be completed by individuals, or as a group</w:t>
      </w:r>
      <w:r w:rsidRPr="002C672F">
        <w:t xml:space="preserve"> as part of an information and discussion session</w:t>
      </w:r>
      <w:r w:rsidR="003F4697">
        <w:t>)</w:t>
      </w:r>
    </w:p>
    <w:p w14:paraId="14668646" w14:textId="65A7A631" w:rsidR="004D1776" w:rsidRDefault="004D1776" w:rsidP="006E4D14">
      <w:pPr>
        <w:pStyle w:val="Bullet"/>
      </w:pPr>
      <w:r>
        <w:t>w</w:t>
      </w:r>
      <w:r w:rsidRPr="002C672F">
        <w:t xml:space="preserve">ebinars about </w:t>
      </w:r>
      <w:r w:rsidR="003F4697">
        <w:t>the implementation of</w:t>
      </w:r>
      <w:r w:rsidRPr="002C672F">
        <w:t xml:space="preserve"> assisted dying services</w:t>
      </w:r>
    </w:p>
    <w:p w14:paraId="3C39E9C5" w14:textId="77777777" w:rsidR="004D1776" w:rsidRDefault="004D1776" w:rsidP="006E4D14">
      <w:pPr>
        <w:pStyle w:val="Bullet"/>
      </w:pPr>
      <w:r>
        <w:t>information sheets for health practitioners.</w:t>
      </w:r>
    </w:p>
    <w:p w14:paraId="14CA0934" w14:textId="77777777" w:rsidR="004D1776" w:rsidRPr="00342402" w:rsidRDefault="004D1776" w:rsidP="0095648E">
      <w:pPr>
        <w:rPr>
          <w:lang w:val="en-US"/>
        </w:rPr>
      </w:pPr>
    </w:p>
    <w:p w14:paraId="25CFD32E" w14:textId="1EA4CA71" w:rsidR="004D1776" w:rsidRPr="00221CF4" w:rsidRDefault="004D1776" w:rsidP="0095648E">
      <w:pPr>
        <w:rPr>
          <w:rFonts w:cs="Segoe UI"/>
          <w:szCs w:val="22"/>
        </w:rPr>
      </w:pPr>
      <w:r w:rsidRPr="00064F29">
        <w:rPr>
          <w:rFonts w:cs="Segoe UI"/>
          <w:szCs w:val="22"/>
        </w:rPr>
        <w:t xml:space="preserve">Medical and nurse practitioners who provide assisted dying services </w:t>
      </w:r>
      <w:r>
        <w:rPr>
          <w:rFonts w:cs="Segoe UI"/>
          <w:szCs w:val="22"/>
        </w:rPr>
        <w:t>and wish to access funding under the fee-for-service model must</w:t>
      </w:r>
      <w:r w:rsidRPr="00064F29">
        <w:rPr>
          <w:rFonts w:cs="Segoe UI"/>
          <w:szCs w:val="22"/>
        </w:rPr>
        <w:t xml:space="preserve"> complete certain </w:t>
      </w:r>
      <w:r w:rsidR="00074817">
        <w:rPr>
          <w:rFonts w:cs="Segoe UI"/>
          <w:szCs w:val="22"/>
        </w:rPr>
        <w:t xml:space="preserve">additional </w:t>
      </w:r>
      <w:r w:rsidRPr="00064F29">
        <w:rPr>
          <w:rFonts w:cs="Segoe UI"/>
          <w:szCs w:val="22"/>
        </w:rPr>
        <w:t xml:space="preserve">training in order to claim funding. </w:t>
      </w:r>
      <w:r>
        <w:t xml:space="preserve">More information can be found </w:t>
      </w:r>
      <w:r w:rsidRPr="008136A0">
        <w:t xml:space="preserve">on the </w:t>
      </w:r>
      <w:hyperlink r:id="rId20" w:history="1">
        <w:r w:rsidRPr="006E4D14">
          <w:rPr>
            <w:rStyle w:val="Hyperlink"/>
          </w:rPr>
          <w:t>Ministry’s website</w:t>
        </w:r>
      </w:hyperlink>
      <w:r w:rsidRPr="008136A0">
        <w:t>.</w:t>
      </w:r>
    </w:p>
    <w:p w14:paraId="30E54389" w14:textId="26F8007D" w:rsidR="004D1776" w:rsidRPr="006B66B4" w:rsidRDefault="004D1776" w:rsidP="006E4D14">
      <w:pPr>
        <w:pStyle w:val="Heading2"/>
      </w:pPr>
      <w:r w:rsidRPr="006E4D14">
        <w:lastRenderedPageBreak/>
        <w:t xml:space="preserve">Responsiveness </w:t>
      </w:r>
      <w:r>
        <w:t>to Māori through the care pathways</w:t>
      </w:r>
    </w:p>
    <w:p w14:paraId="665C9E9B" w14:textId="6B9F87E1" w:rsidR="004D1776" w:rsidRDefault="004D1776" w:rsidP="006E4D14">
      <w:r>
        <w:t>Health practitioners should follow the steps in the care pathways in a way that adheres to Te Tiriti o W</w:t>
      </w:r>
      <w:r w:rsidRPr="00FF3429">
        <w:t>aitangi and that allows for self-determination and the consideration of options for Māori.</w:t>
      </w:r>
      <w:r>
        <w:t xml:space="preserve"> </w:t>
      </w:r>
    </w:p>
    <w:p w14:paraId="0A3D9739" w14:textId="77777777" w:rsidR="004D1776" w:rsidRDefault="004D1776" w:rsidP="006E4D14"/>
    <w:p w14:paraId="77DF234C" w14:textId="6E9CF45A" w:rsidR="004D1776" w:rsidRDefault="004D1776" w:rsidP="006E4D14">
      <w:r>
        <w:t xml:space="preserve">Applying the articles and principles, as articulated by the </w:t>
      </w:r>
      <w:hyperlink r:id="rId21" w:history="1">
        <w:r w:rsidRPr="006E4D14">
          <w:rPr>
            <w:rStyle w:val="Hyperlink"/>
          </w:rPr>
          <w:t>Ministry of Health’s Te Tiriti o Waitangi Framework</w:t>
        </w:r>
      </w:hyperlink>
      <w:r>
        <w:t xml:space="preserve">, enables Māori to express their mana, ensure they receive high-quality, culturally appropriate and safe services, and supports health practitioners to work effectively and respectfully with Māori. </w:t>
      </w:r>
    </w:p>
    <w:p w14:paraId="465A0049" w14:textId="77777777" w:rsidR="004D1776" w:rsidRDefault="004D1776" w:rsidP="006E4D14">
      <w:pPr>
        <w:rPr>
          <w:rFonts w:cs="Segoe UI"/>
        </w:rPr>
      </w:pPr>
    </w:p>
    <w:p w14:paraId="05C9DD18" w14:textId="77777777" w:rsidR="004D1776" w:rsidRDefault="004D1776" w:rsidP="006E4D14">
      <w:pPr>
        <w:rPr>
          <w:rFonts w:cs="Segoe UI"/>
        </w:rPr>
      </w:pPr>
      <w:r w:rsidRPr="00E668D3">
        <w:t xml:space="preserve">Māori </w:t>
      </w:r>
      <w:r>
        <w:t xml:space="preserve">should be given the opportunity </w:t>
      </w:r>
      <w:r w:rsidRPr="00E668D3">
        <w:t>to self-determine their involvement in the assisted dying service, with the practitioner able to support Māori in their aspirations, whatever they are (that is recognising mana motuhake).</w:t>
      </w:r>
      <w:r w:rsidRPr="005B6575">
        <w:rPr>
          <w:rFonts w:cs="Segoe UI"/>
        </w:rPr>
        <w:t xml:space="preserve"> </w:t>
      </w:r>
      <w:r>
        <w:rPr>
          <w:rFonts w:cs="Segoe UI"/>
        </w:rPr>
        <w:t>This includes understanding a Māori worldview of health and supporting Māori and whānau to identify their own pae ora outcomes.</w:t>
      </w:r>
    </w:p>
    <w:p w14:paraId="2C339CC4" w14:textId="77777777" w:rsidR="004D1776" w:rsidRDefault="004D1776" w:rsidP="006E4D14">
      <w:pPr>
        <w:rPr>
          <w:rFonts w:cs="Segoe UI"/>
        </w:rPr>
      </w:pPr>
    </w:p>
    <w:p w14:paraId="5311C3C6" w14:textId="269EB46D" w:rsidR="004D1776" w:rsidRDefault="004D1776" w:rsidP="006E4D14">
      <w:r>
        <w:rPr>
          <w:rFonts w:cs="Segoe UI"/>
        </w:rPr>
        <w:t xml:space="preserve">In particular, health practitioners should consider what good quality end of life care looks like for Māori. Health practitioners may want to refer to </w:t>
      </w:r>
      <w:hyperlink r:id="rId22" w:history="1">
        <w:r w:rsidRPr="006E4D14">
          <w:rPr>
            <w:rStyle w:val="Hyperlink"/>
          </w:rPr>
          <w:t>Mauri Mate: A Māori Palliative Care Framework for Hospices</w:t>
        </w:r>
      </w:hyperlink>
      <w:r w:rsidRPr="006E4D14">
        <w:rPr>
          <w:rStyle w:val="Hyperlink"/>
        </w:rPr>
        <w:t xml:space="preserve"> and </w:t>
      </w:r>
      <w:hyperlink r:id="rId23" w:history="1">
        <w:r w:rsidRPr="006E4D14">
          <w:rPr>
            <w:rStyle w:val="Hyperlink"/>
          </w:rPr>
          <w:t>Te Ipu Aronui</w:t>
        </w:r>
      </w:hyperlink>
      <w:r>
        <w:rPr>
          <w:rFonts w:cs="Segoe UI"/>
        </w:rPr>
        <w:t xml:space="preserve">. </w:t>
      </w:r>
    </w:p>
    <w:p w14:paraId="6B906216" w14:textId="77777777" w:rsidR="004D1776" w:rsidRDefault="004D1776" w:rsidP="006E4D14"/>
    <w:p w14:paraId="1D0FDA0F" w14:textId="317C7CBC" w:rsidR="004D1776" w:rsidRDefault="004D1776" w:rsidP="006E4D14">
      <w:r>
        <w:t xml:space="preserve">Health practitioners are encouraged to follow evidence-based consultation practices for Māori and whānau Māori, such as </w:t>
      </w:r>
      <w:hyperlink r:id="rId24" w:history="1">
        <w:r w:rsidRPr="006E4D14">
          <w:rPr>
            <w:rStyle w:val="Hyperlink"/>
          </w:rPr>
          <w:t>the Meihana model</w:t>
        </w:r>
      </w:hyperlink>
      <w:r>
        <w:t xml:space="preserve"> (developed by the University of Otago). </w:t>
      </w:r>
    </w:p>
    <w:p w14:paraId="042D32DE" w14:textId="77777777" w:rsidR="004D1776" w:rsidRDefault="004D1776" w:rsidP="006E4D14"/>
    <w:p w14:paraId="550511B7" w14:textId="77777777" w:rsidR="004D1776" w:rsidRDefault="004D1776" w:rsidP="006E4D14">
      <w:pPr>
        <w:rPr>
          <w:rFonts w:cs="Segoe UI"/>
        </w:rPr>
      </w:pPr>
      <w:r w:rsidRPr="00417167">
        <w:rPr>
          <w:rFonts w:cs="Segoe UI"/>
        </w:rPr>
        <w:t xml:space="preserve">The </w:t>
      </w:r>
      <w:r>
        <w:rPr>
          <w:rFonts w:cs="Segoe UI"/>
        </w:rPr>
        <w:t>Meihana m</w:t>
      </w:r>
      <w:r w:rsidRPr="00417167">
        <w:rPr>
          <w:rFonts w:cs="Segoe UI"/>
        </w:rPr>
        <w:t>odel builds on the holistic Māori health model, Te Whare Tapa Wha. Following the Meihana model encourages a person- and whānau-centric approach that takes into account</w:t>
      </w:r>
      <w:r>
        <w:rPr>
          <w:rFonts w:cs="Segoe UI"/>
        </w:rPr>
        <w:t xml:space="preserve"> a person’s</w:t>
      </w:r>
      <w:r w:rsidRPr="00417167">
        <w:rPr>
          <w:rFonts w:cs="Segoe UI"/>
        </w:rPr>
        <w:t xml:space="preserve"> cultural and spiritual </w:t>
      </w:r>
      <w:r>
        <w:rPr>
          <w:rFonts w:cs="Segoe UI"/>
        </w:rPr>
        <w:t>identity</w:t>
      </w:r>
      <w:r w:rsidRPr="00417167">
        <w:rPr>
          <w:rFonts w:cs="Segoe UI"/>
        </w:rPr>
        <w:t xml:space="preserve">, as well as </w:t>
      </w:r>
      <w:r>
        <w:rPr>
          <w:rFonts w:cs="Segoe UI"/>
        </w:rPr>
        <w:t xml:space="preserve">their </w:t>
      </w:r>
      <w:r w:rsidRPr="00417167">
        <w:rPr>
          <w:rFonts w:cs="Segoe UI"/>
        </w:rPr>
        <w:t xml:space="preserve">clinical and wellbeing needs.  </w:t>
      </w:r>
    </w:p>
    <w:p w14:paraId="3E85739F" w14:textId="77777777" w:rsidR="004D1776" w:rsidRDefault="004D1776" w:rsidP="006E4D14">
      <w:pPr>
        <w:rPr>
          <w:rFonts w:cs="Segoe UI"/>
        </w:rPr>
      </w:pPr>
    </w:p>
    <w:p w14:paraId="20B161F2" w14:textId="77777777" w:rsidR="004D1776" w:rsidRPr="00417167" w:rsidRDefault="004D1776" w:rsidP="006E4D14">
      <w:pPr>
        <w:rPr>
          <w:rFonts w:cs="Segoe UI"/>
        </w:rPr>
      </w:pPr>
      <w:r>
        <w:t xml:space="preserve">The model </w:t>
      </w:r>
      <w:r>
        <w:rPr>
          <w:rFonts w:cs="Segoe UI"/>
        </w:rPr>
        <w:t>can</w:t>
      </w:r>
      <w:r w:rsidRPr="00417167">
        <w:rPr>
          <w:rFonts w:cs="Segoe UI"/>
        </w:rPr>
        <w:t xml:space="preserve"> be used from the first contact with a person and their whānau to provide a comprehensive </w:t>
      </w:r>
      <w:r>
        <w:rPr>
          <w:rFonts w:cs="Segoe UI"/>
        </w:rPr>
        <w:t>understanding</w:t>
      </w:r>
      <w:r w:rsidRPr="00417167">
        <w:rPr>
          <w:rFonts w:cs="Segoe UI"/>
        </w:rPr>
        <w:t xml:space="preserve"> of the whānau circumstances and how a person fits within this.</w:t>
      </w:r>
    </w:p>
    <w:p w14:paraId="500749D2" w14:textId="77777777" w:rsidR="004D1776" w:rsidRDefault="004D1776" w:rsidP="006E4D14"/>
    <w:p w14:paraId="42A7CD03" w14:textId="77777777" w:rsidR="004D1776" w:rsidRDefault="004D1776" w:rsidP="006E4D14">
      <w:r>
        <w:t>Health practitioners who would benefit from support or guidance in achieving greater responsiveness to Māori should refer to the general guidance from their professional association.</w:t>
      </w:r>
    </w:p>
    <w:p w14:paraId="3A70D01F" w14:textId="0FCA088C" w:rsidR="004D1776" w:rsidRDefault="004D1776" w:rsidP="006E4D14">
      <w:pPr>
        <w:pStyle w:val="Bullet"/>
      </w:pPr>
      <w:r>
        <w:t xml:space="preserve">Medical Council of New Zealand: </w:t>
      </w:r>
      <w:r w:rsidR="00DE7984">
        <w:br/>
      </w:r>
      <w:hyperlink r:id="rId25" w:history="1">
        <w:r>
          <w:rPr>
            <w:rStyle w:val="Hyperlink"/>
          </w:rPr>
          <w:t>He Ara Hauora Māori: A Pathway to Māori Health Equity</w:t>
        </w:r>
      </w:hyperlink>
      <w:r w:rsidRPr="00BF4C57">
        <w:rPr>
          <w:rStyle w:val="Hyperlink"/>
          <w:b w:val="0"/>
          <w:bCs/>
        </w:rPr>
        <w:t>.</w:t>
      </w:r>
    </w:p>
    <w:p w14:paraId="14ECFB8C" w14:textId="54B6AAF1" w:rsidR="004D1776" w:rsidRDefault="004D1776" w:rsidP="006E4D14">
      <w:pPr>
        <w:pStyle w:val="Bullet"/>
        <w:rPr>
          <w:rFonts w:cs="Segoe UI"/>
          <w:szCs w:val="22"/>
          <w:lang w:eastAsia="en-NZ"/>
        </w:rPr>
      </w:pPr>
      <w:r w:rsidRPr="00E873CC">
        <w:rPr>
          <w:rFonts w:cs="Segoe UI"/>
          <w:szCs w:val="22"/>
        </w:rPr>
        <w:t xml:space="preserve">Nursing Council of New Zealand: </w:t>
      </w:r>
      <w:r w:rsidR="00DE7984">
        <w:rPr>
          <w:rFonts w:cs="Segoe UI"/>
          <w:szCs w:val="22"/>
        </w:rPr>
        <w:br/>
      </w:r>
      <w:hyperlink r:id="rId26" w:history="1">
        <w:r w:rsidRPr="00E873CC">
          <w:rPr>
            <w:rStyle w:val="Hyperlink"/>
            <w:rFonts w:cs="Segoe UI"/>
            <w:szCs w:val="22"/>
          </w:rPr>
          <w:t>Guidelines for Cultural Safety, Te Tiriti o Waitangi, and Māori Health</w:t>
        </w:r>
      </w:hyperlink>
      <w:r>
        <w:rPr>
          <w:rFonts w:cs="Segoe UI"/>
          <w:szCs w:val="22"/>
        </w:rPr>
        <w:t>.</w:t>
      </w:r>
    </w:p>
    <w:p w14:paraId="627AEBDF" w14:textId="7EC8AF59" w:rsidR="004D1776" w:rsidRPr="00E873CC" w:rsidRDefault="004D1776" w:rsidP="006E4D14">
      <w:pPr>
        <w:pStyle w:val="Bullet"/>
        <w:rPr>
          <w:rFonts w:cs="Segoe UI"/>
          <w:szCs w:val="22"/>
          <w:lang w:eastAsia="en-NZ"/>
        </w:rPr>
      </w:pPr>
      <w:r>
        <w:rPr>
          <w:rFonts w:cs="Segoe UI"/>
          <w:szCs w:val="22"/>
        </w:rPr>
        <w:t xml:space="preserve">Pharmacy Council of New Zealand: </w:t>
      </w:r>
      <w:r w:rsidR="00DE7984">
        <w:rPr>
          <w:rFonts w:cs="Segoe UI"/>
          <w:szCs w:val="22"/>
        </w:rPr>
        <w:br/>
      </w:r>
      <w:hyperlink r:id="rId27" w:history="1">
        <w:r w:rsidRPr="008136A0">
          <w:rPr>
            <w:rStyle w:val="Hyperlink"/>
            <w:rFonts w:cs="Segoe UI"/>
            <w:szCs w:val="22"/>
          </w:rPr>
          <w:t>Statement on Cultural Competency</w:t>
        </w:r>
      </w:hyperlink>
      <w:r>
        <w:rPr>
          <w:rStyle w:val="Hyperlink"/>
          <w:rFonts w:cs="Segoe UI"/>
          <w:szCs w:val="22"/>
        </w:rPr>
        <w:t>.</w:t>
      </w:r>
    </w:p>
    <w:p w14:paraId="6153D17E" w14:textId="227B3300" w:rsidR="006E028C" w:rsidRDefault="006E028C">
      <w:r>
        <w:br w:type="page"/>
      </w:r>
    </w:p>
    <w:p w14:paraId="113FD3EC" w14:textId="6470C4A0" w:rsidR="006409BA" w:rsidRDefault="006409BA" w:rsidP="006409BA">
      <w:pPr>
        <w:pStyle w:val="Heading1"/>
        <w:spacing w:before="0"/>
      </w:pPr>
      <w:r w:rsidRPr="00876C6A">
        <w:rPr>
          <w:b w:val="0"/>
          <w:bCs/>
        </w:rPr>
        <w:lastRenderedPageBreak/>
        <w:t xml:space="preserve">Section </w:t>
      </w:r>
      <w:r>
        <w:rPr>
          <w:b w:val="0"/>
          <w:bCs/>
        </w:rPr>
        <w:t>2</w:t>
      </w:r>
      <w:r w:rsidRPr="00876C6A">
        <w:rPr>
          <w:b w:val="0"/>
          <w:bCs/>
        </w:rPr>
        <w:t>:</w:t>
      </w:r>
      <w:r>
        <w:br/>
        <w:t xml:space="preserve">Overarching concepts </w:t>
      </w:r>
      <w:r>
        <w:br/>
        <w:t>in the care pathways</w:t>
      </w:r>
    </w:p>
    <w:p w14:paraId="58B1B06B" w14:textId="77777777" w:rsidR="006409BA" w:rsidRPr="00E266FB" w:rsidRDefault="006409BA" w:rsidP="006409BA">
      <w:pPr>
        <w:pStyle w:val="Introductoryparagraph"/>
      </w:pPr>
      <w:r>
        <w:t>Each care pathway has overarching concepts that are present throughout. These are described below.</w:t>
      </w:r>
    </w:p>
    <w:p w14:paraId="33C9CEBD" w14:textId="77777777" w:rsidR="006409BA" w:rsidRDefault="006409BA" w:rsidP="006409BA">
      <w:pPr>
        <w:pStyle w:val="Heading3"/>
      </w:pPr>
      <w:r>
        <w:t>Cultural and spiritual support</w:t>
      </w:r>
    </w:p>
    <w:p w14:paraId="600D08A4" w14:textId="77777777" w:rsidR="006409BA" w:rsidRDefault="006409BA" w:rsidP="006409BA">
      <w:pPr>
        <w:rPr>
          <w:rFonts w:cs="Segoe UI"/>
          <w:szCs w:val="22"/>
        </w:rPr>
      </w:pPr>
      <w:r w:rsidRPr="00E873CC">
        <w:t xml:space="preserve">Health practitioners </w:t>
      </w:r>
      <w:r>
        <w:t>should</w:t>
      </w:r>
      <w:r w:rsidRPr="00E873CC">
        <w:t xml:space="preserve"> engage with people in a culturally appropriate way as it is important that the person and their whānau feel culturally safe.</w:t>
      </w:r>
      <w:r>
        <w:t xml:space="preserve"> </w:t>
      </w:r>
      <w:r w:rsidRPr="00E873CC">
        <w:t>This includes understanding and considering needs specific</w:t>
      </w:r>
      <w:r>
        <w:rPr>
          <w:rFonts w:cs="Segoe UI"/>
          <w:szCs w:val="22"/>
        </w:rPr>
        <w:t xml:space="preserve"> to the person’s culture and identity, such as needs related to religious beliefs and </w:t>
      </w:r>
      <w:r w:rsidRPr="00800927">
        <w:rPr>
          <w:rFonts w:cs="Segoe UI"/>
          <w:szCs w:val="22"/>
        </w:rPr>
        <w:t xml:space="preserve">te ao Māori tikanga </w:t>
      </w:r>
      <w:r>
        <w:rPr>
          <w:rFonts w:cs="Segoe UI"/>
          <w:szCs w:val="22"/>
        </w:rPr>
        <w:t>(eg,</w:t>
      </w:r>
      <w:r w:rsidRPr="00800927">
        <w:rPr>
          <w:rFonts w:cs="Segoe UI"/>
          <w:szCs w:val="22"/>
        </w:rPr>
        <w:t xml:space="preserve"> kawa, blessing of rooms, rākau rongoā, mirimiri, karakia</w:t>
      </w:r>
      <w:r>
        <w:rPr>
          <w:rFonts w:cs="Segoe UI"/>
          <w:szCs w:val="22"/>
        </w:rPr>
        <w:t>)</w:t>
      </w:r>
      <w:r w:rsidRPr="00800927">
        <w:rPr>
          <w:rFonts w:cs="Segoe UI"/>
          <w:szCs w:val="22"/>
        </w:rPr>
        <w:t xml:space="preserve">. </w:t>
      </w:r>
    </w:p>
    <w:p w14:paraId="6F116F91" w14:textId="77777777" w:rsidR="006409BA" w:rsidRPr="00E873CC" w:rsidRDefault="006409BA" w:rsidP="006409BA"/>
    <w:p w14:paraId="0AF1EE69" w14:textId="77777777" w:rsidR="006409BA" w:rsidRDefault="006409BA" w:rsidP="006409BA">
      <w:r>
        <w:t xml:space="preserve">Supporting and allowing space for a person’s cultural and spiritual needs is particularly important when caring for someone at the end of their life. Health practitioners should be responsive to these needs and </w:t>
      </w:r>
      <w:bookmarkStart w:id="2" w:name="_Hlk81209049"/>
      <w:r w:rsidRPr="00E873CC">
        <w:t>encourage and support a person in what is important to them.</w:t>
      </w:r>
      <w:r>
        <w:t xml:space="preserve"> </w:t>
      </w:r>
      <w:r w:rsidRPr="00E873CC">
        <w:t xml:space="preserve"> </w:t>
      </w:r>
      <w:bookmarkEnd w:id="2"/>
    </w:p>
    <w:p w14:paraId="7E53F8CC" w14:textId="77777777" w:rsidR="006409BA" w:rsidRDefault="006409BA" w:rsidP="006409BA"/>
    <w:p w14:paraId="767CB553" w14:textId="77777777" w:rsidR="006409BA" w:rsidRDefault="006409BA" w:rsidP="006409BA">
      <w:r>
        <w:t>Health practitioners who would benefit from support or guidance in cultural safety should refer to the general guidance from their professional association.</w:t>
      </w:r>
    </w:p>
    <w:p w14:paraId="29451DE0" w14:textId="77777777" w:rsidR="006409BA" w:rsidRPr="00E873CC" w:rsidRDefault="006409BA" w:rsidP="006409BA">
      <w:pPr>
        <w:pStyle w:val="Bullet"/>
      </w:pPr>
      <w:r w:rsidRPr="00E873CC">
        <w:t xml:space="preserve">Medical Council of New Zealand: </w:t>
      </w:r>
      <w:r>
        <w:br/>
      </w:r>
      <w:hyperlink r:id="rId28" w:history="1">
        <w:r w:rsidRPr="00E873CC">
          <w:rPr>
            <w:rStyle w:val="Hyperlink"/>
            <w:rFonts w:cs="Segoe UI"/>
            <w:szCs w:val="22"/>
          </w:rPr>
          <w:t xml:space="preserve">Statement on </w:t>
        </w:r>
        <w:r>
          <w:rPr>
            <w:rStyle w:val="Hyperlink"/>
            <w:rFonts w:cs="Segoe UI"/>
            <w:szCs w:val="22"/>
          </w:rPr>
          <w:t>C</w:t>
        </w:r>
        <w:r w:rsidRPr="00E873CC">
          <w:rPr>
            <w:rStyle w:val="Hyperlink"/>
            <w:rFonts w:cs="Segoe UI"/>
            <w:szCs w:val="22"/>
          </w:rPr>
          <w:t xml:space="preserve">ultural </w:t>
        </w:r>
        <w:r>
          <w:rPr>
            <w:rStyle w:val="Hyperlink"/>
            <w:rFonts w:cs="Segoe UI"/>
            <w:szCs w:val="22"/>
          </w:rPr>
          <w:t>S</w:t>
        </w:r>
        <w:r w:rsidRPr="00E873CC">
          <w:rPr>
            <w:rStyle w:val="Hyperlink"/>
            <w:rFonts w:cs="Segoe UI"/>
            <w:szCs w:val="22"/>
          </w:rPr>
          <w:t>afety</w:t>
        </w:r>
      </w:hyperlink>
      <w:r w:rsidRPr="00BF4C57">
        <w:rPr>
          <w:rStyle w:val="Hyperlink"/>
          <w:rFonts w:cs="Segoe UI"/>
          <w:b w:val="0"/>
          <w:bCs/>
          <w:szCs w:val="22"/>
        </w:rPr>
        <w:t>.</w:t>
      </w:r>
    </w:p>
    <w:p w14:paraId="5B97E36E" w14:textId="77777777" w:rsidR="006409BA" w:rsidRDefault="006409BA" w:rsidP="006409BA">
      <w:pPr>
        <w:pStyle w:val="Bullet"/>
        <w:rPr>
          <w:lang w:eastAsia="en-NZ"/>
        </w:rPr>
      </w:pPr>
      <w:r w:rsidRPr="00E873CC">
        <w:t xml:space="preserve">Nursing Council of New Zealand: </w:t>
      </w:r>
      <w:r>
        <w:br/>
      </w:r>
      <w:hyperlink r:id="rId29" w:history="1">
        <w:r w:rsidRPr="00E873CC">
          <w:rPr>
            <w:rStyle w:val="Hyperlink"/>
            <w:rFonts w:cs="Segoe UI"/>
            <w:szCs w:val="22"/>
          </w:rPr>
          <w:t>Guidelines for Cultural Safety, Te Tiriti o Waitangi, and Māori Health</w:t>
        </w:r>
      </w:hyperlink>
      <w:r>
        <w:t>.</w:t>
      </w:r>
    </w:p>
    <w:p w14:paraId="6CFCD09E" w14:textId="77777777" w:rsidR="006409BA" w:rsidRPr="0095648E" w:rsidRDefault="006409BA" w:rsidP="006409BA">
      <w:pPr>
        <w:pStyle w:val="Bullet"/>
        <w:rPr>
          <w:rStyle w:val="Hyperlink"/>
          <w:rFonts w:cs="Segoe UI"/>
          <w:b w:val="0"/>
          <w:color w:val="auto"/>
          <w:szCs w:val="22"/>
          <w:lang w:eastAsia="en-NZ"/>
        </w:rPr>
      </w:pPr>
      <w:r>
        <w:rPr>
          <w:rFonts w:cs="Segoe UI"/>
          <w:szCs w:val="22"/>
        </w:rPr>
        <w:t xml:space="preserve">Pharmacy Council of New Zealand: </w:t>
      </w:r>
      <w:r>
        <w:rPr>
          <w:rFonts w:cs="Segoe UI"/>
          <w:szCs w:val="22"/>
        </w:rPr>
        <w:br/>
      </w:r>
      <w:hyperlink r:id="rId30" w:history="1">
        <w:r w:rsidRPr="008136A0">
          <w:rPr>
            <w:rStyle w:val="Hyperlink"/>
            <w:rFonts w:cs="Segoe UI"/>
            <w:szCs w:val="22"/>
          </w:rPr>
          <w:t>Statement on Cultural Competency</w:t>
        </w:r>
      </w:hyperlink>
      <w:r w:rsidRPr="00BF4C57">
        <w:rPr>
          <w:rStyle w:val="Hyperlink"/>
          <w:rFonts w:cs="Segoe UI"/>
          <w:b w:val="0"/>
          <w:bCs/>
          <w:szCs w:val="22"/>
        </w:rPr>
        <w:t>.</w:t>
      </w:r>
    </w:p>
    <w:p w14:paraId="39DC3F8D" w14:textId="77777777" w:rsidR="006409BA" w:rsidRDefault="006409BA" w:rsidP="006409BA">
      <w:pPr>
        <w:spacing w:line="240" w:lineRule="auto"/>
        <w:rPr>
          <w:lang w:eastAsia="en-NZ"/>
        </w:rPr>
      </w:pPr>
      <w:r>
        <w:rPr>
          <w:lang w:eastAsia="en-NZ"/>
        </w:rPr>
        <w:br w:type="page"/>
      </w:r>
    </w:p>
    <w:p w14:paraId="517ECB54" w14:textId="77777777" w:rsidR="006409BA" w:rsidRDefault="006409BA" w:rsidP="006409BA">
      <w:pPr>
        <w:pStyle w:val="Heading3"/>
      </w:pPr>
      <w:r>
        <w:t>Involvement of whānau</w:t>
      </w:r>
    </w:p>
    <w:p w14:paraId="084B3DD2" w14:textId="77777777" w:rsidR="006409BA" w:rsidRPr="00053614" w:rsidRDefault="006409BA" w:rsidP="006409BA">
      <w:r w:rsidRPr="00053614">
        <w:t>Health practitioners should encourage a person wishing to choose assisted dying to discuss this with whānau and ensure there is opportunity for the patient to do so.​ ​If a person chooses to involve their whānau, it is important that the whānau is included and able to play an active role throughout the process in supporting the person. ​</w:t>
      </w:r>
    </w:p>
    <w:p w14:paraId="498F4EC5" w14:textId="77777777" w:rsidR="006409BA" w:rsidRPr="00053614" w:rsidRDefault="006409BA" w:rsidP="006409BA"/>
    <w:p w14:paraId="19CDBF39" w14:textId="77777777" w:rsidR="006409BA" w:rsidRPr="00053614" w:rsidRDefault="006409BA" w:rsidP="006409BA">
      <w:r w:rsidRPr="00053614">
        <w:t xml:space="preserve">Whānau may mean different things for a person. Whānau may be </w:t>
      </w:r>
      <w:r w:rsidRPr="00053614">
        <w:rPr>
          <w:rFonts w:eastAsiaTheme="minorHAnsi"/>
        </w:rPr>
        <w:t>a person’s close</w:t>
      </w:r>
      <w:r w:rsidRPr="00053614">
        <w:t xml:space="preserve"> </w:t>
      </w:r>
      <w:r w:rsidRPr="00053614">
        <w:rPr>
          <w:rFonts w:eastAsiaTheme="minorHAnsi"/>
        </w:rPr>
        <w:t xml:space="preserve">family and </w:t>
      </w:r>
      <w:r w:rsidRPr="00053614">
        <w:t>may also include a person's extended family and whānau, their partners, friends, or other representatives chosen by the person. The involved whānau could be one person or many people.</w:t>
      </w:r>
    </w:p>
    <w:p w14:paraId="052DB784" w14:textId="77777777" w:rsidR="006409BA" w:rsidRPr="00053614" w:rsidRDefault="006409BA" w:rsidP="006409BA"/>
    <w:p w14:paraId="45E5F335" w14:textId="77777777" w:rsidR="006409BA" w:rsidRPr="00053614" w:rsidRDefault="006409BA" w:rsidP="006409BA">
      <w:pPr>
        <w:ind w:right="-284"/>
      </w:pPr>
      <w:r w:rsidRPr="00053614">
        <w:rPr>
          <w:b/>
          <w:bCs/>
        </w:rPr>
        <w:t>Note</w:t>
      </w:r>
      <w:r w:rsidRPr="00053614">
        <w:t>: Choosing assisted dying is the person's choice only. They do not have to discuss it with their whānau if they don't want to, and they should be made aware of this. </w:t>
      </w:r>
    </w:p>
    <w:p w14:paraId="21B01132" w14:textId="77777777" w:rsidR="006409BA" w:rsidRDefault="006409BA" w:rsidP="006409BA">
      <w:pPr>
        <w:pStyle w:val="Heading3"/>
      </w:pPr>
      <w:r>
        <w:t xml:space="preserve">Optimisation of end of life care </w:t>
      </w:r>
    </w:p>
    <w:p w14:paraId="7A9075F0" w14:textId="77777777" w:rsidR="006409BA" w:rsidRDefault="006409BA" w:rsidP="006409BA">
      <w:r>
        <w:t xml:space="preserve">Assisted dying does not replace the care a person is already getting. Instead, it provides another option in some circumstances. If a person chooses to access assisted dying services, this option will most likely be in addition to the care they are already getting, such as palliative care. </w:t>
      </w:r>
    </w:p>
    <w:p w14:paraId="13098308" w14:textId="77777777" w:rsidR="006409BA" w:rsidRDefault="006409BA" w:rsidP="006409BA"/>
    <w:p w14:paraId="6EF493B5" w14:textId="77777777" w:rsidR="006409BA" w:rsidRDefault="006409BA" w:rsidP="006409BA">
      <w:r>
        <w:t xml:space="preserve">As part of the assessment process, the attending medical practitioner must ensure a person understands their other options for end of life care. In some situations, this may lead to a person seeking other end of life care if they choose this, eg, referrals to palliative or hospice care in addition to, or instead of, seeking assisted dying. </w:t>
      </w:r>
    </w:p>
    <w:p w14:paraId="37D383BC" w14:textId="77777777" w:rsidR="006409BA" w:rsidRDefault="006409BA" w:rsidP="006409BA"/>
    <w:p w14:paraId="35B38418" w14:textId="53791AD4" w:rsidR="00F91047" w:rsidRDefault="006409BA" w:rsidP="00F91047">
      <w:pPr>
        <w:ind w:right="-170"/>
        <w:rPr>
          <w:rFonts w:cs="Segoe UI"/>
          <w:szCs w:val="22"/>
        </w:rPr>
      </w:pPr>
      <w:r>
        <w:t>A person’s health care team should support continuity of care and optimisation of their</w:t>
      </w:r>
      <w:r w:rsidRPr="002236C9">
        <w:rPr>
          <w:rFonts w:cs="Segoe UI"/>
          <w:szCs w:val="22"/>
        </w:rPr>
        <w:t xml:space="preserve"> wider care so that their other health needs are addressed during the assisted dying assessment process and/or up until their assisted death takes place. Continuing this care also means that if </w:t>
      </w:r>
      <w:r>
        <w:rPr>
          <w:rFonts w:cs="Segoe UI"/>
          <w:szCs w:val="22"/>
        </w:rPr>
        <w:t>the person is found not to be</w:t>
      </w:r>
      <w:r w:rsidRPr="002236C9">
        <w:rPr>
          <w:rFonts w:cs="Segoe UI"/>
          <w:szCs w:val="22"/>
        </w:rPr>
        <w:t xml:space="preserve"> eligible for assisted dying or the person chooses not to have an assisted death, their wider health needs continue to be met.  </w:t>
      </w:r>
    </w:p>
    <w:p w14:paraId="49839AF0" w14:textId="77777777" w:rsidR="006409BA" w:rsidRDefault="006409BA" w:rsidP="006409BA">
      <w:pPr>
        <w:pStyle w:val="Heading3"/>
      </w:pPr>
      <w:r>
        <w:t xml:space="preserve">Accessible information </w:t>
      </w:r>
    </w:p>
    <w:p w14:paraId="58DBCDAA" w14:textId="77777777" w:rsidR="006409BA" w:rsidRDefault="006409BA" w:rsidP="006409BA">
      <w:r>
        <w:t xml:space="preserve">A person should have access to the information they need to support an informed decision at every step in the care pathway. This includes information being explained to them verbally, as well as clear and accessible written information and/or other appropriate formats (accessible formats and translations). The Ministry of Health will be producing printable information sheets that the public can access, or that a health practitioner could provide to a person when assisted dying is raised. </w:t>
      </w:r>
    </w:p>
    <w:p w14:paraId="036DE2DB" w14:textId="77777777" w:rsidR="006409BA" w:rsidRDefault="006409BA" w:rsidP="006409BA"/>
    <w:p w14:paraId="29A494D9" w14:textId="77777777" w:rsidR="006409BA" w:rsidRDefault="006409BA" w:rsidP="006409BA">
      <w:pPr>
        <w:rPr>
          <w:lang w:val="en-US"/>
        </w:rPr>
      </w:pPr>
      <w:r>
        <w:t xml:space="preserve">Health practitioners should consider the health literacy of the person and their whānau and allow time and space for answering questions and additional consultations or conversations as appropriate. A person and their whānau may need certain points repeated or explained in a way that is understandable to them, particularly as navigating through the health system at a time of grief may be challenging or add complexities. </w:t>
      </w:r>
    </w:p>
    <w:p w14:paraId="29EEFF88" w14:textId="419774DF" w:rsidR="006409BA" w:rsidRDefault="006409BA" w:rsidP="006409BA">
      <w:pPr>
        <w:spacing w:line="240" w:lineRule="auto"/>
      </w:pPr>
    </w:p>
    <w:p w14:paraId="50CDCECF" w14:textId="77777777" w:rsidR="006409BA" w:rsidRDefault="006409BA" w:rsidP="006409BA">
      <w:pPr>
        <w:pStyle w:val="Heading3"/>
      </w:pPr>
      <w:r>
        <w:t>Ministry of Health secretariat support</w:t>
      </w:r>
    </w:p>
    <w:p w14:paraId="0283C334" w14:textId="77777777" w:rsidR="006409BA" w:rsidRDefault="006409BA" w:rsidP="006409BA">
      <w:r>
        <w:t xml:space="preserve">The Ministry of Health will have an assisted dying secretariat that supports the assisted dying care pathway and provides a consistent point of contact for the person, their whānau and involved health practitioners. </w:t>
      </w:r>
    </w:p>
    <w:p w14:paraId="13E459DD" w14:textId="77777777" w:rsidR="006409BA" w:rsidRDefault="006409BA" w:rsidP="006409BA"/>
    <w:p w14:paraId="3A584110" w14:textId="0E27418A" w:rsidR="006409BA" w:rsidRDefault="006409BA" w:rsidP="006409BA">
      <w:r>
        <w:t xml:space="preserve">The Registrar (assisted dying) is part of this secretariat. The Registrar is a statutory role created under the Act. Their role includes </w:t>
      </w:r>
      <w:r w:rsidRPr="002C5FEB">
        <w:t>checking that the processes required by the Act have been complied with to ensure people who wish to receive assisted dying are eligible and notify</w:t>
      </w:r>
      <w:r>
        <w:t>ing</w:t>
      </w:r>
      <w:r w:rsidRPr="002C5FEB">
        <w:t xml:space="preserve"> the </w:t>
      </w:r>
      <w:r>
        <w:t>attending medical practitioner</w:t>
      </w:r>
      <w:r w:rsidRPr="002C5FEB">
        <w:t xml:space="preserve"> if they are satisfied that the processes have been complied with before the administration of assisted dying medication.</w:t>
      </w:r>
      <w:r>
        <w:t xml:space="preserve"> They are also responsible for establishing and maintaining a register of approved forms. </w:t>
      </w:r>
    </w:p>
    <w:p w14:paraId="66C4E21F" w14:textId="77777777" w:rsidR="006409BA" w:rsidRPr="002C5FEB" w:rsidRDefault="006409BA" w:rsidP="006409BA"/>
    <w:p w14:paraId="2A239AE7" w14:textId="77777777" w:rsidR="006409BA" w:rsidRDefault="006409BA" w:rsidP="006409BA">
      <w:r>
        <w:t xml:space="preserve">The secretariat also includes clinical advisors who provide information and support to help the person and their whānau navigate the assisted dying service, and provide follow up pastoral support following the assisted death. </w:t>
      </w:r>
    </w:p>
    <w:p w14:paraId="32FA4904" w14:textId="77777777" w:rsidR="006409BA" w:rsidRDefault="006409BA" w:rsidP="006409BA"/>
    <w:p w14:paraId="46CFE1AA" w14:textId="77777777" w:rsidR="006409BA" w:rsidRDefault="006409BA" w:rsidP="006409BA">
      <w:r>
        <w:t xml:space="preserve">The secretariat will support the Support and Consultation for End of Life in New Zealand (SCENZ) Group by identifying appropriate practitioners to undertake the assessment process from the lists held by the SCENZ Group. </w:t>
      </w:r>
    </w:p>
    <w:p w14:paraId="30110DFA" w14:textId="36D74ADC" w:rsidR="006409BA" w:rsidRDefault="006409BA" w:rsidP="006409BA"/>
    <w:p w14:paraId="1951F3C8" w14:textId="77777777" w:rsidR="006409BA" w:rsidRDefault="006409BA" w:rsidP="006409BA">
      <w:r>
        <w:t xml:space="preserve">More information about the statutory roles can be found on the </w:t>
      </w:r>
      <w:hyperlink r:id="rId31" w:history="1">
        <w:r w:rsidRPr="002A2315">
          <w:rPr>
            <w:rStyle w:val="Hyperlink"/>
          </w:rPr>
          <w:t>Ministry’s website</w:t>
        </w:r>
      </w:hyperlink>
      <w:r>
        <w:t xml:space="preserve">. </w:t>
      </w:r>
    </w:p>
    <w:p w14:paraId="78020FD4" w14:textId="51BD5342" w:rsidR="006409BA" w:rsidRDefault="006409BA" w:rsidP="006409BA">
      <w:pPr>
        <w:spacing w:line="240" w:lineRule="auto"/>
      </w:pPr>
      <w:r>
        <w:br w:type="page"/>
      </w:r>
    </w:p>
    <w:p w14:paraId="02261F7F" w14:textId="3718E43B" w:rsidR="006409BA" w:rsidRDefault="006409BA" w:rsidP="006409BA">
      <w:pPr>
        <w:pStyle w:val="Heading1"/>
      </w:pPr>
      <w:r w:rsidRPr="00F4337A">
        <w:rPr>
          <w:b w:val="0"/>
          <w:bCs/>
        </w:rPr>
        <w:t xml:space="preserve">Section </w:t>
      </w:r>
      <w:r>
        <w:rPr>
          <w:b w:val="0"/>
          <w:bCs/>
        </w:rPr>
        <w:t>3</w:t>
      </w:r>
      <w:r w:rsidRPr="00F4337A">
        <w:rPr>
          <w:b w:val="0"/>
          <w:bCs/>
        </w:rPr>
        <w:t>:</w:t>
      </w:r>
      <w:r w:rsidRPr="00F4337A">
        <w:rPr>
          <w:b w:val="0"/>
          <w:bCs/>
        </w:rPr>
        <w:br/>
      </w:r>
      <w:r>
        <w:t>Frameworks that underpin the care pathways</w:t>
      </w:r>
    </w:p>
    <w:p w14:paraId="0B92F8C6" w14:textId="77777777" w:rsidR="006409BA" w:rsidRDefault="006409BA" w:rsidP="006409BA">
      <w:pPr>
        <w:pStyle w:val="Introductoryparagraph"/>
      </w:pPr>
      <w:r>
        <w:t>Each care pathway is underpinned by a number of frameworks, as described below.</w:t>
      </w:r>
    </w:p>
    <w:p w14:paraId="205E68CD" w14:textId="77777777" w:rsidR="006409BA" w:rsidRDefault="006409BA" w:rsidP="006409BA">
      <w:pPr>
        <w:pStyle w:val="Heading3"/>
      </w:pPr>
      <w:r>
        <w:t xml:space="preserve">End of Life Choice Act </w:t>
      </w:r>
      <w:r w:rsidRPr="00876C6A">
        <w:t>2019</w:t>
      </w:r>
    </w:p>
    <w:p w14:paraId="60E732AA" w14:textId="77777777" w:rsidR="006409BA" w:rsidRPr="00B17FA6" w:rsidRDefault="006409BA" w:rsidP="006409BA">
      <w:pPr>
        <w:ind w:right="-284"/>
      </w:pPr>
      <w:r>
        <w:t xml:space="preserve">The care pathways are based on the process outlined in the </w:t>
      </w:r>
      <w:hyperlink r:id="rId32" w:history="1">
        <w:r w:rsidRPr="002A2315">
          <w:rPr>
            <w:rStyle w:val="Hyperlink"/>
          </w:rPr>
          <w:t>End of Life Choice Act 2019</w:t>
        </w:r>
      </w:hyperlink>
      <w:r>
        <w:t xml:space="preserve">. </w:t>
      </w:r>
    </w:p>
    <w:p w14:paraId="208F892D" w14:textId="77777777" w:rsidR="006409BA" w:rsidRDefault="006409BA" w:rsidP="006409BA"/>
    <w:p w14:paraId="3D8E443C" w14:textId="77777777" w:rsidR="006409BA" w:rsidRDefault="006409BA" w:rsidP="006409BA">
      <w:r>
        <w:t xml:space="preserve">Health practitioners have obligations under this Act, even if they are choosing not to be involved in providing assisted dying services. </w:t>
      </w:r>
    </w:p>
    <w:p w14:paraId="15DC972E" w14:textId="77777777" w:rsidR="006409BA" w:rsidRDefault="006409BA" w:rsidP="006409BA"/>
    <w:p w14:paraId="4AA069F8" w14:textId="77777777" w:rsidR="006409BA" w:rsidRPr="006B66B4" w:rsidRDefault="006409BA" w:rsidP="006409BA">
      <w:r>
        <w:t xml:space="preserve">Medical and nurse practitioners who are providing assisted dying services must follow the steps as outlined in the Act. Medical and nurse practitioners will be supported to do so through the forms that must be completed throughout the care pathway. </w:t>
      </w:r>
    </w:p>
    <w:p w14:paraId="070E3A05" w14:textId="77777777" w:rsidR="006409BA" w:rsidRDefault="006409BA" w:rsidP="006409BA">
      <w:pPr>
        <w:pStyle w:val="Heading3"/>
      </w:pPr>
      <w:r>
        <w:t xml:space="preserve">Te Tiriti o Waitangi </w:t>
      </w:r>
    </w:p>
    <w:p w14:paraId="47D48D02" w14:textId="77777777" w:rsidR="006409BA" w:rsidRPr="00417167" w:rsidRDefault="006409BA" w:rsidP="006409BA">
      <w:pPr>
        <w:rPr>
          <w:lang w:eastAsia="en-NZ"/>
        </w:rPr>
      </w:pPr>
      <w:r w:rsidRPr="00417167">
        <w:rPr>
          <w:lang w:eastAsia="en-US"/>
        </w:rPr>
        <w:t xml:space="preserve">Health </w:t>
      </w:r>
      <w:r>
        <w:rPr>
          <w:lang w:eastAsia="en-US"/>
        </w:rPr>
        <w:t>practitioners</w:t>
      </w:r>
      <w:r w:rsidRPr="00417167">
        <w:rPr>
          <w:lang w:eastAsia="en-US"/>
        </w:rPr>
        <w:t xml:space="preserve"> should </w:t>
      </w:r>
      <w:r>
        <w:rPr>
          <w:lang w:eastAsia="en-US"/>
        </w:rPr>
        <w:t>provide health services</w:t>
      </w:r>
      <w:r w:rsidRPr="00417167">
        <w:rPr>
          <w:lang w:eastAsia="en-US"/>
        </w:rPr>
        <w:t xml:space="preserve"> in a way that aligns with the principles of Te Tiriti o Waitangi. Health practitioners </w:t>
      </w:r>
      <w:r w:rsidRPr="00417167">
        <w:rPr>
          <w:lang w:eastAsia="en-NZ"/>
        </w:rPr>
        <w:t>should understand what Te Tiriti o Waitangi means to their practice.</w:t>
      </w:r>
    </w:p>
    <w:p w14:paraId="40327299" w14:textId="77777777" w:rsidR="006409BA" w:rsidRPr="00417167" w:rsidRDefault="006409BA" w:rsidP="006409BA">
      <w:pPr>
        <w:rPr>
          <w:lang w:eastAsia="en-US"/>
        </w:rPr>
      </w:pPr>
    </w:p>
    <w:p w14:paraId="6A632E7F" w14:textId="77777777" w:rsidR="006409BA" w:rsidRPr="00417167" w:rsidRDefault="006409BA" w:rsidP="006409BA">
      <w:pPr>
        <w:rPr>
          <w:lang w:eastAsia="en-US"/>
        </w:rPr>
      </w:pPr>
      <w:r w:rsidRPr="00417167">
        <w:rPr>
          <w:lang w:eastAsia="en-US"/>
        </w:rPr>
        <w:t xml:space="preserve">Meeting these responsibilities may include: </w:t>
      </w:r>
    </w:p>
    <w:p w14:paraId="79FBB2F2" w14:textId="77777777" w:rsidR="006409BA" w:rsidRPr="00417167" w:rsidRDefault="006409BA" w:rsidP="006409BA">
      <w:pPr>
        <w:pStyle w:val="Bullet"/>
      </w:pPr>
      <w:r w:rsidRPr="00417167">
        <w:t>ensuring Māori have equitable access to services and equitable health outcomes</w:t>
      </w:r>
    </w:p>
    <w:p w14:paraId="480CF4EF" w14:textId="77777777" w:rsidR="006409BA" w:rsidRPr="00417167" w:rsidRDefault="006409BA" w:rsidP="006409BA">
      <w:pPr>
        <w:pStyle w:val="Bullet"/>
      </w:pPr>
      <w:r w:rsidRPr="00417167">
        <w:t>supporting Māori in their aspirations – that is, supporting mana motuhake</w:t>
      </w:r>
    </w:p>
    <w:p w14:paraId="341D5AF4" w14:textId="77777777" w:rsidR="006409BA" w:rsidRPr="00417167" w:rsidRDefault="006409BA" w:rsidP="006409BA">
      <w:pPr>
        <w:pStyle w:val="Bullet"/>
      </w:pPr>
      <w:r w:rsidRPr="00417167">
        <w:t>delivering services in a way that embraces, supports and encourages a Māori worldview of health</w:t>
      </w:r>
    </w:p>
    <w:p w14:paraId="65370C38" w14:textId="77777777" w:rsidR="006409BA" w:rsidRPr="00CA30C2" w:rsidRDefault="006409BA" w:rsidP="006409BA">
      <w:pPr>
        <w:pStyle w:val="Bullet"/>
      </w:pPr>
      <w:r w:rsidRPr="00417167">
        <w:t>delivering services in a whānau-centred way.</w:t>
      </w:r>
    </w:p>
    <w:p w14:paraId="0BDCA86C" w14:textId="77777777" w:rsidR="006409BA" w:rsidRDefault="006409BA" w:rsidP="006409BA"/>
    <w:p w14:paraId="2B35F62D" w14:textId="77777777" w:rsidR="006409BA" w:rsidRDefault="006409BA" w:rsidP="006409BA">
      <w:pPr>
        <w:pStyle w:val="Heading3"/>
        <w:rPr>
          <w:lang w:val="en-US"/>
        </w:rPr>
      </w:pPr>
      <w:r>
        <w:t>Professional standards</w:t>
      </w:r>
    </w:p>
    <w:p w14:paraId="5031E600" w14:textId="77777777" w:rsidR="006409BA" w:rsidRDefault="006409BA" w:rsidP="006409BA">
      <w:r w:rsidRPr="002A2315">
        <w:t>Professional standards continue to apply to assisted dying services in the same way that they do in the provision of any other health service. This includes if a health practitioner has a conscientious objection.</w:t>
      </w:r>
    </w:p>
    <w:p w14:paraId="25517D0C" w14:textId="77777777" w:rsidR="006409BA" w:rsidRPr="0021748F" w:rsidRDefault="006409BA" w:rsidP="006409BA"/>
    <w:p w14:paraId="4236F02E" w14:textId="77777777" w:rsidR="006409BA" w:rsidRPr="0021748F" w:rsidRDefault="006409BA" w:rsidP="006409BA">
      <w:r w:rsidRPr="0021748F">
        <w:t xml:space="preserve">Health practitioners should understand the relevant guidelines </w:t>
      </w:r>
      <w:r>
        <w:t xml:space="preserve">of </w:t>
      </w:r>
      <w:r w:rsidRPr="0021748F">
        <w:t>their profession and consider these when responding to a person who raises assisted dying or providing assisted dying services</w:t>
      </w:r>
      <w:r>
        <w:t>:</w:t>
      </w:r>
    </w:p>
    <w:p w14:paraId="50A8DEBD" w14:textId="77777777" w:rsidR="006409BA" w:rsidRPr="00E873CC" w:rsidRDefault="006409BA" w:rsidP="006409BA">
      <w:pPr>
        <w:pStyle w:val="Bullet"/>
      </w:pPr>
      <w:r w:rsidRPr="00E873CC">
        <w:t xml:space="preserve">Medical Council of New Zealand: </w:t>
      </w:r>
      <w:hyperlink r:id="rId33" w:history="1">
        <w:r w:rsidRPr="006E7B53">
          <w:rPr>
            <w:rStyle w:val="Hyperlink"/>
          </w:rPr>
          <w:t>Current Standards</w:t>
        </w:r>
      </w:hyperlink>
      <w:r w:rsidRPr="00BF4C57">
        <w:rPr>
          <w:rStyle w:val="Hyperlink"/>
          <w:b w:val="0"/>
          <w:bCs/>
        </w:rPr>
        <w:t>.</w:t>
      </w:r>
    </w:p>
    <w:p w14:paraId="7975E42E" w14:textId="77777777" w:rsidR="006409BA" w:rsidRDefault="006409BA" w:rsidP="006409BA">
      <w:pPr>
        <w:pStyle w:val="Bullet"/>
        <w:rPr>
          <w:lang w:eastAsia="en-NZ"/>
        </w:rPr>
      </w:pPr>
      <w:r w:rsidRPr="00E873CC">
        <w:t xml:space="preserve">Nursing Council of New Zealand: </w:t>
      </w:r>
      <w:hyperlink r:id="rId34" w:history="1">
        <w:r w:rsidRPr="006E7B53">
          <w:rPr>
            <w:rStyle w:val="Hyperlink"/>
            <w:rFonts w:cs="Segoe UI"/>
            <w:szCs w:val="22"/>
          </w:rPr>
          <w:t>Tikanga Whanonga | Code of Conduct</w:t>
        </w:r>
      </w:hyperlink>
      <w:r w:rsidRPr="00BF4C57">
        <w:rPr>
          <w:rStyle w:val="Hyperlink"/>
          <w:rFonts w:cs="Segoe UI"/>
          <w:b w:val="0"/>
          <w:bCs/>
          <w:szCs w:val="22"/>
        </w:rPr>
        <w:t>.</w:t>
      </w:r>
      <w:r w:rsidRPr="00BF4C57">
        <w:rPr>
          <w:b/>
          <w:bCs/>
        </w:rPr>
        <w:t xml:space="preserve"> </w:t>
      </w:r>
    </w:p>
    <w:p w14:paraId="3ABFABA7" w14:textId="77777777" w:rsidR="006409BA" w:rsidRPr="00E873CC" w:rsidRDefault="006409BA" w:rsidP="006409BA">
      <w:pPr>
        <w:pStyle w:val="Bullet"/>
        <w:rPr>
          <w:lang w:eastAsia="en-NZ"/>
        </w:rPr>
      </w:pPr>
      <w:r>
        <w:t xml:space="preserve">Pharmacy Council of New Zealand: </w:t>
      </w:r>
      <w:hyperlink r:id="rId35" w:history="1">
        <w:r w:rsidRPr="006E7B53">
          <w:rPr>
            <w:rStyle w:val="Hyperlink"/>
          </w:rPr>
          <w:t>Standards and practice information</w:t>
        </w:r>
      </w:hyperlink>
      <w:r w:rsidRPr="00BF4C57">
        <w:rPr>
          <w:rStyle w:val="Hyperlink"/>
          <w:b w:val="0"/>
          <w:bCs/>
        </w:rPr>
        <w:t>.</w:t>
      </w:r>
    </w:p>
    <w:p w14:paraId="6628F1B8" w14:textId="77777777" w:rsidR="006409BA" w:rsidRDefault="006409BA" w:rsidP="006409BA">
      <w:pPr>
        <w:rPr>
          <w:rStyle w:val="Strong"/>
          <w:rFonts w:cs="Segoe UI"/>
          <w:b w:val="0"/>
          <w:bCs w:val="0"/>
          <w:color w:val="1A1A1A"/>
          <w:sz w:val="22"/>
          <w:szCs w:val="22"/>
        </w:rPr>
      </w:pPr>
    </w:p>
    <w:p w14:paraId="4BCE07B2" w14:textId="77777777" w:rsidR="006409BA" w:rsidRDefault="006409BA" w:rsidP="006409BA">
      <w:pPr>
        <w:pStyle w:val="Heading3"/>
        <w:rPr>
          <w:lang w:val="en-US"/>
        </w:rPr>
      </w:pPr>
      <w:r w:rsidRPr="00210F32">
        <w:rPr>
          <w:lang w:val="en-US"/>
        </w:rPr>
        <w:t>Code of Health and Disability Services Consumer</w:t>
      </w:r>
      <w:r>
        <w:rPr>
          <w:lang w:val="en-US"/>
        </w:rPr>
        <w:t>s’</w:t>
      </w:r>
      <w:r w:rsidRPr="00210F32">
        <w:rPr>
          <w:lang w:val="en-US"/>
        </w:rPr>
        <w:t xml:space="preserve"> Rights </w:t>
      </w:r>
    </w:p>
    <w:p w14:paraId="3A0A0810" w14:textId="77777777" w:rsidR="006409BA" w:rsidRPr="0021748F" w:rsidRDefault="006409BA" w:rsidP="006409BA">
      <w:r w:rsidRPr="0021748F">
        <w:t xml:space="preserve">The Code of Health and Disability </w:t>
      </w:r>
      <w:r w:rsidRPr="00B17FA6">
        <w:t>Services</w:t>
      </w:r>
      <w:r w:rsidRPr="0021748F">
        <w:t xml:space="preserve"> Consumers' Rights (the Code) applies when providing assisted dying services, as with any other health service. </w:t>
      </w:r>
    </w:p>
    <w:p w14:paraId="2DE423D5" w14:textId="77777777" w:rsidR="006409BA" w:rsidRPr="0021748F" w:rsidRDefault="006409BA" w:rsidP="006409BA">
      <w:pPr>
        <w:rPr>
          <w:color w:val="1A1A1A"/>
        </w:rPr>
      </w:pPr>
    </w:p>
    <w:p w14:paraId="243F69F0" w14:textId="77777777" w:rsidR="006409BA" w:rsidRPr="00053614" w:rsidRDefault="006409BA" w:rsidP="006409BA">
      <w:r w:rsidRPr="00053614">
        <w:t xml:space="preserve">Health practitioners should have their obligations under the Code in mind when responding to a person who raises assisted dying, or when providing assisted dying services. </w:t>
      </w:r>
      <w:hyperlink r:id="rId36" w:tgtFrame="_blank" w:tooltip="Code of Health and Disability Services Consumers' Rights" w:history="1">
        <w:r w:rsidRPr="00053614">
          <w:rPr>
            <w:rStyle w:val="Hyperlink"/>
          </w:rPr>
          <w:t>The Code</w:t>
        </w:r>
      </w:hyperlink>
      <w:r w:rsidRPr="00053614">
        <w:t xml:space="preserve"> is available in full on the </w:t>
      </w:r>
      <w:hyperlink r:id="rId37" w:history="1">
        <w:r w:rsidRPr="00053614">
          <w:rPr>
            <w:rStyle w:val="Hyperlink"/>
          </w:rPr>
          <w:t>HDC website</w:t>
        </w:r>
      </w:hyperlink>
      <w:r w:rsidRPr="00053614">
        <w:t>.</w:t>
      </w:r>
    </w:p>
    <w:p w14:paraId="2FCFE193" w14:textId="77777777" w:rsidR="006409BA" w:rsidRPr="0021748F" w:rsidRDefault="006409BA" w:rsidP="006409BA">
      <w:pPr>
        <w:rPr>
          <w:color w:val="1A1A1A"/>
        </w:rPr>
      </w:pPr>
    </w:p>
    <w:p w14:paraId="550D7F85" w14:textId="77777777" w:rsidR="006409BA" w:rsidRPr="00053614" w:rsidRDefault="006409BA" w:rsidP="006409BA">
      <w:r w:rsidRPr="00053614">
        <w:rPr>
          <w:b/>
          <w:bCs/>
        </w:rPr>
        <w:t>Note</w:t>
      </w:r>
      <w:r w:rsidRPr="00053614">
        <w:t xml:space="preserve">: There are some instances the Act overrides the Code in relation to assisted dying services. </w:t>
      </w:r>
    </w:p>
    <w:p w14:paraId="01E1F739" w14:textId="77777777" w:rsidR="006409BA" w:rsidRPr="00053614" w:rsidRDefault="006409BA" w:rsidP="006409BA"/>
    <w:p w14:paraId="54D5FA61" w14:textId="77777777" w:rsidR="006409BA" w:rsidRPr="002A2315" w:rsidRDefault="006409BA" w:rsidP="006409BA">
      <w:r w:rsidRPr="002A2315">
        <w:t>Under the Act, a health practitioner cannot raise assisted dying with a person. This overrides Right 6 (1)(b), which states that a person would expect to receive “an explanation of the options available”. However, once the person raises assisted dying, Right 6 applies in full.</w:t>
      </w:r>
    </w:p>
    <w:p w14:paraId="2FF34FAE" w14:textId="77777777" w:rsidR="006409BA" w:rsidRPr="002A2315" w:rsidRDefault="006409BA" w:rsidP="006409BA"/>
    <w:p w14:paraId="24449B08" w14:textId="77777777" w:rsidR="006409BA" w:rsidRPr="002A2315" w:rsidRDefault="006409BA" w:rsidP="006409BA">
      <w:r w:rsidRPr="002A2315">
        <w:t xml:space="preserve">Under the Act, a person’s competence must be assessed throughout the process of accessing assisted dying. This overrides Right 7(2), which states that a person must be presumed competent, unless there are reasonable grounds to believe that person is not competent. If they are not found to be competent, assisted dying services cannot be provided. </w:t>
      </w:r>
    </w:p>
    <w:p w14:paraId="76FC4D0E" w14:textId="77777777" w:rsidR="006409BA" w:rsidRPr="002A2315" w:rsidRDefault="006409BA" w:rsidP="006409BA"/>
    <w:p w14:paraId="48251968" w14:textId="77777777" w:rsidR="006409BA" w:rsidRPr="002A2315" w:rsidRDefault="006409BA" w:rsidP="006409BA">
      <w:r w:rsidRPr="002A2315">
        <w:t>Under the Act, advanced directives are not allowed. This overrides Right 7(5), which states that advanced directives may be used in accordance with common law.</w:t>
      </w:r>
    </w:p>
    <w:p w14:paraId="524C866B" w14:textId="77777777" w:rsidR="006409BA" w:rsidRDefault="006409BA" w:rsidP="006409BA">
      <w:pPr>
        <w:spacing w:line="240" w:lineRule="auto"/>
      </w:pPr>
      <w:r>
        <w:br w:type="page"/>
      </w:r>
    </w:p>
    <w:p w14:paraId="5CCD9654" w14:textId="3661C234" w:rsidR="006409BA" w:rsidRDefault="006409BA" w:rsidP="006409BA">
      <w:pPr>
        <w:pStyle w:val="Heading3"/>
      </w:pPr>
      <w:r>
        <w:t xml:space="preserve">Standard of Care for administering medication </w:t>
      </w:r>
      <w:r>
        <w:br/>
        <w:t xml:space="preserve">for assisted dying services </w:t>
      </w:r>
    </w:p>
    <w:p w14:paraId="560CFE17" w14:textId="00EB3664" w:rsidR="006409BA" w:rsidRDefault="006409BA" w:rsidP="006409BA">
      <w:r w:rsidRPr="0021748F">
        <w:t xml:space="preserve">The Standard of Care (Standard of Care) for administering medication for assisted dying services has been developed to ensure best practice in the administration of medication for assisted dying services. </w:t>
      </w:r>
    </w:p>
    <w:p w14:paraId="4B7C8F92" w14:textId="413C2A19" w:rsidR="006409BA" w:rsidRDefault="006409BA" w:rsidP="006409BA"/>
    <w:p w14:paraId="049CBE5E" w14:textId="77777777" w:rsidR="006409BA" w:rsidRDefault="006409BA" w:rsidP="006409BA">
      <w:r w:rsidRPr="0021748F">
        <w:t xml:space="preserve">It covers the period from receipt of the medication from the pharmacy until the death of the person receiving the service and return of the medication kit. Safe storage and transport of the medication are covered by other legislation and professional or clinical guidelines and standards. </w:t>
      </w:r>
    </w:p>
    <w:p w14:paraId="0C3FC5F6" w14:textId="77777777" w:rsidR="006409BA" w:rsidRDefault="006409BA" w:rsidP="006409BA"/>
    <w:p w14:paraId="059A2F7C" w14:textId="77777777" w:rsidR="006409BA" w:rsidRPr="006B66B4" w:rsidRDefault="006409BA" w:rsidP="006409BA">
      <w:r>
        <w:t>More information about the</w:t>
      </w:r>
      <w:r w:rsidRPr="0021748F">
        <w:t xml:space="preserve"> Standard of Care is available on the </w:t>
      </w:r>
      <w:hyperlink r:id="rId38" w:history="1">
        <w:r w:rsidRPr="0021748F">
          <w:rPr>
            <w:rStyle w:val="Hyperlink"/>
          </w:rPr>
          <w:t>Ministry’s website</w:t>
        </w:r>
      </w:hyperlink>
      <w:r w:rsidRPr="0021748F">
        <w:t>.</w:t>
      </w:r>
    </w:p>
    <w:p w14:paraId="071C559B" w14:textId="77777777" w:rsidR="006409BA" w:rsidRDefault="006409BA" w:rsidP="006409BA">
      <w:pPr>
        <w:pStyle w:val="Heading3"/>
        <w:rPr>
          <w:lang w:val="en-US"/>
        </w:rPr>
      </w:pPr>
      <w:r w:rsidRPr="00210F32">
        <w:rPr>
          <w:lang w:val="en-US"/>
        </w:rPr>
        <w:t>Ngā Paerewa</w:t>
      </w:r>
    </w:p>
    <w:p w14:paraId="650CDF91" w14:textId="77777777" w:rsidR="006409BA" w:rsidRDefault="006409BA" w:rsidP="006409BA">
      <w:r w:rsidRPr="0021748F">
        <w:t>More broadly</w:t>
      </w:r>
      <w:r>
        <w:t>,</w:t>
      </w:r>
      <w:r w:rsidRPr="0021748F">
        <w:t xml:space="preserve"> the care pathways should be followed in line with the </w:t>
      </w:r>
      <w:hyperlink r:id="rId39" w:history="1">
        <w:r w:rsidRPr="0021748F">
          <w:rPr>
            <w:rStyle w:val="Hyperlink"/>
          </w:rPr>
          <w:t>Ngā Paerewa: Health and Disability Services Standard NZS 8134:2021</w:t>
        </w:r>
      </w:hyperlink>
      <w:r w:rsidRPr="0021748F">
        <w:t xml:space="preserve"> (the 2021 standard). </w:t>
      </w:r>
    </w:p>
    <w:p w14:paraId="39E9A9B9" w14:textId="77777777" w:rsidR="006409BA" w:rsidRDefault="006409BA" w:rsidP="006409BA"/>
    <w:p w14:paraId="5420F533" w14:textId="77777777" w:rsidR="006409BA" w:rsidRDefault="006409BA" w:rsidP="006409BA">
      <w:r w:rsidRPr="0021748F">
        <w:t>The 2021 standard sets out the minimum requirements for acceptable care and support within specified services. The 2021 standard focuses on putting people and whānau at the centre and supporting providers to meet their obligations under Te Tiriti o Waitangi.</w:t>
      </w:r>
    </w:p>
    <w:p w14:paraId="0F6B7AF3" w14:textId="77777777" w:rsidR="006409BA" w:rsidRPr="0021748F" w:rsidRDefault="006409BA" w:rsidP="006409BA"/>
    <w:p w14:paraId="29587274" w14:textId="77777777" w:rsidR="006409BA" w:rsidRDefault="006409BA" w:rsidP="006409BA">
      <w:r w:rsidRPr="0021748F">
        <w:t>While all of the 2021 Standard applies, there are some sections that health practitioners should particularly keep in mind within the context of assisted dying services.</w:t>
      </w:r>
      <w:r>
        <w:t xml:space="preserve"> These include (but are not limited to) criteria in:</w:t>
      </w:r>
    </w:p>
    <w:p w14:paraId="412B8C21" w14:textId="2566B658" w:rsidR="006409BA" w:rsidRPr="00B17FA6" w:rsidRDefault="006409BA" w:rsidP="006409BA">
      <w:pPr>
        <w:pStyle w:val="Bullet"/>
      </w:pPr>
      <w:r w:rsidRPr="00B17FA6">
        <w:t>Section 1.1: Pae ora | Healthy futures</w:t>
      </w:r>
    </w:p>
    <w:p w14:paraId="3EABAC79" w14:textId="77777777" w:rsidR="006409BA" w:rsidRPr="00B17FA6" w:rsidRDefault="006409BA" w:rsidP="006409BA">
      <w:pPr>
        <w:pStyle w:val="Bullet"/>
      </w:pPr>
      <w:r w:rsidRPr="00B17FA6">
        <w:t>Section 1.2: Ola manuia o ngā iwi o Te Moana-nui-a-Kiwa kei Aotearoa | Ola manuia of Pacific peoples in Aotearoa</w:t>
      </w:r>
    </w:p>
    <w:p w14:paraId="5B0479AB" w14:textId="77777777" w:rsidR="006409BA" w:rsidRPr="00B17FA6" w:rsidRDefault="006409BA" w:rsidP="006409BA">
      <w:pPr>
        <w:pStyle w:val="Bullet"/>
      </w:pPr>
      <w:r w:rsidRPr="00B17FA6">
        <w:t>Section 1.3: Aku motika i te wā e tukuna ana ngā ratonga | My rights during service delivery</w:t>
      </w:r>
    </w:p>
    <w:p w14:paraId="55BC7B8C" w14:textId="77777777" w:rsidR="006409BA" w:rsidRPr="00B17FA6" w:rsidRDefault="006409BA" w:rsidP="006409BA">
      <w:pPr>
        <w:pStyle w:val="Bullet"/>
      </w:pPr>
      <w:r w:rsidRPr="00B17FA6">
        <w:t xml:space="preserve">Section1.4: E whakautetia ana ahau | I am treated with respect </w:t>
      </w:r>
    </w:p>
    <w:p w14:paraId="3ADC8F50" w14:textId="77777777" w:rsidR="006409BA" w:rsidRPr="00B17FA6" w:rsidRDefault="006409BA" w:rsidP="006409BA">
      <w:pPr>
        <w:pStyle w:val="Bullet"/>
      </w:pPr>
      <w:r w:rsidRPr="00B17FA6">
        <w:t>Section 1.5: E whakahaumarutia ana ahau i ngā mahi tūkino | I am protected from abuse</w:t>
      </w:r>
    </w:p>
    <w:p w14:paraId="3A72C7A8" w14:textId="77777777" w:rsidR="006409BA" w:rsidRPr="00B17FA6" w:rsidRDefault="006409BA" w:rsidP="006409BA">
      <w:pPr>
        <w:pStyle w:val="Bullet"/>
      </w:pPr>
      <w:r w:rsidRPr="00B17FA6">
        <w:t>Section 1.6: Ka kitea ngā whakawhitiwhitinga whai hua | Effective communication occurs</w:t>
      </w:r>
    </w:p>
    <w:p w14:paraId="60623878" w14:textId="77777777" w:rsidR="006409BA" w:rsidRPr="00B17FA6" w:rsidRDefault="006409BA" w:rsidP="006409BA">
      <w:pPr>
        <w:pStyle w:val="Bullet"/>
      </w:pPr>
      <w:r w:rsidRPr="00B17FA6">
        <w:t>Section 1.7: Kua whai mōhio ahau, ā, ka taea a au te mahi whiringa | I am informed and able to make choices</w:t>
      </w:r>
    </w:p>
    <w:p w14:paraId="331D3587" w14:textId="77777777" w:rsidR="006409BA" w:rsidRPr="00B17FA6" w:rsidRDefault="006409BA" w:rsidP="006409BA">
      <w:pPr>
        <w:pStyle w:val="Bullet"/>
      </w:pPr>
      <w:r w:rsidRPr="00B17FA6">
        <w:t>Section 1.8: Nōku te mana ki te tuku amuamu | I have the right to complain</w:t>
      </w:r>
    </w:p>
    <w:p w14:paraId="029B3F08" w14:textId="77777777" w:rsidR="006409BA" w:rsidRPr="00B17FA6" w:rsidRDefault="006409BA" w:rsidP="006409BA">
      <w:pPr>
        <w:pStyle w:val="Bullet"/>
      </w:pPr>
      <w:r w:rsidRPr="00B17FA6">
        <w:t>Section 2.3: Whakahaeranga ratonga | Service management</w:t>
      </w:r>
    </w:p>
    <w:p w14:paraId="18CDD838" w14:textId="77777777" w:rsidR="006409BA" w:rsidRPr="00B17FA6" w:rsidRDefault="006409BA" w:rsidP="006409BA">
      <w:pPr>
        <w:pStyle w:val="Bullet"/>
      </w:pPr>
      <w:r w:rsidRPr="00B17FA6">
        <w:t>Section 2.3: Mōhiohio | Information</w:t>
      </w:r>
    </w:p>
    <w:p w14:paraId="2BECACAC" w14:textId="77777777" w:rsidR="006409BA" w:rsidRPr="00B17FA6" w:rsidRDefault="006409BA" w:rsidP="006409BA">
      <w:pPr>
        <w:pStyle w:val="Bullet"/>
      </w:pPr>
      <w:r w:rsidRPr="00B17FA6">
        <w:t>Section 3.4: Aku rongoā | My medication</w:t>
      </w:r>
    </w:p>
    <w:p w14:paraId="31A9022D" w14:textId="77777777" w:rsidR="006409BA" w:rsidRDefault="006409BA" w:rsidP="006409BA">
      <w:pPr>
        <w:spacing w:line="240" w:lineRule="auto"/>
        <w:rPr>
          <w:rStyle w:val="Hyperlink"/>
        </w:rPr>
      </w:pPr>
      <w:r>
        <w:rPr>
          <w:rStyle w:val="Hyperlink"/>
        </w:rPr>
        <w:br w:type="page"/>
      </w:r>
    </w:p>
    <w:p w14:paraId="3BC53AF6" w14:textId="77777777" w:rsidR="006409BA" w:rsidRPr="00A2278F" w:rsidRDefault="006409BA" w:rsidP="006409BA">
      <w:pPr>
        <w:pStyle w:val="Heading3"/>
      </w:pPr>
      <w:r w:rsidRPr="00A2278F">
        <w:t>Assisted Dying Clinical Guideline</w:t>
      </w:r>
    </w:p>
    <w:p w14:paraId="1873B534" w14:textId="77777777" w:rsidR="006409BA" w:rsidRPr="0014744A" w:rsidRDefault="006409BA" w:rsidP="006409BA">
      <w:r w:rsidRPr="0014744A">
        <w:t xml:space="preserve">The Assisted Dying Clinical Guideline (Clinical Guideline) covers the considerations and requirements to be followed by the attending medical practitioner or attending nurse practitioner in the administration of medication to assist a person to die under the Act. Medical or nurse practitioner involved in providing assisted dying services will be given access to the Clinical Guideline. </w:t>
      </w:r>
    </w:p>
    <w:p w14:paraId="29FB4A75" w14:textId="77777777" w:rsidR="006409BA" w:rsidRDefault="006409BA" w:rsidP="006409BA">
      <w:pPr>
        <w:pStyle w:val="Heading3"/>
      </w:pPr>
      <w:r>
        <w:t>Data collection</w:t>
      </w:r>
    </w:p>
    <w:p w14:paraId="286437AF" w14:textId="77777777" w:rsidR="006409BA" w:rsidRDefault="006409BA" w:rsidP="006409BA">
      <w:r>
        <w:t xml:space="preserve">Medical and nurse practitioners providing assisted dying services are required to complete forms according to the requirements of the Act. These forms will be collected and managed in an electronic system. The information collected will include demographic data, assessment and service delivery data, and data on assisted deaths.  </w:t>
      </w:r>
    </w:p>
    <w:p w14:paraId="27B8EB80" w14:textId="77777777" w:rsidR="006409BA" w:rsidRDefault="006409BA" w:rsidP="006409BA"/>
    <w:p w14:paraId="7C2F4671" w14:textId="1EAFACEF" w:rsidR="006409BA" w:rsidRDefault="006409BA" w:rsidP="006409BA">
      <w:r>
        <w:t xml:space="preserve">Data will be collected throughout the assisted dying process to enable operational reporting, service monitoring and improvement, transparency, and accountability, including supporting analysis of equity and the needs and interests of Māori. Data will be available to enable research into assisted dying services. </w:t>
      </w:r>
    </w:p>
    <w:p w14:paraId="548A0312" w14:textId="77777777" w:rsidR="006409BA" w:rsidRDefault="006409BA">
      <w:pPr>
        <w:spacing w:line="240" w:lineRule="auto"/>
      </w:pPr>
      <w:r>
        <w:br w:type="page"/>
      </w:r>
    </w:p>
    <w:p w14:paraId="6480CFA8" w14:textId="16994D41" w:rsidR="006409BA" w:rsidRPr="00342402" w:rsidRDefault="006409BA" w:rsidP="006409BA">
      <w:pPr>
        <w:pStyle w:val="Heading1"/>
      </w:pPr>
      <w:r w:rsidRPr="00876C6A">
        <w:rPr>
          <w:b w:val="0"/>
          <w:bCs/>
        </w:rPr>
        <w:t xml:space="preserve">Section </w:t>
      </w:r>
      <w:r>
        <w:rPr>
          <w:b w:val="0"/>
          <w:bCs/>
        </w:rPr>
        <w:t>4:</w:t>
      </w:r>
      <w:r>
        <w:br/>
      </w:r>
      <w:r w:rsidRPr="00342402">
        <w:t xml:space="preserve">Care pathway for medical and nurse practitioners providing assisted dying services  </w:t>
      </w:r>
    </w:p>
    <w:p w14:paraId="3CAB5C43" w14:textId="1DEC261B" w:rsidR="006409BA" w:rsidRDefault="006409BA" w:rsidP="006409BA">
      <w:pPr>
        <w:pStyle w:val="Introductoryparagraph"/>
      </w:pPr>
      <w:r>
        <w:t xml:space="preserve">This pathway describes the steps taken by medical and nurse practitioners who provide assisted dying services as per the roles set out in the Act. </w:t>
      </w:r>
    </w:p>
    <w:p w14:paraId="14FF5653" w14:textId="77777777" w:rsidR="006409BA" w:rsidRPr="00397B4D" w:rsidRDefault="006409BA" w:rsidP="006409BA">
      <w:pPr>
        <w:pStyle w:val="Bullet"/>
        <w:rPr>
          <w:b/>
          <w:bCs/>
        </w:rPr>
      </w:pPr>
      <w:r w:rsidRPr="00397B4D">
        <w:rPr>
          <w:b/>
          <w:bCs/>
        </w:rPr>
        <w:t xml:space="preserve">Attending medical practitioner (AMP) </w:t>
      </w:r>
    </w:p>
    <w:p w14:paraId="229F7BC8" w14:textId="43505981" w:rsidR="006409BA" w:rsidRPr="00CA30C2" w:rsidRDefault="006409BA" w:rsidP="006409BA">
      <w:pPr>
        <w:pStyle w:val="Dash"/>
      </w:pPr>
      <w:r w:rsidRPr="00CA30C2">
        <w:t>supporting the application process and providing the first assessment, providing the opinion on eligibility, prescribing and administering the assisted dying medication (if an attending nurse practitioner is not involved)</w:t>
      </w:r>
      <w:r>
        <w:t xml:space="preserve">. The AMP could be the person’s existing medical practitioner or be from the list held by the SCENZ Group. </w:t>
      </w:r>
    </w:p>
    <w:p w14:paraId="5B5C6206" w14:textId="77777777" w:rsidR="006409BA" w:rsidRPr="00397B4D" w:rsidRDefault="006409BA" w:rsidP="006409BA">
      <w:pPr>
        <w:pStyle w:val="Bullet"/>
        <w:rPr>
          <w:b/>
          <w:bCs/>
        </w:rPr>
      </w:pPr>
      <w:r w:rsidRPr="00397B4D">
        <w:rPr>
          <w:b/>
          <w:bCs/>
        </w:rPr>
        <w:t xml:space="preserve">Independent medical practitioner (IMP) </w:t>
      </w:r>
    </w:p>
    <w:p w14:paraId="02296D21" w14:textId="77777777" w:rsidR="006409BA" w:rsidRPr="00CA30C2" w:rsidRDefault="006409BA" w:rsidP="006409BA">
      <w:pPr>
        <w:pStyle w:val="Dash"/>
      </w:pPr>
      <w:r w:rsidRPr="00CA30C2">
        <w:t>providing the second independent assessment</w:t>
      </w:r>
      <w:r>
        <w:t xml:space="preserve">. The IMP is from the list held by the SCENZ Group. </w:t>
      </w:r>
    </w:p>
    <w:p w14:paraId="0A4C4284" w14:textId="77777777" w:rsidR="006409BA" w:rsidRPr="00397B4D" w:rsidRDefault="006409BA" w:rsidP="006409BA">
      <w:pPr>
        <w:pStyle w:val="Bullet"/>
        <w:rPr>
          <w:b/>
          <w:bCs/>
        </w:rPr>
      </w:pPr>
      <w:r w:rsidRPr="00397B4D">
        <w:rPr>
          <w:b/>
          <w:bCs/>
        </w:rPr>
        <w:t xml:space="preserve">Psychiatrist </w:t>
      </w:r>
    </w:p>
    <w:p w14:paraId="2AA065EC" w14:textId="77777777" w:rsidR="006409BA" w:rsidRPr="00CA30C2" w:rsidRDefault="006409BA" w:rsidP="006409BA">
      <w:pPr>
        <w:pStyle w:val="Dash"/>
      </w:pPr>
      <w:r w:rsidRPr="00CA30C2">
        <w:t>providing a third assessment, if required to determine a person’s competence to request assisted dying</w:t>
      </w:r>
      <w:r>
        <w:t xml:space="preserve">. The psychiatrist is from the list held by the SCENZ Group. </w:t>
      </w:r>
    </w:p>
    <w:p w14:paraId="6672E065" w14:textId="77777777" w:rsidR="006409BA" w:rsidRPr="00397B4D" w:rsidRDefault="006409BA" w:rsidP="006409BA">
      <w:pPr>
        <w:pStyle w:val="Bullet"/>
        <w:rPr>
          <w:b/>
          <w:bCs/>
        </w:rPr>
      </w:pPr>
      <w:r w:rsidRPr="00397B4D">
        <w:rPr>
          <w:b/>
          <w:bCs/>
        </w:rPr>
        <w:t xml:space="preserve">Attending nurse practitioner (ANP) </w:t>
      </w:r>
    </w:p>
    <w:p w14:paraId="60177332" w14:textId="77777777" w:rsidR="006409BA" w:rsidRDefault="006409BA" w:rsidP="006409BA">
      <w:pPr>
        <w:pStyle w:val="Dash"/>
      </w:pPr>
      <w:r w:rsidRPr="00CA30C2">
        <w:t>prescribing and administering the assisted dying medication (acting under the instruction of the AMP)</w:t>
      </w:r>
      <w:r>
        <w:t>. The ANP could be the person’s existing nurse practitioner or be from the list held by the SCENZ Group.</w:t>
      </w:r>
    </w:p>
    <w:p w14:paraId="7EAB27EB" w14:textId="77777777" w:rsidR="006409BA" w:rsidRPr="00CA30C2" w:rsidRDefault="006409BA" w:rsidP="006409BA"/>
    <w:p w14:paraId="67641D71" w14:textId="58D04B81" w:rsidR="00B66CBE" w:rsidRDefault="00B66CBE">
      <w:pPr>
        <w:spacing w:line="240" w:lineRule="auto"/>
      </w:pPr>
      <w:r>
        <w:br w:type="page"/>
      </w:r>
    </w:p>
    <w:p w14:paraId="07274BA6" w14:textId="6B352F3F" w:rsidR="006409BA" w:rsidRDefault="006409BA" w:rsidP="006409BA">
      <w:r>
        <w:t xml:space="preserve">A person is likely to have initial conversations prior to this care pathway. These conversations may be with their AMP (if the AMP is their existing medical practitioner) or they may be with another member of their health care team.  </w:t>
      </w:r>
    </w:p>
    <w:p w14:paraId="098DDABA" w14:textId="77777777" w:rsidR="006409BA" w:rsidRDefault="006409BA" w:rsidP="006409BA"/>
    <w:p w14:paraId="220CC69F" w14:textId="26D75A76" w:rsidR="006409BA" w:rsidRDefault="006409BA" w:rsidP="006409BA">
      <w:r>
        <w:t xml:space="preserve">Medical and nurse practitioners providing assisted dying services outside of district health board hospital settings will be able to claim for funding under a fee-for-service model. The steps of this care pathway align with the modules in this fee-for-service model, which will be created through a notice made under section 88 of the New Zealand Health and Disability Act 2000. More information about the fee-for-service model is available on the </w:t>
      </w:r>
      <w:hyperlink r:id="rId40" w:history="1">
        <w:r w:rsidRPr="0095648E">
          <w:rPr>
            <w:rStyle w:val="Hyperlink"/>
          </w:rPr>
          <w:t>Ministry’s website</w:t>
        </w:r>
      </w:hyperlink>
      <w:r>
        <w:t xml:space="preserve">. </w:t>
      </w:r>
    </w:p>
    <w:p w14:paraId="5F2C8C50" w14:textId="77777777" w:rsidR="006409BA" w:rsidRDefault="006409BA" w:rsidP="006409BA"/>
    <w:p w14:paraId="4B0FCF00" w14:textId="77777777" w:rsidR="006409BA" w:rsidRDefault="006409BA" w:rsidP="006409BA">
      <w:r>
        <w:t xml:space="preserve">Each step may be comprised of more than one appointment or interaction. Virtual consultations may be used during some steps of the care pathway if this is appropriate. </w:t>
      </w:r>
    </w:p>
    <w:p w14:paraId="38850918" w14:textId="77777777" w:rsidR="006409BA" w:rsidRDefault="006409BA" w:rsidP="006409BA"/>
    <w:p w14:paraId="62BAAC3E" w14:textId="77777777" w:rsidR="006409BA" w:rsidRDefault="006409BA" w:rsidP="006409BA">
      <w:r>
        <w:t xml:space="preserve">Each step of the care pathway includes forms that must be completed to the requirements of the Act. These forms will be collected and managed in an electronic system. </w:t>
      </w:r>
    </w:p>
    <w:p w14:paraId="2E6EAE27" w14:textId="77777777" w:rsidR="006409BA" w:rsidRDefault="006409BA" w:rsidP="006409BA"/>
    <w:p w14:paraId="671BC9A9" w14:textId="7E4F9EC9" w:rsidR="006409BA" w:rsidRDefault="006409BA" w:rsidP="006409BA">
      <w:r>
        <w:t xml:space="preserve">Throughout the care pathway, the medical or nurse practitioner will be able to seek help and support from the Ministry of Health assisted dying secretariat. The secretariat will also provide support to the person and their whānau, including support to the whānau following the assisted death. </w:t>
      </w:r>
    </w:p>
    <w:p w14:paraId="30143AC7" w14:textId="5AA6731B" w:rsidR="006409BA" w:rsidRDefault="006409BA" w:rsidP="006409BA"/>
    <w:p w14:paraId="1E9F9C5E" w14:textId="2D22A74F" w:rsidR="00074817" w:rsidRDefault="006409BA" w:rsidP="00074817">
      <w:r>
        <w:t xml:space="preserve">The care pathway depicts an overview of providing assisted dying services only. Further guidance and training is available for medical and nurse practitioners who provide assisted dying, including the </w:t>
      </w:r>
      <w:r w:rsidRPr="002E65BE">
        <w:t>Standard of Care for administering medication for assisted dying services and the Assisted Dying Clinical Guideline</w:t>
      </w:r>
      <w:r w:rsidR="00B66CBE">
        <w:t>.</w:t>
      </w:r>
    </w:p>
    <w:p w14:paraId="36104BD2" w14:textId="77777777" w:rsidR="00B66CBE" w:rsidRDefault="00B66CBE" w:rsidP="00074817"/>
    <w:p w14:paraId="7B314B4C" w14:textId="3471F962" w:rsidR="00B66CBE" w:rsidRDefault="00B66CBE" w:rsidP="00074817"/>
    <w:p w14:paraId="0B8D8AAD" w14:textId="2A3981B2" w:rsidR="00B66CBE" w:rsidRPr="00074817" w:rsidRDefault="00B66CBE" w:rsidP="00074817">
      <w:pPr>
        <w:sectPr w:rsidR="00B66CBE" w:rsidRPr="00074817" w:rsidSect="00241CE0">
          <w:headerReference w:type="default" r:id="rId41"/>
          <w:footerReference w:type="default" r:id="rId42"/>
          <w:headerReference w:type="first" r:id="rId43"/>
          <w:footerReference w:type="first" r:id="rId44"/>
          <w:pgSz w:w="11907" w:h="16834" w:code="9"/>
          <w:pgMar w:top="1418" w:right="1701" w:bottom="1134" w:left="1843" w:header="284" w:footer="425" w:gutter="284"/>
          <w:cols w:space="720"/>
          <w:titlePg/>
          <w:docGrid w:linePitch="286"/>
        </w:sectPr>
      </w:pPr>
    </w:p>
    <w:p w14:paraId="71A30E8C" w14:textId="29C10631" w:rsidR="00074817" w:rsidRPr="00876C6A" w:rsidRDefault="00A644CC" w:rsidP="00074817">
      <w:pPr>
        <w:rPr>
          <w:bCs/>
        </w:rPr>
        <w:sectPr w:rsidR="00074817" w:rsidRPr="00876C6A" w:rsidSect="006E028C">
          <w:footerReference w:type="first" r:id="rId45"/>
          <w:pgSz w:w="16834" w:h="11907" w:orient="landscape" w:code="9"/>
          <w:pgMar w:top="1134" w:right="1134" w:bottom="1134" w:left="1134" w:header="284" w:footer="425" w:gutter="0"/>
          <w:cols w:space="720"/>
          <w:titlePg/>
          <w:docGrid w:linePitch="299"/>
        </w:sectPr>
      </w:pPr>
      <w:r>
        <w:rPr>
          <w:noProof/>
        </w:rPr>
        <w:drawing>
          <wp:anchor distT="0" distB="0" distL="114300" distR="114300" simplePos="0" relativeHeight="251658240" behindDoc="0" locked="0" layoutInCell="1" allowOverlap="1" wp14:anchorId="3ECC1850" wp14:editId="5D54E036">
            <wp:simplePos x="0" y="0"/>
            <wp:positionH relativeFrom="page">
              <wp:posOffset>723900</wp:posOffset>
            </wp:positionH>
            <wp:positionV relativeFrom="page">
              <wp:posOffset>723569</wp:posOffset>
            </wp:positionV>
            <wp:extent cx="8953200" cy="6112800"/>
            <wp:effectExtent l="0" t="0" r="635" b="2540"/>
            <wp:wrapNone/>
            <wp:docPr id="1" name="Picture 1" descr="Care pathway for medical and nurse practitioners providing assisted dying services graphic which shows the process from (1) the application and first opinion on eligibility, (2) independent assessment of eligibility, (3) competency assessment, (4) decision on eligibility and (5) prescribing and administration of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e pathway for medical and nurse practitioners providing assisted dying services graphic which shows the process from (1) the application and first opinion on eligibility, (2) independent assessment of eligibility, (3) competency assessment, (4) decision on eligibility and (5) prescribing and administration of medica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53200" cy="61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B978" w14:textId="00348E74" w:rsidR="004D1776" w:rsidRPr="00015B03" w:rsidRDefault="00723C65" w:rsidP="00241CE0">
      <w:pPr>
        <w:pStyle w:val="Heading1"/>
        <w:spacing w:before="0"/>
        <w:rPr>
          <w:rFonts w:cs="Segoe UI"/>
          <w:szCs w:val="22"/>
        </w:rPr>
      </w:pPr>
      <w:r w:rsidRPr="00723C65">
        <w:rPr>
          <w:b w:val="0"/>
          <w:bCs/>
        </w:rPr>
        <w:t xml:space="preserve">Section </w:t>
      </w:r>
      <w:r w:rsidR="006409BA">
        <w:rPr>
          <w:b w:val="0"/>
          <w:bCs/>
        </w:rPr>
        <w:t>5</w:t>
      </w:r>
      <w:r w:rsidRPr="00723C65">
        <w:rPr>
          <w:b w:val="0"/>
          <w:bCs/>
        </w:rPr>
        <w:t>:</w:t>
      </w:r>
      <w:r w:rsidR="00074817">
        <w:rPr>
          <w:b w:val="0"/>
          <w:bCs/>
        </w:rPr>
        <w:t xml:space="preserve"> </w:t>
      </w:r>
      <w:r w:rsidR="00B66CBE">
        <w:rPr>
          <w:b w:val="0"/>
          <w:bCs/>
        </w:rPr>
        <w:br/>
      </w:r>
      <w:r w:rsidR="004D1776">
        <w:t>Care</w:t>
      </w:r>
      <w:r w:rsidR="004D1776" w:rsidRPr="004F4AE6">
        <w:t xml:space="preserve"> pathway for </w:t>
      </w:r>
      <w:r w:rsidR="004D1776">
        <w:t xml:space="preserve">medical </w:t>
      </w:r>
      <w:r w:rsidR="004D1776" w:rsidRPr="004F4AE6">
        <w:t>practitioner</w:t>
      </w:r>
      <w:r w:rsidR="004D1776">
        <w:t>s</w:t>
      </w:r>
      <w:r w:rsidR="004D1776" w:rsidRPr="004F4AE6">
        <w:t xml:space="preserve"> not providing </w:t>
      </w:r>
      <w:r w:rsidR="004D1776">
        <w:t xml:space="preserve">assisted dying </w:t>
      </w:r>
      <w:r w:rsidR="004D1776" w:rsidRPr="004F4AE6">
        <w:t>services</w:t>
      </w:r>
    </w:p>
    <w:p w14:paraId="6910239B" w14:textId="1F0D830B" w:rsidR="004D1776" w:rsidRDefault="004D1776" w:rsidP="00872C10">
      <w:pPr>
        <w:pStyle w:val="Introductoryparagraph"/>
      </w:pPr>
      <w:r>
        <w:t xml:space="preserve">This care pathway describes the steps a </w:t>
      </w:r>
      <w:r w:rsidRPr="004A13B5">
        <w:t>medical practitioner not providing assisted dying services should take if a person raises assisted dying with them – these align with</w:t>
      </w:r>
      <w:r w:rsidRPr="004A13B5">
        <w:rPr>
          <w:color w:val="FF0000"/>
        </w:rPr>
        <w:t xml:space="preserve"> </w:t>
      </w:r>
      <w:hyperlink r:id="rId47" w:history="1">
        <w:r w:rsidRPr="004A13B5">
          <w:rPr>
            <w:rStyle w:val="Hyperlink"/>
          </w:rPr>
          <w:t>Responding when a person raises assisted dying: A conversation guide for registered health professionals</w:t>
        </w:r>
      </w:hyperlink>
      <w:r w:rsidRPr="004A13B5">
        <w:t xml:space="preserve">. These interactions </w:t>
      </w:r>
      <w:r w:rsidR="00872C10" w:rsidRPr="004A13B5">
        <w:br/>
      </w:r>
      <w:r w:rsidRPr="004A13B5">
        <w:t>are prior to the process</w:t>
      </w:r>
      <w:r>
        <w:t xml:space="preserve"> outlined from </w:t>
      </w:r>
      <w:hyperlink r:id="rId48" w:history="1">
        <w:r w:rsidRPr="008B401E">
          <w:rPr>
            <w:rStyle w:val="Hyperlink"/>
          </w:rPr>
          <w:t>section 11 onwards of the Act</w:t>
        </w:r>
      </w:hyperlink>
      <w:r w:rsidRPr="008B401E">
        <w:rPr>
          <w:rStyle w:val="Hyperlink"/>
        </w:rPr>
        <w:t>.</w:t>
      </w:r>
      <w:r>
        <w:t xml:space="preserve"> </w:t>
      </w:r>
    </w:p>
    <w:p w14:paraId="2B32EA8B" w14:textId="77777777" w:rsidR="004D1776" w:rsidRDefault="004D1776" w:rsidP="0095648E"/>
    <w:p w14:paraId="5B5CAC4A" w14:textId="211373E4" w:rsidR="004D1776" w:rsidRDefault="004D1776" w:rsidP="0095648E">
      <w:r>
        <w:t xml:space="preserve">Medical practitioners have legal obligations under the Act to act as a person’s attending medical practitioner (AMP) and provide assisted dying services to a person in their care who requests access to this service. A medical practitioner can opt out of doing so if they have a conscientious objection or if they lack the appropriate skills or experience to provide assisted dying services (reasons of competency). </w:t>
      </w:r>
    </w:p>
    <w:p w14:paraId="0D4A6BE7" w14:textId="77777777" w:rsidR="004D1776" w:rsidRDefault="004D1776" w:rsidP="0095648E"/>
    <w:p w14:paraId="4F6277A2" w14:textId="22161961" w:rsidR="00B66CBE" w:rsidRDefault="00B66CBE">
      <w:pPr>
        <w:spacing w:line="240" w:lineRule="auto"/>
      </w:pPr>
      <w:r>
        <w:br w:type="page"/>
      </w:r>
    </w:p>
    <w:p w14:paraId="7B1A284C" w14:textId="4CAF4627" w:rsidR="004D1776" w:rsidRPr="00B72ADA" w:rsidRDefault="004D1776" w:rsidP="0095648E">
      <w:r w:rsidRPr="00B72ADA">
        <w:t>At a minimum</w:t>
      </w:r>
      <w:r>
        <w:t>,</w:t>
      </w:r>
      <w:r w:rsidRPr="00B72ADA">
        <w:t xml:space="preserve"> medical practitioners </w:t>
      </w:r>
      <w:r>
        <w:t xml:space="preserve">with a conscientious objection </w:t>
      </w:r>
      <w:r w:rsidRPr="00B72ADA">
        <w:t xml:space="preserve">must: </w:t>
      </w:r>
    </w:p>
    <w:p w14:paraId="61C57122" w14:textId="2AC1CD9D" w:rsidR="004D1776" w:rsidRPr="00B72ADA" w:rsidRDefault="004D1776" w:rsidP="006E4D14">
      <w:pPr>
        <w:pStyle w:val="Bullet"/>
        <w:rPr>
          <w:rFonts w:eastAsiaTheme="minorEastAsia"/>
        </w:rPr>
      </w:pPr>
      <w:r w:rsidRPr="00B72ADA">
        <w:t xml:space="preserve">inform the person of their objection </w:t>
      </w:r>
    </w:p>
    <w:p w14:paraId="6E91FF6A" w14:textId="344445D0" w:rsidR="004D1776" w:rsidRDefault="004D1776" w:rsidP="006E4D14">
      <w:pPr>
        <w:pStyle w:val="Bullet"/>
      </w:pPr>
      <w:r w:rsidRPr="00B72ADA">
        <w:t xml:space="preserve">tell the person they have the right to ask the Support and Consultation for End of Life in New Zealand (SCENZ) </w:t>
      </w:r>
      <w:r>
        <w:t>G</w:t>
      </w:r>
      <w:r w:rsidRPr="00B72ADA">
        <w:t xml:space="preserve">roup for the name and contact details of a medical practitioner who is willing to participate in assisted dying. </w:t>
      </w:r>
    </w:p>
    <w:p w14:paraId="3A3714E7" w14:textId="77777777" w:rsidR="006E4D14" w:rsidRDefault="006E4D14" w:rsidP="006E4D14"/>
    <w:p w14:paraId="72006C15" w14:textId="09DE07FF" w:rsidR="004D1776" w:rsidRDefault="004D1776" w:rsidP="006E4D14">
      <w:r>
        <w:rPr>
          <w:rFonts w:cs="Segoe UI"/>
        </w:rPr>
        <w:t xml:space="preserve">Medical practitioners who </w:t>
      </w:r>
      <w:r>
        <w:t xml:space="preserve">lack the appropriate skills or experience to provide assisted dying services (reasons of competency) are advised to </w:t>
      </w:r>
      <w:r w:rsidR="00074817">
        <w:t xml:space="preserve">tell the person the reason they do not provide the service and inform them of the SCENZ Group as a minimum. </w:t>
      </w:r>
      <w:r>
        <w:t xml:space="preserve"> </w:t>
      </w:r>
    </w:p>
    <w:p w14:paraId="153F5519" w14:textId="748CA35F" w:rsidR="004D1776" w:rsidRDefault="004D1776" w:rsidP="006E4D14"/>
    <w:p w14:paraId="39B0501D" w14:textId="0811C523" w:rsidR="004D1776" w:rsidRDefault="004D1776" w:rsidP="006E4D14">
      <w:r>
        <w:t xml:space="preserve">Medical practitioners following this care pathway are advised not to discuss a person’s eligibility for assisted dying. There is a formal process for this that is outlined in the Care pathway for medical and nurse practitioners providing assisted dying services. </w:t>
      </w:r>
    </w:p>
    <w:p w14:paraId="3BFE2C92" w14:textId="77777777" w:rsidR="004D1776" w:rsidRDefault="004D1776" w:rsidP="006E4D14"/>
    <w:p w14:paraId="2100B42F" w14:textId="622CBA06" w:rsidR="004D1776" w:rsidRDefault="004D1776" w:rsidP="006E4D14">
      <w:r>
        <w:t>Medical practitioners may consider it appropriate to discuss eligibility if the person raising assisted dying is clearly not eligible, ie, is under 18 years old, is not a New Zealand citizen</w:t>
      </w:r>
      <w:r w:rsidR="003F4697">
        <w:t>,</w:t>
      </w:r>
      <w:r>
        <w:t xml:space="preserve"> or does not have a terminal illness. Medical practitioners should only discuss eligibility if they are competent and confident to do so.</w:t>
      </w:r>
    </w:p>
    <w:p w14:paraId="330D2C11" w14:textId="77777777" w:rsidR="004D1776" w:rsidRDefault="004D1776" w:rsidP="006E4D14"/>
    <w:p w14:paraId="1B605C79" w14:textId="24ED6B8B" w:rsidR="004D1776" w:rsidRPr="00B17FA6" w:rsidRDefault="004D1776" w:rsidP="006E4D14">
      <w:r>
        <w:t xml:space="preserve">Medical practitioners should determine their personal and organisational level of involvement in providing assisted dying services (and information and support related to </w:t>
      </w:r>
      <w:r w:rsidRPr="00B17FA6">
        <w:t xml:space="preserve">these services). Medical practitioners should consider their willingness and ability to provide the full service before they start the assessment processes required by the Act and agree to be a person’s AMP. </w:t>
      </w:r>
    </w:p>
    <w:p w14:paraId="5AC84EB2" w14:textId="77777777" w:rsidR="004D1776" w:rsidRPr="00B17FA6" w:rsidRDefault="004D1776" w:rsidP="006E4D14"/>
    <w:p w14:paraId="517FDA1B" w14:textId="661A516F" w:rsidR="004D1776" w:rsidRDefault="004D1776" w:rsidP="006E4D14">
      <w:r w:rsidRPr="00B17FA6">
        <w:t xml:space="preserve">It may be helpful for medical practitioners to undertake self-reflection on their own feelings and biases towards assisted dying services. For more information see </w:t>
      </w:r>
      <w:hyperlink r:id="rId49" w:history="1">
        <w:r w:rsidRPr="00B17FA6">
          <w:rPr>
            <w:rStyle w:val="Hyperlink"/>
          </w:rPr>
          <w:t>Responding when a person raises assisted dying: A handbook for registered health professionals.</w:t>
        </w:r>
      </w:hyperlink>
      <w:r w:rsidRPr="00B17FA6">
        <w:rPr>
          <w:color w:val="FF0000"/>
        </w:rPr>
        <w:t xml:space="preserve"> </w:t>
      </w:r>
    </w:p>
    <w:p w14:paraId="1B16C820" w14:textId="77777777" w:rsidR="004D1776" w:rsidRDefault="004D1776" w:rsidP="004D1776">
      <w:pPr>
        <w:rPr>
          <w:rFonts w:cs="Segoe UI"/>
          <w:szCs w:val="22"/>
        </w:rPr>
      </w:pPr>
      <w:bookmarkStart w:id="3" w:name="_Hlk80707411"/>
    </w:p>
    <w:p w14:paraId="578BE538" w14:textId="77777777" w:rsidR="006E4D14" w:rsidRDefault="006E4D14" w:rsidP="004D1776">
      <w:pPr>
        <w:rPr>
          <w:rFonts w:cs="Segoe UI"/>
          <w:szCs w:val="22"/>
        </w:rPr>
      </w:pPr>
    </w:p>
    <w:p w14:paraId="30DF16AD" w14:textId="5408254D" w:rsidR="006E4D14" w:rsidRDefault="006E4D14" w:rsidP="004D1776">
      <w:pPr>
        <w:rPr>
          <w:rFonts w:cs="Segoe UI"/>
          <w:szCs w:val="22"/>
        </w:rPr>
        <w:sectPr w:rsidR="006E4D14" w:rsidSect="00241CE0">
          <w:headerReference w:type="default" r:id="rId50"/>
          <w:footerReference w:type="default" r:id="rId51"/>
          <w:headerReference w:type="first" r:id="rId52"/>
          <w:footerReference w:type="first" r:id="rId53"/>
          <w:pgSz w:w="11907" w:h="16834" w:code="9"/>
          <w:pgMar w:top="1418" w:right="1701" w:bottom="1134" w:left="1843" w:header="284" w:footer="425" w:gutter="284"/>
          <w:cols w:space="720"/>
          <w:titlePg/>
          <w:docGrid w:linePitch="286"/>
        </w:sectPr>
      </w:pPr>
    </w:p>
    <w:p w14:paraId="6AE3A832" w14:textId="1AFA3577" w:rsidR="004D1776" w:rsidRDefault="00A644CC" w:rsidP="00723C65">
      <w:r>
        <w:rPr>
          <w:b/>
          <w:bCs/>
          <w:noProof/>
        </w:rPr>
        <w:drawing>
          <wp:anchor distT="0" distB="0" distL="114300" distR="114300" simplePos="0" relativeHeight="251662336" behindDoc="0" locked="0" layoutInCell="1" allowOverlap="1" wp14:anchorId="7861B04F" wp14:editId="28D7E53B">
            <wp:simplePos x="0" y="0"/>
            <wp:positionH relativeFrom="page">
              <wp:posOffset>723900</wp:posOffset>
            </wp:positionH>
            <wp:positionV relativeFrom="page">
              <wp:posOffset>723900</wp:posOffset>
            </wp:positionV>
            <wp:extent cx="8924400" cy="6112800"/>
            <wp:effectExtent l="0" t="0" r="0" b="2540"/>
            <wp:wrapNone/>
            <wp:docPr id="2" name="Picture 2" descr="Care pathway for medical practitioners not providing assisted dying services graphic that shows information, preparation, person raises assisting dying, responding to the person and continued duty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re pathway for medical practitioners not providing assisted dying services graphic that shows information, preparation, person raises assisting dying, responding to the person and continued duty of car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924400" cy="61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44F35" w14:textId="51755396" w:rsidR="00723C65" w:rsidRPr="00876C6A" w:rsidRDefault="00723C65" w:rsidP="00723C65">
      <w:pPr>
        <w:rPr>
          <w:bCs/>
        </w:rPr>
        <w:sectPr w:rsidR="00723C65" w:rsidRPr="00876C6A" w:rsidSect="006E028C">
          <w:footerReference w:type="first" r:id="rId55"/>
          <w:pgSz w:w="16834" w:h="11907" w:orient="landscape" w:code="9"/>
          <w:pgMar w:top="1134" w:right="1134" w:bottom="1134" w:left="1134" w:header="284" w:footer="425" w:gutter="0"/>
          <w:cols w:space="720"/>
          <w:titlePg/>
          <w:docGrid w:linePitch="299"/>
        </w:sectPr>
      </w:pPr>
    </w:p>
    <w:p w14:paraId="06037574" w14:textId="543635BE" w:rsidR="004D1776" w:rsidRDefault="00876C6A" w:rsidP="00241CE0">
      <w:pPr>
        <w:pStyle w:val="Heading1"/>
        <w:spacing w:before="0"/>
      </w:pPr>
      <w:r w:rsidRPr="00876C6A">
        <w:rPr>
          <w:b w:val="0"/>
          <w:bCs/>
        </w:rPr>
        <w:t xml:space="preserve">Section </w:t>
      </w:r>
      <w:r w:rsidR="006409BA">
        <w:rPr>
          <w:b w:val="0"/>
          <w:bCs/>
        </w:rPr>
        <w:t>6</w:t>
      </w:r>
      <w:r w:rsidRPr="00876C6A">
        <w:rPr>
          <w:b w:val="0"/>
          <w:bCs/>
        </w:rPr>
        <w:t>:</w:t>
      </w:r>
      <w:r w:rsidRPr="00876C6A">
        <w:rPr>
          <w:b w:val="0"/>
          <w:bCs/>
        </w:rPr>
        <w:br/>
      </w:r>
      <w:r w:rsidR="004D1776">
        <w:t>Care</w:t>
      </w:r>
      <w:r w:rsidR="004D1776" w:rsidRPr="004F4AE6">
        <w:t xml:space="preserve"> pathway for </w:t>
      </w:r>
      <w:r w:rsidR="0095648E">
        <w:br/>
      </w:r>
      <w:r w:rsidR="004D1776">
        <w:t xml:space="preserve">health </w:t>
      </w:r>
      <w:r w:rsidR="004D1776" w:rsidRPr="004F4AE6">
        <w:t>practitioner</w:t>
      </w:r>
      <w:r w:rsidR="004D1776">
        <w:t>s</w:t>
      </w:r>
      <w:r w:rsidR="0095648E">
        <w:t xml:space="preserve"> </w:t>
      </w:r>
      <w:r w:rsidR="0095648E">
        <w:br/>
      </w:r>
      <w:r w:rsidR="004D1776">
        <w:t xml:space="preserve">(not including medical practitioners) </w:t>
      </w:r>
    </w:p>
    <w:p w14:paraId="4DBD9006" w14:textId="77777777" w:rsidR="004D1776" w:rsidRDefault="004D1776" w:rsidP="004D1776"/>
    <w:p w14:paraId="7C4B0873" w14:textId="140C6B03" w:rsidR="004D1776" w:rsidRDefault="004D1776" w:rsidP="00872C10">
      <w:pPr>
        <w:pStyle w:val="Introductoryparagraph"/>
      </w:pPr>
      <w:r w:rsidRPr="00B17FA6">
        <w:t>This care pathway describes the steps health practitioners (not including medical practitioners) should take if a person raises assisted dying with them – these align with</w:t>
      </w:r>
      <w:r w:rsidRPr="00B17FA6">
        <w:rPr>
          <w:color w:val="FF0000"/>
        </w:rPr>
        <w:t xml:space="preserve"> </w:t>
      </w:r>
      <w:hyperlink r:id="rId56" w:history="1">
        <w:r w:rsidRPr="00B17FA6">
          <w:rPr>
            <w:rStyle w:val="Hyperlink"/>
          </w:rPr>
          <w:t>Responding when a person raises assisted dying: A conversation guide for registered health professionals</w:t>
        </w:r>
      </w:hyperlink>
      <w:r w:rsidRPr="00B17FA6">
        <w:rPr>
          <w:rStyle w:val="Hyperlink"/>
        </w:rPr>
        <w:t>.</w:t>
      </w:r>
      <w:r w:rsidRPr="00B17FA6">
        <w:t xml:space="preserve"> These interactions </w:t>
      </w:r>
      <w:r w:rsidR="00872C10" w:rsidRPr="00B17FA6">
        <w:br/>
      </w:r>
      <w:r w:rsidRPr="00B17FA6">
        <w:t xml:space="preserve">are prior to the process outlined from </w:t>
      </w:r>
      <w:hyperlink r:id="rId57" w:history="1">
        <w:r w:rsidRPr="00B17FA6">
          <w:rPr>
            <w:rStyle w:val="Hyperlink"/>
          </w:rPr>
          <w:t>section 11 onwards of the Act</w:t>
        </w:r>
      </w:hyperlink>
      <w:r w:rsidRPr="00B17FA6">
        <w:t>.</w:t>
      </w:r>
    </w:p>
    <w:p w14:paraId="65900E8C" w14:textId="77777777" w:rsidR="004D1776" w:rsidRDefault="004D1776" w:rsidP="006E028C"/>
    <w:p w14:paraId="628B0AEA" w14:textId="77777777" w:rsidR="004D1776" w:rsidRDefault="004D1776" w:rsidP="006E028C">
      <w:r>
        <w:t xml:space="preserve">Only medical practitioners can start the process outlined in the Act. Other health practitioners may play a role in supporting a person through the process, or in the case of nurse practitioners in prescribing and administering the medication. </w:t>
      </w:r>
    </w:p>
    <w:p w14:paraId="0B2EAF18" w14:textId="77777777" w:rsidR="004D1776" w:rsidRDefault="004D1776" w:rsidP="006E028C"/>
    <w:p w14:paraId="06FD686D" w14:textId="77777777" w:rsidR="00F91047" w:rsidRDefault="00F91047">
      <w:pPr>
        <w:spacing w:line="240" w:lineRule="auto"/>
      </w:pPr>
      <w:r>
        <w:br w:type="page"/>
      </w:r>
    </w:p>
    <w:p w14:paraId="18FFD768" w14:textId="14832A60" w:rsidR="004D1776" w:rsidRDefault="004D1776" w:rsidP="006E028C">
      <w:r>
        <w:t xml:space="preserve">Health practitioners should consider their willingness to support a person to access assisted dying. Health practitioners may conscientiously object to helping a person access assisted dying. While medical practitioners are legally obliged to disclose a conscientious objection, other health practitioners are not obliged to, but they may choose to. </w:t>
      </w:r>
    </w:p>
    <w:p w14:paraId="29F7604A" w14:textId="77777777" w:rsidR="004D1776" w:rsidRDefault="004D1776" w:rsidP="006E028C"/>
    <w:p w14:paraId="1235B081" w14:textId="77777777" w:rsidR="004D1776" w:rsidRDefault="004D1776" w:rsidP="006E028C">
      <w:r>
        <w:t>Regardless of personal belief, health practitioners should ensure they understand their legal and professional obligations and meet these by ensuring</w:t>
      </w:r>
      <w:r w:rsidRPr="006947EE">
        <w:t xml:space="preserve"> continuity of care is maintained for the person and access to lawful medical treatment</w:t>
      </w:r>
      <w:r>
        <w:t xml:space="preserve"> is not being inhibited</w:t>
      </w:r>
      <w:r w:rsidRPr="006947EE">
        <w:t>.</w:t>
      </w:r>
      <w:r>
        <w:t xml:space="preserve"> This includes being prepared to respond to a person in their care who may raise this with them in a respectful and helpful manner, including knowing where to direct a person who wishes to access this service.</w:t>
      </w:r>
    </w:p>
    <w:p w14:paraId="30C1127E" w14:textId="77777777" w:rsidR="004D1776" w:rsidRDefault="004D1776" w:rsidP="006E028C"/>
    <w:p w14:paraId="79EF2624" w14:textId="77777777" w:rsidR="004D1776" w:rsidRDefault="004D1776" w:rsidP="006E028C">
      <w:r>
        <w:t xml:space="preserve">Health practitioners following this care pathway are advised not to discuss a person’s eligibility for assisted dying. There is a formal process for this that is outlined in the Care pathway for medical and nurse practitioners providing assisted dying services. </w:t>
      </w:r>
    </w:p>
    <w:p w14:paraId="66972006" w14:textId="77777777" w:rsidR="004D1776" w:rsidRDefault="004D1776" w:rsidP="006E028C"/>
    <w:p w14:paraId="4EB46437" w14:textId="611BD4C2" w:rsidR="004D1776" w:rsidRDefault="004D1776" w:rsidP="006E028C">
      <w:r>
        <w:t xml:space="preserve">Health practitioners may consider it appropriate to discuss eligibility if the person raising assisted dying is clearly not eligible, ie, is under 18 years old, is not a New Zealand citizen or does not have a terminal illness. Health practitioners should only discuss eligibility if they are competent and confident to do so. </w:t>
      </w:r>
    </w:p>
    <w:p w14:paraId="79756A3E" w14:textId="77777777" w:rsidR="004D1776" w:rsidRDefault="004D1776" w:rsidP="004D1776"/>
    <w:p w14:paraId="2879CBAE" w14:textId="3B721E84" w:rsidR="004D1776" w:rsidRDefault="004D1776" w:rsidP="004D1776">
      <w:r w:rsidRPr="00B17FA6">
        <w:t xml:space="preserve">It may be helpful for health practitioners to undertake self-reflection on their own feelings and biases towards assisted dying services. For more information see </w:t>
      </w:r>
      <w:hyperlink r:id="rId58" w:history="1">
        <w:r w:rsidRPr="00B17FA6">
          <w:rPr>
            <w:rStyle w:val="Hyperlink"/>
          </w:rPr>
          <w:t>Responding when a person raises assisted dying: A handbook for registered health professionals</w:t>
        </w:r>
      </w:hyperlink>
      <w:r w:rsidRPr="00B17FA6">
        <w:rPr>
          <w:rStyle w:val="Hyperlink"/>
        </w:rPr>
        <w:t>.</w:t>
      </w:r>
    </w:p>
    <w:p w14:paraId="699825D7" w14:textId="77777777" w:rsidR="004D1776" w:rsidRDefault="004D1776" w:rsidP="004D1776">
      <w:pPr>
        <w:rPr>
          <w:b/>
          <w:bCs/>
        </w:rPr>
      </w:pPr>
    </w:p>
    <w:p w14:paraId="63878F20" w14:textId="0CF09202" w:rsidR="00876C6A" w:rsidRDefault="00876C6A" w:rsidP="004D1776">
      <w:pPr>
        <w:rPr>
          <w:b/>
          <w:bCs/>
        </w:rPr>
        <w:sectPr w:rsidR="00876C6A" w:rsidSect="006E028C">
          <w:headerReference w:type="first" r:id="rId59"/>
          <w:footerReference w:type="first" r:id="rId60"/>
          <w:pgSz w:w="11907" w:h="16834" w:code="9"/>
          <w:pgMar w:top="1418" w:right="1701" w:bottom="1134" w:left="1843" w:header="284" w:footer="425" w:gutter="284"/>
          <w:cols w:space="720"/>
          <w:titlePg/>
          <w:docGrid w:linePitch="299"/>
        </w:sectPr>
      </w:pPr>
    </w:p>
    <w:p w14:paraId="628AB250" w14:textId="67EFD348" w:rsidR="004D1776" w:rsidRDefault="00A644CC" w:rsidP="00876C6A">
      <w:r>
        <w:rPr>
          <w:b/>
          <w:bCs/>
          <w:noProof/>
        </w:rPr>
        <w:drawing>
          <wp:anchor distT="0" distB="0" distL="114300" distR="114300" simplePos="0" relativeHeight="251661312" behindDoc="0" locked="0" layoutInCell="1" allowOverlap="1" wp14:anchorId="40CAACE7" wp14:editId="5A3CBAA8">
            <wp:simplePos x="0" y="0"/>
            <wp:positionH relativeFrom="page">
              <wp:posOffset>723900</wp:posOffset>
            </wp:positionH>
            <wp:positionV relativeFrom="page">
              <wp:posOffset>723900</wp:posOffset>
            </wp:positionV>
            <wp:extent cx="9241200" cy="5706000"/>
            <wp:effectExtent l="0" t="0" r="0" b="9525"/>
            <wp:wrapNone/>
            <wp:docPr id="3" name="Picture 3" descr="Care pathway for health practitioners (not including medical practitioners) graphic that shows process from information, preparation, person raises assisted dying, responding to the person and continued duty of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e pathway for health practitioners (not including medical practitioners) graphic that shows process from information, preparation, person raises assisted dying, responding to the person and continued duty of care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41200" cy="570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79248" w14:textId="77777777" w:rsidR="004D1776" w:rsidRDefault="004D1776" w:rsidP="00876C6A"/>
    <w:bookmarkEnd w:id="3"/>
    <w:p w14:paraId="358EBFC3" w14:textId="4D4A1C0A" w:rsidR="004D1776" w:rsidRDefault="004D1776" w:rsidP="004D1776">
      <w:pPr>
        <w:sectPr w:rsidR="004D1776" w:rsidSect="006E028C">
          <w:headerReference w:type="first" r:id="rId62"/>
          <w:footerReference w:type="first" r:id="rId63"/>
          <w:pgSz w:w="16834" w:h="11907" w:orient="landscape" w:code="9"/>
          <w:pgMar w:top="1134" w:right="1134" w:bottom="1134" w:left="1134" w:header="284" w:footer="425" w:gutter="0"/>
          <w:cols w:space="720"/>
          <w:titlePg/>
          <w:docGrid w:linePitch="299"/>
        </w:sectPr>
      </w:pPr>
    </w:p>
    <w:bookmarkStart w:id="4" w:name="_Hlk81927409"/>
    <w:p w14:paraId="5289585A" w14:textId="03A45E87" w:rsidR="00375569" w:rsidRDefault="00F91047" w:rsidP="002A2315">
      <w:r>
        <w:rPr>
          <w:noProof/>
        </w:rPr>
        <mc:AlternateContent>
          <mc:Choice Requires="wps">
            <w:drawing>
              <wp:anchor distT="0" distB="0" distL="114300" distR="114300" simplePos="0" relativeHeight="251659264" behindDoc="0" locked="0" layoutInCell="1" allowOverlap="1" wp14:anchorId="53CB13C5" wp14:editId="66D1A408">
                <wp:simplePos x="0" y="0"/>
                <wp:positionH relativeFrom="column">
                  <wp:posOffset>-1080135</wp:posOffset>
                </wp:positionH>
                <wp:positionV relativeFrom="paragraph">
                  <wp:posOffset>0</wp:posOffset>
                </wp:positionV>
                <wp:extent cx="8091170" cy="5285105"/>
                <wp:effectExtent l="0" t="0" r="0" b="0"/>
                <wp:wrapTopAndBottom/>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1170" cy="5285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C7FCC2" id="Rectangle 4" o:spid="_x0000_s1026" alt="&quot;&quot;" style="position:absolute;margin-left:-85.05pt;margin-top:0;width:637.1pt;height:41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" filled="f" stroked="f" strokeweight="2pt">
                <w10:wrap type="topAndBottom"/>
              </v:rect>
            </w:pict>
          </mc:Fallback>
        </mc:AlternateContent>
      </w:r>
    </w:p>
    <w:p w14:paraId="489CF1D6" w14:textId="47F67908" w:rsidR="00B66CBE" w:rsidRDefault="00B66CBE" w:rsidP="002A2315"/>
    <w:p w14:paraId="4E4D69AF" w14:textId="0ADC380B" w:rsidR="00B66CBE" w:rsidRDefault="00B66CBE" w:rsidP="002A2315"/>
    <w:p w14:paraId="7F6D94A7" w14:textId="29ECCE78" w:rsidR="00B66CBE" w:rsidRDefault="00B66CBE" w:rsidP="002A2315"/>
    <w:p w14:paraId="7CB9988C" w14:textId="77777777" w:rsidR="00B66CBE" w:rsidRDefault="00B66CBE" w:rsidP="002A2315"/>
    <w:p w14:paraId="16702F82" w14:textId="55C27A67" w:rsidR="00375569" w:rsidRDefault="00375569" w:rsidP="002A2315"/>
    <w:p w14:paraId="20DEB1E3" w14:textId="5D8B7E60" w:rsidR="000634E8" w:rsidRDefault="006607BA" w:rsidP="006607BA">
      <w:pPr>
        <w:spacing w:line="240" w:lineRule="auto"/>
        <w:jc w:val="center"/>
      </w:pPr>
      <w:r w:rsidRPr="00DD748F">
        <w:rPr>
          <w:rFonts w:ascii="Cambria" w:hAnsi="Cambria"/>
          <w:noProof/>
          <w:lang w:eastAsia="en-NZ"/>
        </w:rPr>
        <w:drawing>
          <wp:inline distT="0" distB="0" distL="0" distR="0" wp14:anchorId="39CC7CDC" wp14:editId="5DEB6404">
            <wp:extent cx="1346835" cy="664845"/>
            <wp:effectExtent l="0" t="0" r="5715" b="1905"/>
            <wp:docPr id="14" name="Picture 1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inistry of Health 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46835" cy="664845"/>
                    </a:xfrm>
                    <a:prstGeom prst="rect">
                      <a:avLst/>
                    </a:prstGeom>
                    <a:noFill/>
                    <a:ln>
                      <a:noFill/>
                    </a:ln>
                  </pic:spPr>
                </pic:pic>
              </a:graphicData>
            </a:graphic>
          </wp:inline>
        </w:drawing>
      </w:r>
    </w:p>
    <w:p w14:paraId="4B7C21F5" w14:textId="4CF45030" w:rsidR="000A15AE" w:rsidRDefault="000A15AE" w:rsidP="00567037">
      <w:pPr>
        <w:spacing w:before="240"/>
        <w:jc w:val="center"/>
        <w:rPr>
          <w:lang w:eastAsia="en-NZ"/>
        </w:rPr>
      </w:pPr>
      <w:r>
        <w:t>September 2021</w:t>
      </w:r>
      <w:r w:rsidRPr="00DD748F">
        <w:br/>
      </w:r>
      <w:r w:rsidRPr="00DD748F">
        <w:rPr>
          <w:lang w:eastAsia="en-NZ"/>
        </w:rPr>
        <w:t>HP</w:t>
      </w:r>
      <w:bookmarkEnd w:id="4"/>
      <w:r w:rsidR="00305DAC">
        <w:rPr>
          <w:lang w:eastAsia="en-NZ"/>
        </w:rPr>
        <w:t xml:space="preserve"> 7857</w:t>
      </w:r>
    </w:p>
    <w:sectPr w:rsidR="000A15AE" w:rsidSect="006E028C">
      <w:headerReference w:type="default" r:id="rId65"/>
      <w:footerReference w:type="default" r:id="rId66"/>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F7B5B" w14:textId="77777777" w:rsidR="004C35D3" w:rsidRDefault="004C35D3">
      <w:r>
        <w:separator/>
      </w:r>
    </w:p>
    <w:p w14:paraId="3D4C332B" w14:textId="77777777" w:rsidR="004C35D3" w:rsidRDefault="004C35D3"/>
  </w:endnote>
  <w:endnote w:type="continuationSeparator" w:id="0">
    <w:p w14:paraId="3A53F1DB" w14:textId="77777777" w:rsidR="004C35D3" w:rsidRDefault="004C35D3">
      <w:r>
        <w:continuationSeparator/>
      </w:r>
    </w:p>
    <w:p w14:paraId="41722AC3" w14:textId="77777777" w:rsidR="004C35D3" w:rsidRDefault="004C35D3"/>
  </w:endnote>
  <w:endnote w:type="continuationNotice" w:id="1">
    <w:p w14:paraId="3830DADC" w14:textId="77777777" w:rsidR="004C35D3" w:rsidRDefault="004C35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charset w:val="00"/>
    <w:family w:val="swiss"/>
    <w:pitch w:val="variable"/>
    <w:sig w:usb0="20002A87" w:usb1="80000000"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286A2A">
            <w:rPr>
              <w:rStyle w:val="PageNumber"/>
              <w:noProof/>
            </w:rPr>
            <w:t>2</w:t>
          </w:r>
          <w:r w:rsidRPr="00931466">
            <w:rPr>
              <w:rStyle w:val="PageNumber"/>
            </w:rPr>
            <w:fldChar w:fldCharType="end"/>
          </w:r>
        </w:p>
      </w:tc>
      <w:tc>
        <w:tcPr>
          <w:tcW w:w="9072" w:type="dxa"/>
          <w:vAlign w:val="center"/>
        </w:tcPr>
        <w:p w14:paraId="27262A64" w14:textId="77777777" w:rsidR="00D662F8" w:rsidRDefault="00D662F8" w:rsidP="000D58DD">
          <w:pPr>
            <w:pStyle w:val="RectoFooter"/>
            <w:jc w:val="left"/>
          </w:pPr>
          <w:r>
            <w:t>[TITLE]</w:t>
          </w:r>
        </w:p>
      </w:tc>
    </w:tr>
  </w:tbl>
  <w:p w14:paraId="5177CEA2" w14:textId="77777777" w:rsidR="00926083" w:rsidRPr="00571223" w:rsidRDefault="00926083" w:rsidP="00571223">
    <w:pPr>
      <w:pStyle w:val="Verso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140A" w14:textId="77777777" w:rsidR="006E4D14" w:rsidRDefault="006E4D14" w:rsidP="008B401E">
    <w:pPr>
      <w:pStyle w:val="Foote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6E4D14" w:rsidRPr="00CA21B8" w14:paraId="05F7B7F4" w14:textId="77777777" w:rsidTr="006E4D14">
      <w:trPr>
        <w:cantSplit/>
      </w:trPr>
      <w:tc>
        <w:tcPr>
          <w:tcW w:w="8080" w:type="dxa"/>
          <w:vAlign w:val="center"/>
        </w:tcPr>
        <w:p w14:paraId="59A59275" w14:textId="77777777" w:rsidR="006E4D14" w:rsidRPr="00CA21B8" w:rsidRDefault="006E4D14" w:rsidP="008B401E">
          <w:pPr>
            <w:pStyle w:val="RectoFooter"/>
            <w:rPr>
              <w:caps w:val="0"/>
            </w:rPr>
          </w:pPr>
          <w:r w:rsidRPr="001A14AE">
            <w:rPr>
              <w:caps w:val="0"/>
            </w:rPr>
            <w:t>Assisted dying care pathways for health practitioners</w:t>
          </w:r>
        </w:p>
      </w:tc>
      <w:tc>
        <w:tcPr>
          <w:tcW w:w="709" w:type="dxa"/>
          <w:vAlign w:val="center"/>
        </w:tcPr>
        <w:p w14:paraId="3FF06FA4" w14:textId="77777777" w:rsidR="006E4D14" w:rsidRPr="00CA21B8" w:rsidRDefault="006E4D14" w:rsidP="008B401E">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0B58C929" w14:textId="77777777" w:rsidR="006E4D14" w:rsidRPr="008B401E" w:rsidRDefault="006E4D14" w:rsidP="008B401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22563" w14:textId="77777777" w:rsidR="0078149D" w:rsidRDefault="0078149D" w:rsidP="008B401E">
    <w:pPr>
      <w:pStyle w:val="Footer"/>
    </w:pPr>
  </w:p>
  <w:tbl>
    <w:tblPr>
      <w:tblStyle w:val="TableGrid"/>
      <w:tblW w:w="8789" w:type="dxa"/>
      <w:tblInd w:w="49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8149D" w:rsidRPr="00CA21B8" w14:paraId="4F843992" w14:textId="77777777" w:rsidTr="0078149D">
      <w:trPr>
        <w:cantSplit/>
      </w:trPr>
      <w:tc>
        <w:tcPr>
          <w:tcW w:w="8080" w:type="dxa"/>
          <w:vAlign w:val="center"/>
        </w:tcPr>
        <w:p w14:paraId="02D11EC9" w14:textId="77777777" w:rsidR="0078149D" w:rsidRPr="00CA21B8" w:rsidRDefault="0078149D" w:rsidP="008B401E">
          <w:pPr>
            <w:pStyle w:val="RectoFooter"/>
            <w:rPr>
              <w:caps w:val="0"/>
            </w:rPr>
          </w:pPr>
          <w:r w:rsidRPr="001A14AE">
            <w:rPr>
              <w:caps w:val="0"/>
            </w:rPr>
            <w:t>Assisted dying care pathways for health practitioners</w:t>
          </w:r>
        </w:p>
      </w:tc>
      <w:tc>
        <w:tcPr>
          <w:tcW w:w="709" w:type="dxa"/>
          <w:vAlign w:val="center"/>
        </w:tcPr>
        <w:p w14:paraId="2B96B400" w14:textId="77777777" w:rsidR="0078149D" w:rsidRPr="00CA21B8" w:rsidRDefault="0078149D" w:rsidP="008B401E">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1EA17127" w14:textId="77777777" w:rsidR="0078149D" w:rsidRPr="008B401E" w:rsidRDefault="0078149D" w:rsidP="008B401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8149D" w:rsidRPr="00CA21B8" w14:paraId="45770662" w14:textId="77777777" w:rsidTr="00D662F8">
      <w:trPr>
        <w:cantSplit/>
      </w:trPr>
      <w:tc>
        <w:tcPr>
          <w:tcW w:w="8080" w:type="dxa"/>
          <w:vAlign w:val="center"/>
        </w:tcPr>
        <w:p w14:paraId="09119E83" w14:textId="77777777" w:rsidR="0078149D" w:rsidRPr="00CA21B8" w:rsidRDefault="0078149D" w:rsidP="00CA21B8">
          <w:pPr>
            <w:pStyle w:val="RectoFooter"/>
            <w:rPr>
              <w:caps w:val="0"/>
            </w:rPr>
          </w:pPr>
          <w:r w:rsidRPr="001A14AE">
            <w:rPr>
              <w:caps w:val="0"/>
            </w:rPr>
            <w:t>Assisted dying care pathways for health practitioners</w:t>
          </w:r>
        </w:p>
      </w:tc>
      <w:tc>
        <w:tcPr>
          <w:tcW w:w="709" w:type="dxa"/>
          <w:vAlign w:val="center"/>
        </w:tcPr>
        <w:p w14:paraId="03FABED1" w14:textId="77777777" w:rsidR="0078149D" w:rsidRPr="00CA21B8" w:rsidRDefault="0078149D" w:rsidP="00931466">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023CA8C2" w14:textId="77777777" w:rsidR="0078149D" w:rsidRPr="00581EB8" w:rsidRDefault="0078149D"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rsidRPr="00CA21B8" w14:paraId="47337729" w14:textId="77777777" w:rsidTr="00D662F8">
      <w:trPr>
        <w:cantSplit/>
      </w:trPr>
      <w:tc>
        <w:tcPr>
          <w:tcW w:w="8080" w:type="dxa"/>
          <w:vAlign w:val="center"/>
        </w:tcPr>
        <w:p w14:paraId="1A33CBD1" w14:textId="5EF6F8C4" w:rsidR="00D662F8" w:rsidRPr="00CA21B8" w:rsidRDefault="001A14AE" w:rsidP="00CA21B8">
          <w:pPr>
            <w:pStyle w:val="RectoFooter"/>
            <w:rPr>
              <w:caps w:val="0"/>
            </w:rPr>
          </w:pPr>
          <w:r w:rsidRPr="001A14AE">
            <w:rPr>
              <w:caps w:val="0"/>
            </w:rPr>
            <w:t>Assisted dying care pathways for health practitioners</w:t>
          </w:r>
        </w:p>
      </w:tc>
      <w:tc>
        <w:tcPr>
          <w:tcW w:w="709" w:type="dxa"/>
          <w:vAlign w:val="center"/>
        </w:tcPr>
        <w:p w14:paraId="501EC334" w14:textId="77777777" w:rsidR="00D662F8" w:rsidRPr="00CA21B8" w:rsidRDefault="00D662F8" w:rsidP="00931466">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00286A2A" w:rsidRPr="00CA21B8">
            <w:rPr>
              <w:rStyle w:val="PageNumber"/>
              <w:noProof/>
            </w:rPr>
            <w:t>3</w:t>
          </w:r>
          <w:r w:rsidRPr="00CA21B8">
            <w:rPr>
              <w:rStyle w:val="PageNumber"/>
            </w:rPr>
            <w:fldChar w:fldCharType="end"/>
          </w:r>
        </w:p>
      </w:tc>
    </w:tr>
  </w:tbl>
  <w:p w14:paraId="1C6F2E7F" w14:textId="77777777" w:rsidR="00926083" w:rsidRPr="00581EB8" w:rsidRDefault="00926083"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B401E" w:rsidRPr="00CA21B8" w14:paraId="668482D6" w14:textId="77777777" w:rsidTr="001F6B80">
      <w:trPr>
        <w:cantSplit/>
      </w:trPr>
      <w:tc>
        <w:tcPr>
          <w:tcW w:w="8080" w:type="dxa"/>
          <w:vAlign w:val="center"/>
        </w:tcPr>
        <w:p w14:paraId="6B72B236" w14:textId="77777777" w:rsidR="008B401E" w:rsidRPr="00CA21B8" w:rsidRDefault="008B401E" w:rsidP="008B401E">
          <w:pPr>
            <w:pStyle w:val="RectoFooter"/>
            <w:rPr>
              <w:caps w:val="0"/>
            </w:rPr>
          </w:pPr>
          <w:r w:rsidRPr="001A14AE">
            <w:rPr>
              <w:caps w:val="0"/>
            </w:rPr>
            <w:t>Assisted dying care pathways for health practitioners</w:t>
          </w:r>
        </w:p>
      </w:tc>
      <w:tc>
        <w:tcPr>
          <w:tcW w:w="709" w:type="dxa"/>
          <w:vAlign w:val="center"/>
        </w:tcPr>
        <w:p w14:paraId="2A2B9F21" w14:textId="77777777" w:rsidR="008B401E" w:rsidRPr="00CA21B8" w:rsidRDefault="008B401E" w:rsidP="008B401E">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435862C6" w14:textId="77777777" w:rsidR="008B401E" w:rsidRPr="008B401E" w:rsidRDefault="008B401E" w:rsidP="008B40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74817" w:rsidRPr="00CA21B8" w14:paraId="44F2A941" w14:textId="77777777" w:rsidTr="00D662F8">
      <w:trPr>
        <w:cantSplit/>
      </w:trPr>
      <w:tc>
        <w:tcPr>
          <w:tcW w:w="8080" w:type="dxa"/>
          <w:vAlign w:val="center"/>
        </w:tcPr>
        <w:p w14:paraId="4FCC1556" w14:textId="77777777" w:rsidR="00074817" w:rsidRPr="00CA21B8" w:rsidRDefault="00074817" w:rsidP="00CA21B8">
          <w:pPr>
            <w:pStyle w:val="RectoFooter"/>
            <w:rPr>
              <w:caps w:val="0"/>
            </w:rPr>
          </w:pPr>
          <w:r w:rsidRPr="001A14AE">
            <w:rPr>
              <w:caps w:val="0"/>
            </w:rPr>
            <w:t>Assisted dying care pathways for health practitioners</w:t>
          </w:r>
        </w:p>
      </w:tc>
      <w:tc>
        <w:tcPr>
          <w:tcW w:w="709" w:type="dxa"/>
          <w:vAlign w:val="center"/>
        </w:tcPr>
        <w:p w14:paraId="635B69B1" w14:textId="77777777" w:rsidR="00074817" w:rsidRPr="00CA21B8" w:rsidRDefault="00074817" w:rsidP="00931466">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2C54096B" w14:textId="77777777" w:rsidR="00074817" w:rsidRPr="00581EB8" w:rsidRDefault="00074817"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9A03D" w14:textId="77777777" w:rsidR="00074817" w:rsidRDefault="00074817" w:rsidP="008B401E">
    <w:pPr>
      <w:pStyle w:val="Foote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74817" w:rsidRPr="00CA21B8" w14:paraId="6F538A9E" w14:textId="77777777" w:rsidTr="001F6B80">
      <w:trPr>
        <w:cantSplit/>
      </w:trPr>
      <w:tc>
        <w:tcPr>
          <w:tcW w:w="8080" w:type="dxa"/>
          <w:vAlign w:val="center"/>
        </w:tcPr>
        <w:p w14:paraId="0C751337" w14:textId="77777777" w:rsidR="00074817" w:rsidRPr="00CA21B8" w:rsidRDefault="00074817" w:rsidP="008B401E">
          <w:pPr>
            <w:pStyle w:val="RectoFooter"/>
            <w:rPr>
              <w:caps w:val="0"/>
            </w:rPr>
          </w:pPr>
          <w:r w:rsidRPr="001A14AE">
            <w:rPr>
              <w:caps w:val="0"/>
            </w:rPr>
            <w:t>Assisted dying care pathways for health practitioners</w:t>
          </w:r>
        </w:p>
      </w:tc>
      <w:tc>
        <w:tcPr>
          <w:tcW w:w="709" w:type="dxa"/>
          <w:vAlign w:val="center"/>
        </w:tcPr>
        <w:p w14:paraId="026ECA4D" w14:textId="77777777" w:rsidR="00074817" w:rsidRPr="00CA21B8" w:rsidRDefault="00074817" w:rsidP="008B401E">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72F9B467" w14:textId="77777777" w:rsidR="00074817" w:rsidRPr="008B401E" w:rsidRDefault="00074817" w:rsidP="008B40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070B9" w14:textId="77777777" w:rsidR="00074817" w:rsidRDefault="00074817" w:rsidP="008B401E">
    <w:pPr>
      <w:pStyle w:val="Footer"/>
    </w:pPr>
  </w:p>
  <w:tbl>
    <w:tblPr>
      <w:tblStyle w:val="TableGrid"/>
      <w:tblW w:w="8789" w:type="dxa"/>
      <w:tblInd w:w="5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074817" w:rsidRPr="00CA21B8" w14:paraId="39D73748" w14:textId="77777777" w:rsidTr="006E028C">
      <w:trPr>
        <w:cantSplit/>
      </w:trPr>
      <w:tc>
        <w:tcPr>
          <w:tcW w:w="8080" w:type="dxa"/>
          <w:vAlign w:val="center"/>
        </w:tcPr>
        <w:p w14:paraId="12B12647" w14:textId="77777777" w:rsidR="00074817" w:rsidRPr="00CA21B8" w:rsidRDefault="00074817" w:rsidP="008B401E">
          <w:pPr>
            <w:pStyle w:val="RectoFooter"/>
            <w:rPr>
              <w:caps w:val="0"/>
            </w:rPr>
          </w:pPr>
          <w:r w:rsidRPr="001A14AE">
            <w:rPr>
              <w:caps w:val="0"/>
            </w:rPr>
            <w:t>Assisted dying care pathways for health practitioners</w:t>
          </w:r>
        </w:p>
      </w:tc>
      <w:tc>
        <w:tcPr>
          <w:tcW w:w="709" w:type="dxa"/>
          <w:vAlign w:val="center"/>
        </w:tcPr>
        <w:p w14:paraId="311626B2" w14:textId="77777777" w:rsidR="00074817" w:rsidRPr="00CA21B8" w:rsidRDefault="00074817" w:rsidP="008B401E">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10709CFA" w14:textId="77777777" w:rsidR="00074817" w:rsidRPr="008B401E" w:rsidRDefault="00074817" w:rsidP="008B40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B401E" w:rsidRPr="00CA21B8" w14:paraId="457A7783" w14:textId="77777777" w:rsidTr="00D662F8">
      <w:trPr>
        <w:cantSplit/>
      </w:trPr>
      <w:tc>
        <w:tcPr>
          <w:tcW w:w="8080" w:type="dxa"/>
          <w:vAlign w:val="center"/>
        </w:tcPr>
        <w:p w14:paraId="431D9058" w14:textId="77777777" w:rsidR="008B401E" w:rsidRPr="00CA21B8" w:rsidRDefault="008B401E" w:rsidP="00CA21B8">
          <w:pPr>
            <w:pStyle w:val="RectoFooter"/>
            <w:rPr>
              <w:caps w:val="0"/>
            </w:rPr>
          </w:pPr>
          <w:r w:rsidRPr="001A14AE">
            <w:rPr>
              <w:caps w:val="0"/>
            </w:rPr>
            <w:t>Assisted dying care pathways for health practitioners</w:t>
          </w:r>
        </w:p>
      </w:tc>
      <w:tc>
        <w:tcPr>
          <w:tcW w:w="709" w:type="dxa"/>
          <w:vAlign w:val="center"/>
        </w:tcPr>
        <w:p w14:paraId="60375310" w14:textId="77777777" w:rsidR="008B401E" w:rsidRPr="00CA21B8" w:rsidRDefault="008B401E" w:rsidP="00931466">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0647A93F" w14:textId="77777777" w:rsidR="008B401E" w:rsidRPr="00581EB8" w:rsidRDefault="008B401E"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F4A66" w14:textId="2765E354" w:rsidR="008B401E" w:rsidRDefault="008B401E" w:rsidP="008B401E">
    <w:pPr>
      <w:pStyle w:val="Foote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B401E" w:rsidRPr="00CA21B8" w14:paraId="443D8B58" w14:textId="77777777" w:rsidTr="001F6B80">
      <w:trPr>
        <w:cantSplit/>
      </w:trPr>
      <w:tc>
        <w:tcPr>
          <w:tcW w:w="8080" w:type="dxa"/>
          <w:vAlign w:val="center"/>
        </w:tcPr>
        <w:p w14:paraId="3B2D26A8" w14:textId="77777777" w:rsidR="008B401E" w:rsidRPr="00CA21B8" w:rsidRDefault="008B401E" w:rsidP="008B401E">
          <w:pPr>
            <w:pStyle w:val="RectoFooter"/>
            <w:rPr>
              <w:caps w:val="0"/>
            </w:rPr>
          </w:pPr>
          <w:r w:rsidRPr="001A14AE">
            <w:rPr>
              <w:caps w:val="0"/>
            </w:rPr>
            <w:t>Assisted dying care pathways for health practitioners</w:t>
          </w:r>
        </w:p>
      </w:tc>
      <w:tc>
        <w:tcPr>
          <w:tcW w:w="709" w:type="dxa"/>
          <w:vAlign w:val="center"/>
        </w:tcPr>
        <w:p w14:paraId="4E30E13C" w14:textId="77777777" w:rsidR="008B401E" w:rsidRPr="00CA21B8" w:rsidRDefault="008B401E" w:rsidP="008B401E">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0ACED0CE" w14:textId="77777777" w:rsidR="008B401E" w:rsidRPr="008B401E" w:rsidRDefault="008B401E" w:rsidP="008B40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3B061" w14:textId="77777777" w:rsidR="006E4D14" w:rsidRDefault="006E4D14" w:rsidP="008B401E">
    <w:pPr>
      <w:pStyle w:val="Footer"/>
    </w:pPr>
  </w:p>
  <w:tbl>
    <w:tblPr>
      <w:tblStyle w:val="TableGrid"/>
      <w:tblW w:w="8789" w:type="dxa"/>
      <w:tblInd w:w="5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6E4D14" w:rsidRPr="00CA21B8" w14:paraId="6B4F1AA9" w14:textId="77777777" w:rsidTr="006E028C">
      <w:trPr>
        <w:cantSplit/>
      </w:trPr>
      <w:tc>
        <w:tcPr>
          <w:tcW w:w="8080" w:type="dxa"/>
          <w:vAlign w:val="center"/>
        </w:tcPr>
        <w:p w14:paraId="6852600A" w14:textId="77777777" w:rsidR="006E4D14" w:rsidRPr="00CA21B8" w:rsidRDefault="006E4D14" w:rsidP="008B401E">
          <w:pPr>
            <w:pStyle w:val="RectoFooter"/>
            <w:rPr>
              <w:caps w:val="0"/>
            </w:rPr>
          </w:pPr>
          <w:r w:rsidRPr="001A14AE">
            <w:rPr>
              <w:caps w:val="0"/>
            </w:rPr>
            <w:t>Assisted dying care pathways for health practitioners</w:t>
          </w:r>
        </w:p>
      </w:tc>
      <w:tc>
        <w:tcPr>
          <w:tcW w:w="709" w:type="dxa"/>
          <w:vAlign w:val="center"/>
        </w:tcPr>
        <w:p w14:paraId="3B3B4191" w14:textId="77777777" w:rsidR="006E4D14" w:rsidRPr="00CA21B8" w:rsidRDefault="006E4D14" w:rsidP="008B401E">
          <w:pPr>
            <w:pStyle w:val="Footer"/>
            <w:jc w:val="right"/>
            <w:rPr>
              <w:rStyle w:val="PageNumber"/>
            </w:rPr>
          </w:pPr>
          <w:r w:rsidRPr="00CA21B8">
            <w:rPr>
              <w:rStyle w:val="PageNumber"/>
            </w:rPr>
            <w:fldChar w:fldCharType="begin"/>
          </w:r>
          <w:r w:rsidRPr="00CA21B8">
            <w:rPr>
              <w:rStyle w:val="PageNumber"/>
            </w:rPr>
            <w:instrText xml:space="preserve"> PAGE   \* MERGEFORMAT </w:instrText>
          </w:r>
          <w:r w:rsidRPr="00CA21B8">
            <w:rPr>
              <w:rStyle w:val="PageNumber"/>
            </w:rPr>
            <w:fldChar w:fldCharType="separate"/>
          </w:r>
          <w:r w:rsidRPr="00CA21B8">
            <w:rPr>
              <w:rStyle w:val="PageNumber"/>
              <w:noProof/>
            </w:rPr>
            <w:t>3</w:t>
          </w:r>
          <w:r w:rsidRPr="00CA21B8">
            <w:rPr>
              <w:rStyle w:val="PageNumber"/>
            </w:rPr>
            <w:fldChar w:fldCharType="end"/>
          </w:r>
        </w:p>
      </w:tc>
    </w:tr>
  </w:tbl>
  <w:p w14:paraId="54BEAE12" w14:textId="77777777" w:rsidR="006E4D14" w:rsidRPr="008B401E" w:rsidRDefault="006E4D14" w:rsidP="008B4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60C9E" w14:textId="77777777" w:rsidR="004C35D3" w:rsidRPr="00A26E6B" w:rsidRDefault="004C35D3" w:rsidP="00A26E6B"/>
  </w:footnote>
  <w:footnote w:type="continuationSeparator" w:id="0">
    <w:p w14:paraId="14E7AE04" w14:textId="77777777" w:rsidR="004C35D3" w:rsidRDefault="004C35D3">
      <w:r>
        <w:continuationSeparator/>
      </w:r>
    </w:p>
    <w:p w14:paraId="170B87E1" w14:textId="77777777" w:rsidR="004C35D3" w:rsidRDefault="004C35D3"/>
  </w:footnote>
  <w:footnote w:type="continuationNotice" w:id="1">
    <w:p w14:paraId="31415C87" w14:textId="77777777" w:rsidR="004C35D3" w:rsidRDefault="004C35D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6F1BF" w14:textId="63220D7E" w:rsidR="00286D15" w:rsidRDefault="00286D15" w:rsidP="00286D15">
    <w:r>
      <w:rPr>
        <w:noProof/>
      </w:rPr>
      <w:drawing>
        <wp:anchor distT="0" distB="0" distL="114300" distR="114300" simplePos="0" relativeHeight="251658241" behindDoc="0" locked="0" layoutInCell="1" allowOverlap="1" wp14:anchorId="05C65774" wp14:editId="2C6C89BE">
          <wp:simplePos x="0" y="0"/>
          <wp:positionH relativeFrom="column">
            <wp:posOffset>4656455</wp:posOffset>
          </wp:positionH>
          <wp:positionV relativeFrom="page">
            <wp:posOffset>273050</wp:posOffset>
          </wp:positionV>
          <wp:extent cx="1268095" cy="509905"/>
          <wp:effectExtent l="0" t="0" r="8255" b="4445"/>
          <wp:wrapNone/>
          <wp:docPr id="25" name="Picture 25" descr="A close up of a sign&#10;&#10;Description automatically generated">
            <a:extLst xmlns:a="http://schemas.openxmlformats.org/drawingml/2006/main">
              <a:ext uri="{FF2B5EF4-FFF2-40B4-BE49-F238E27FC236}">
                <a16:creationId xmlns:a16="http://schemas.microsoft.com/office/drawing/2014/main" id="{FB8FA3A7-9544-4917-BB0A-9D21B4F58F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close up of a sign&#10;&#10;Description automatically generated">
                    <a:extLst>
                      <a:ext uri="{FF2B5EF4-FFF2-40B4-BE49-F238E27FC236}">
                        <a16:creationId xmlns:a16="http://schemas.microsoft.com/office/drawing/2014/main" id="{FB8FA3A7-9544-4917-BB0A-9D21B4F58F7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68095" cy="509905"/>
                  </a:xfrm>
                  <a:prstGeom prst="rect">
                    <a:avLst/>
                  </a:prstGeom>
                </pic:spPr>
              </pic:pic>
            </a:graphicData>
          </a:graphic>
        </wp:anchor>
      </w:drawing>
    </w:r>
    <w:r>
      <w:rPr>
        <w:noProof/>
      </w:rPr>
      <w:drawing>
        <wp:anchor distT="0" distB="0" distL="114300" distR="114300" simplePos="0" relativeHeight="251658240" behindDoc="0" locked="0" layoutInCell="1" allowOverlap="1" wp14:anchorId="079B2DB2" wp14:editId="559F7F83">
          <wp:simplePos x="0" y="0"/>
          <wp:positionH relativeFrom="column">
            <wp:posOffset>-1369695</wp:posOffset>
          </wp:positionH>
          <wp:positionV relativeFrom="page">
            <wp:posOffset>19050</wp:posOffset>
          </wp:positionV>
          <wp:extent cx="2623185" cy="909320"/>
          <wp:effectExtent l="0" t="0" r="5715" b="5080"/>
          <wp:wrapNone/>
          <wp:docPr id="32" name="Picture 32"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New Zealand Government logo"/>
                  <pic:cNvPicPr>
                    <a:picLocks noChangeAspect="1"/>
                  </pic:cNvPicPr>
                </pic:nvPicPr>
                <pic:blipFill rotWithShape="1">
                  <a:blip r:embed="rId2" cstate="print">
                    <a:extLst>
                      <a:ext uri="{28A0092B-C50C-407E-A947-70E740481C1C}">
                        <a14:useLocalDpi xmlns:a14="http://schemas.microsoft.com/office/drawing/2010/main" val="0"/>
                      </a:ext>
                    </a:extLst>
                  </a:blip>
                  <a:srcRect r="58858"/>
                  <a:stretch/>
                </pic:blipFill>
                <pic:spPr bwMode="auto">
                  <a:xfrm>
                    <a:off x="0" y="0"/>
                    <a:ext cx="2623185" cy="909320"/>
                  </a:xfrm>
                  <a:prstGeom prst="rect">
                    <a:avLst/>
                  </a:prstGeom>
                  <a:ln>
                    <a:noFill/>
                  </a:ln>
                  <a:extLst>
                    <a:ext uri="{53640926-AAD7-44D8-BBD7-CCE9431645EC}">
                      <a14:shadowObscured xmlns:a14="http://schemas.microsoft.com/office/drawing/2010/main"/>
                    </a:ext>
                  </a:extLst>
                </pic:spPr>
              </pic:pic>
            </a:graphicData>
          </a:graphic>
        </wp:anchor>
      </w:drawing>
    </w:r>
  </w:p>
  <w:p w14:paraId="605CCACD" w14:textId="31975251" w:rsidR="00286D15" w:rsidRDefault="00286D15">
    <w:pPr>
      <w:pStyle w:val="Header"/>
    </w:pPr>
    <w:r>
      <w:rPr>
        <w:noProof/>
      </w:rPr>
      <w:drawing>
        <wp:anchor distT="0" distB="0" distL="114300" distR="114300" simplePos="0" relativeHeight="251658242" behindDoc="0" locked="0" layoutInCell="1" allowOverlap="1" wp14:anchorId="33BFB357" wp14:editId="0796515B">
          <wp:simplePos x="0" y="0"/>
          <wp:positionH relativeFrom="column">
            <wp:posOffset>-1337945</wp:posOffset>
          </wp:positionH>
          <wp:positionV relativeFrom="page">
            <wp:posOffset>1079500</wp:posOffset>
          </wp:positionV>
          <wp:extent cx="7559675" cy="895985"/>
          <wp:effectExtent l="0" t="0" r="3175" b="0"/>
          <wp:wrapNone/>
          <wp:docPr id="36" name="Picture 36" descr="Assisted Dying Servic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ssisted Dying Service heade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9675" cy="895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594F2" w14:textId="77777777" w:rsidR="00074817" w:rsidRPr="006E028C" w:rsidRDefault="00074817" w:rsidP="006E02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8F709" w14:textId="77777777" w:rsidR="00074817" w:rsidRPr="006E028C" w:rsidRDefault="00074817" w:rsidP="006E02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FCD6D" w14:textId="50DBBBEA" w:rsidR="008B401E" w:rsidRPr="006E028C" w:rsidRDefault="008B401E" w:rsidP="006E02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5846D" w14:textId="6E2963CB" w:rsidR="004D1776" w:rsidRPr="006E028C" w:rsidRDefault="004D1776" w:rsidP="006E02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8A6E0" w14:textId="77777777" w:rsidR="006E4D14" w:rsidRDefault="006E4D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2B387" w14:textId="77777777" w:rsidR="0078149D" w:rsidRDefault="0078149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835BA" w14:textId="37390443" w:rsidR="00AB74F5" w:rsidRDefault="00AB74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D9AB1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3"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8486789"/>
    <w:multiLevelType w:val="hybridMultilevel"/>
    <w:tmpl w:val="A022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A7091"/>
    <w:multiLevelType w:val="multilevel"/>
    <w:tmpl w:val="42E0E866"/>
    <w:styleLink w:val="CurrentList2"/>
    <w:lvl w:ilvl="0">
      <w:start w:val="1"/>
      <w:numFmt w:val="bullet"/>
      <w:lvlText w:val="4"/>
      <w:lvlJc w:val="left"/>
      <w:pPr>
        <w:ind w:left="720" w:hanging="360"/>
      </w:pPr>
      <w:rPr>
        <w:rFonts w:ascii="Webdings" w:hAnsi="Web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8" w15:restartNumberingAfterBreak="0">
    <w:nsid w:val="151C0CEA"/>
    <w:multiLevelType w:val="hybridMultilevel"/>
    <w:tmpl w:val="2E4A2C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11"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4" w15:restartNumberingAfterBreak="0">
    <w:nsid w:val="21A4476E"/>
    <w:multiLevelType w:val="hybridMultilevel"/>
    <w:tmpl w:val="FC62D6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7"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8"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9"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2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C50667"/>
    <w:multiLevelType w:val="hybridMultilevel"/>
    <w:tmpl w:val="94E0BB8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19521DB"/>
    <w:multiLevelType w:val="hybridMultilevel"/>
    <w:tmpl w:val="ED1026B6"/>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5" w15:restartNumberingAfterBreak="0">
    <w:nsid w:val="4B373D4E"/>
    <w:multiLevelType w:val="multilevel"/>
    <w:tmpl w:val="F3882940"/>
    <w:styleLink w:val="CurrentList4"/>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7"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9" w15:restartNumberingAfterBreak="0">
    <w:nsid w:val="5CFF728E"/>
    <w:multiLevelType w:val="multilevel"/>
    <w:tmpl w:val="6A14141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D76523C"/>
    <w:multiLevelType w:val="hybridMultilevel"/>
    <w:tmpl w:val="2BB40AB8"/>
    <w:lvl w:ilvl="0" w:tplc="14090001">
      <w:start w:val="1"/>
      <w:numFmt w:val="bullet"/>
      <w:lvlText w:val=""/>
      <w:lvlJc w:val="left"/>
      <w:pPr>
        <w:ind w:left="863" w:hanging="360"/>
      </w:pPr>
      <w:rPr>
        <w:rFonts w:ascii="Symbol" w:hAnsi="Symbol" w:hint="default"/>
      </w:rPr>
    </w:lvl>
    <w:lvl w:ilvl="1" w:tplc="14090003" w:tentative="1">
      <w:start w:val="1"/>
      <w:numFmt w:val="bullet"/>
      <w:lvlText w:val="o"/>
      <w:lvlJc w:val="left"/>
      <w:pPr>
        <w:ind w:left="1583" w:hanging="360"/>
      </w:pPr>
      <w:rPr>
        <w:rFonts w:ascii="Courier New" w:hAnsi="Courier New" w:cs="Courier New" w:hint="default"/>
      </w:rPr>
    </w:lvl>
    <w:lvl w:ilvl="2" w:tplc="14090005" w:tentative="1">
      <w:start w:val="1"/>
      <w:numFmt w:val="bullet"/>
      <w:lvlText w:val=""/>
      <w:lvlJc w:val="left"/>
      <w:pPr>
        <w:ind w:left="2303" w:hanging="360"/>
      </w:pPr>
      <w:rPr>
        <w:rFonts w:ascii="Wingdings" w:hAnsi="Wingdings" w:hint="default"/>
      </w:rPr>
    </w:lvl>
    <w:lvl w:ilvl="3" w:tplc="14090001" w:tentative="1">
      <w:start w:val="1"/>
      <w:numFmt w:val="bullet"/>
      <w:lvlText w:val=""/>
      <w:lvlJc w:val="left"/>
      <w:pPr>
        <w:ind w:left="3023" w:hanging="360"/>
      </w:pPr>
      <w:rPr>
        <w:rFonts w:ascii="Symbol" w:hAnsi="Symbol" w:hint="default"/>
      </w:rPr>
    </w:lvl>
    <w:lvl w:ilvl="4" w:tplc="14090003" w:tentative="1">
      <w:start w:val="1"/>
      <w:numFmt w:val="bullet"/>
      <w:lvlText w:val="o"/>
      <w:lvlJc w:val="left"/>
      <w:pPr>
        <w:ind w:left="3743" w:hanging="360"/>
      </w:pPr>
      <w:rPr>
        <w:rFonts w:ascii="Courier New" w:hAnsi="Courier New" w:cs="Courier New" w:hint="default"/>
      </w:rPr>
    </w:lvl>
    <w:lvl w:ilvl="5" w:tplc="14090005" w:tentative="1">
      <w:start w:val="1"/>
      <w:numFmt w:val="bullet"/>
      <w:lvlText w:val=""/>
      <w:lvlJc w:val="left"/>
      <w:pPr>
        <w:ind w:left="4463" w:hanging="360"/>
      </w:pPr>
      <w:rPr>
        <w:rFonts w:ascii="Wingdings" w:hAnsi="Wingdings" w:hint="default"/>
      </w:rPr>
    </w:lvl>
    <w:lvl w:ilvl="6" w:tplc="14090001" w:tentative="1">
      <w:start w:val="1"/>
      <w:numFmt w:val="bullet"/>
      <w:lvlText w:val=""/>
      <w:lvlJc w:val="left"/>
      <w:pPr>
        <w:ind w:left="5183" w:hanging="360"/>
      </w:pPr>
      <w:rPr>
        <w:rFonts w:ascii="Symbol" w:hAnsi="Symbol" w:hint="default"/>
      </w:rPr>
    </w:lvl>
    <w:lvl w:ilvl="7" w:tplc="14090003" w:tentative="1">
      <w:start w:val="1"/>
      <w:numFmt w:val="bullet"/>
      <w:lvlText w:val="o"/>
      <w:lvlJc w:val="left"/>
      <w:pPr>
        <w:ind w:left="5903" w:hanging="360"/>
      </w:pPr>
      <w:rPr>
        <w:rFonts w:ascii="Courier New" w:hAnsi="Courier New" w:cs="Courier New" w:hint="default"/>
      </w:rPr>
    </w:lvl>
    <w:lvl w:ilvl="8" w:tplc="14090005" w:tentative="1">
      <w:start w:val="1"/>
      <w:numFmt w:val="bullet"/>
      <w:lvlText w:val=""/>
      <w:lvlJc w:val="left"/>
      <w:pPr>
        <w:ind w:left="6623" w:hanging="360"/>
      </w:pPr>
      <w:rPr>
        <w:rFonts w:ascii="Wingdings" w:hAnsi="Wingdings" w:hint="default"/>
      </w:rPr>
    </w:lvl>
  </w:abstractNum>
  <w:abstractNum w:abstractNumId="3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32" w15:restartNumberingAfterBreak="0">
    <w:nsid w:val="63F32FD7"/>
    <w:multiLevelType w:val="multilevel"/>
    <w:tmpl w:val="ED1026B6"/>
    <w:styleLink w:val="CurrentList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34"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35"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36"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7"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7C17027"/>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40"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7BA95399"/>
    <w:multiLevelType w:val="hybridMultilevel"/>
    <w:tmpl w:val="42E0E866"/>
    <w:lvl w:ilvl="0" w:tplc="3CC6EC08">
      <w:start w:val="1"/>
      <w:numFmt w:val="bullet"/>
      <w:pStyle w:val="Flowchartbullets"/>
      <w:lvlText w:val="4"/>
      <w:lvlJc w:val="left"/>
      <w:pPr>
        <w:ind w:left="1636" w:hanging="360"/>
      </w:pPr>
      <w:rPr>
        <w:rFonts w:ascii="Webdings" w:hAnsi="Web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43"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44"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2"/>
  </w:num>
  <w:num w:numId="2">
    <w:abstractNumId w:val="33"/>
  </w:num>
  <w:num w:numId="3">
    <w:abstractNumId w:val="20"/>
  </w:num>
  <w:num w:numId="4">
    <w:abstractNumId w:val="21"/>
  </w:num>
  <w:num w:numId="5">
    <w:abstractNumId w:val="1"/>
  </w:num>
  <w:num w:numId="6">
    <w:abstractNumId w:val="44"/>
  </w:num>
  <w:num w:numId="7">
    <w:abstractNumId w:val="17"/>
  </w:num>
  <w:num w:numId="8">
    <w:abstractNumId w:val="3"/>
  </w:num>
  <w:num w:numId="9">
    <w:abstractNumId w:val="40"/>
  </w:num>
  <w:num w:numId="10">
    <w:abstractNumId w:val="2"/>
  </w:num>
  <w:num w:numId="11">
    <w:abstractNumId w:val="37"/>
  </w:num>
  <w:num w:numId="12">
    <w:abstractNumId w:val="6"/>
  </w:num>
  <w:num w:numId="13">
    <w:abstractNumId w:val="11"/>
  </w:num>
  <w:num w:numId="14">
    <w:abstractNumId w:val="9"/>
  </w:num>
  <w:num w:numId="15">
    <w:abstractNumId w:val="12"/>
  </w:num>
  <w:num w:numId="16">
    <w:abstractNumId w:val="27"/>
  </w:num>
  <w:num w:numId="17">
    <w:abstractNumId w:val="15"/>
  </w:num>
  <w:num w:numId="18">
    <w:abstractNumId w:val="35"/>
  </w:num>
  <w:num w:numId="19">
    <w:abstractNumId w:val="16"/>
  </w:num>
  <w:num w:numId="20">
    <w:abstractNumId w:val="26"/>
  </w:num>
  <w:num w:numId="21">
    <w:abstractNumId w:val="10"/>
  </w:num>
  <w:num w:numId="22">
    <w:abstractNumId w:val="7"/>
  </w:num>
  <w:num w:numId="23">
    <w:abstractNumId w:val="31"/>
  </w:num>
  <w:num w:numId="24">
    <w:abstractNumId w:val="28"/>
  </w:num>
  <w:num w:numId="25">
    <w:abstractNumId w:val="43"/>
  </w:num>
  <w:num w:numId="26">
    <w:abstractNumId w:val="18"/>
  </w:num>
  <w:num w:numId="27">
    <w:abstractNumId w:val="36"/>
  </w:num>
  <w:num w:numId="28">
    <w:abstractNumId w:val="34"/>
  </w:num>
  <w:num w:numId="29">
    <w:abstractNumId w:val="24"/>
  </w:num>
  <w:num w:numId="30">
    <w:abstractNumId w:val="13"/>
  </w:num>
  <w:num w:numId="31">
    <w:abstractNumId w:val="39"/>
  </w:num>
  <w:num w:numId="32">
    <w:abstractNumId w:val="19"/>
  </w:num>
  <w:num w:numId="33">
    <w:abstractNumId w:val="38"/>
  </w:num>
  <w:num w:numId="34">
    <w:abstractNumId w:val="41"/>
  </w:num>
  <w:num w:numId="35">
    <w:abstractNumId w:val="30"/>
  </w:num>
  <w:num w:numId="36">
    <w:abstractNumId w:val="29"/>
  </w:num>
  <w:num w:numId="37">
    <w:abstractNumId w:val="41"/>
    <w:lvlOverride w:ilvl="0">
      <w:startOverride w:val="1"/>
    </w:lvlOverride>
  </w:num>
  <w:num w:numId="38">
    <w:abstractNumId w:val="5"/>
  </w:num>
  <w:num w:numId="39">
    <w:abstractNumId w:val="23"/>
  </w:num>
  <w:num w:numId="40">
    <w:abstractNumId w:val="32"/>
  </w:num>
  <w:num w:numId="41">
    <w:abstractNumId w:val="8"/>
  </w:num>
  <w:num w:numId="42">
    <w:abstractNumId w:val="25"/>
  </w:num>
  <w:num w:numId="43">
    <w:abstractNumId w:val="14"/>
  </w:num>
  <w:num w:numId="44">
    <w:abstractNumId w:val="4"/>
  </w:num>
  <w:num w:numId="45">
    <w:abstractNumId w:val="22"/>
  </w:num>
  <w:num w:numId="4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25B8"/>
    <w:rsid w:val="00003E68"/>
    <w:rsid w:val="00005BB5"/>
    <w:rsid w:val="00013E85"/>
    <w:rsid w:val="00025A6F"/>
    <w:rsid w:val="0002618D"/>
    <w:rsid w:val="00030B26"/>
    <w:rsid w:val="00030E84"/>
    <w:rsid w:val="000326AD"/>
    <w:rsid w:val="00032C0A"/>
    <w:rsid w:val="00035257"/>
    <w:rsid w:val="00035D68"/>
    <w:rsid w:val="00040F12"/>
    <w:rsid w:val="00050EEB"/>
    <w:rsid w:val="00053614"/>
    <w:rsid w:val="00054B44"/>
    <w:rsid w:val="00055EDD"/>
    <w:rsid w:val="0006228D"/>
    <w:rsid w:val="000634E8"/>
    <w:rsid w:val="00072BD6"/>
    <w:rsid w:val="00074817"/>
    <w:rsid w:val="00075B78"/>
    <w:rsid w:val="000763E9"/>
    <w:rsid w:val="00082CD6"/>
    <w:rsid w:val="0008437D"/>
    <w:rsid w:val="00085AFE"/>
    <w:rsid w:val="00094800"/>
    <w:rsid w:val="00096B29"/>
    <w:rsid w:val="000A15AE"/>
    <w:rsid w:val="000A41ED"/>
    <w:rsid w:val="000B0730"/>
    <w:rsid w:val="000D19F4"/>
    <w:rsid w:val="000D1E9E"/>
    <w:rsid w:val="000D58DD"/>
    <w:rsid w:val="000F2AE2"/>
    <w:rsid w:val="000F2BFF"/>
    <w:rsid w:val="00102063"/>
    <w:rsid w:val="0010541C"/>
    <w:rsid w:val="00106F93"/>
    <w:rsid w:val="00111D50"/>
    <w:rsid w:val="00113B8E"/>
    <w:rsid w:val="0012053C"/>
    <w:rsid w:val="00122363"/>
    <w:rsid w:val="00125EAD"/>
    <w:rsid w:val="001342C7"/>
    <w:rsid w:val="0013585C"/>
    <w:rsid w:val="00140868"/>
    <w:rsid w:val="00142261"/>
    <w:rsid w:val="00142954"/>
    <w:rsid w:val="001460E0"/>
    <w:rsid w:val="001472F0"/>
    <w:rsid w:val="0014744A"/>
    <w:rsid w:val="00147F71"/>
    <w:rsid w:val="00150A6E"/>
    <w:rsid w:val="001601CB"/>
    <w:rsid w:val="0016304B"/>
    <w:rsid w:val="0016468A"/>
    <w:rsid w:val="001667AF"/>
    <w:rsid w:val="001708A0"/>
    <w:rsid w:val="00174872"/>
    <w:rsid w:val="0018662D"/>
    <w:rsid w:val="00197427"/>
    <w:rsid w:val="001A09C3"/>
    <w:rsid w:val="001A14AE"/>
    <w:rsid w:val="001A21B4"/>
    <w:rsid w:val="001A5CF5"/>
    <w:rsid w:val="001B09D9"/>
    <w:rsid w:val="001B39D2"/>
    <w:rsid w:val="001B4BF8"/>
    <w:rsid w:val="001C136C"/>
    <w:rsid w:val="001C2B9E"/>
    <w:rsid w:val="001C4326"/>
    <w:rsid w:val="001C665E"/>
    <w:rsid w:val="001D3541"/>
    <w:rsid w:val="001D3E4E"/>
    <w:rsid w:val="001E254A"/>
    <w:rsid w:val="001E7386"/>
    <w:rsid w:val="001F45A7"/>
    <w:rsid w:val="001F6B80"/>
    <w:rsid w:val="00201A01"/>
    <w:rsid w:val="0020754B"/>
    <w:rsid w:val="002104D3"/>
    <w:rsid w:val="00210C66"/>
    <w:rsid w:val="00213A33"/>
    <w:rsid w:val="0021748F"/>
    <w:rsid w:val="0021763B"/>
    <w:rsid w:val="00241CE0"/>
    <w:rsid w:val="002439FF"/>
    <w:rsid w:val="0024645D"/>
    <w:rsid w:val="00246DB1"/>
    <w:rsid w:val="002476B5"/>
    <w:rsid w:val="002520CC"/>
    <w:rsid w:val="00253ECF"/>
    <w:rsid w:val="002546A1"/>
    <w:rsid w:val="00255FCC"/>
    <w:rsid w:val="002609CD"/>
    <w:rsid w:val="002628F4"/>
    <w:rsid w:val="00262A1C"/>
    <w:rsid w:val="00275D08"/>
    <w:rsid w:val="002858E3"/>
    <w:rsid w:val="00286A2A"/>
    <w:rsid w:val="00286D15"/>
    <w:rsid w:val="0029190A"/>
    <w:rsid w:val="00292C5A"/>
    <w:rsid w:val="00295241"/>
    <w:rsid w:val="002A2315"/>
    <w:rsid w:val="002A4DFC"/>
    <w:rsid w:val="002B047D"/>
    <w:rsid w:val="002B732B"/>
    <w:rsid w:val="002B76A7"/>
    <w:rsid w:val="002C2219"/>
    <w:rsid w:val="002C2552"/>
    <w:rsid w:val="002C380A"/>
    <w:rsid w:val="002D0DF2"/>
    <w:rsid w:val="002D23BD"/>
    <w:rsid w:val="002E0B47"/>
    <w:rsid w:val="002F4685"/>
    <w:rsid w:val="002F5CEA"/>
    <w:rsid w:val="002F7213"/>
    <w:rsid w:val="0030382F"/>
    <w:rsid w:val="003039F1"/>
    <w:rsid w:val="0030408D"/>
    <w:rsid w:val="00305DAC"/>
    <w:rsid w:val="003060E4"/>
    <w:rsid w:val="003160E7"/>
    <w:rsid w:val="0031739E"/>
    <w:rsid w:val="003309CA"/>
    <w:rsid w:val="003310A8"/>
    <w:rsid w:val="003325AB"/>
    <w:rsid w:val="003332D1"/>
    <w:rsid w:val="0033412B"/>
    <w:rsid w:val="00334F6A"/>
    <w:rsid w:val="00341161"/>
    <w:rsid w:val="00343365"/>
    <w:rsid w:val="003445F4"/>
    <w:rsid w:val="00353501"/>
    <w:rsid w:val="00353734"/>
    <w:rsid w:val="00355125"/>
    <w:rsid w:val="00356274"/>
    <w:rsid w:val="003606F8"/>
    <w:rsid w:val="003648EF"/>
    <w:rsid w:val="003673E6"/>
    <w:rsid w:val="00375569"/>
    <w:rsid w:val="0037599E"/>
    <w:rsid w:val="00377264"/>
    <w:rsid w:val="003779D2"/>
    <w:rsid w:val="00385E38"/>
    <w:rsid w:val="00397B4D"/>
    <w:rsid w:val="00397BB2"/>
    <w:rsid w:val="003A26A5"/>
    <w:rsid w:val="003A3761"/>
    <w:rsid w:val="003A512D"/>
    <w:rsid w:val="003A5FEA"/>
    <w:rsid w:val="003B1138"/>
    <w:rsid w:val="003B1D10"/>
    <w:rsid w:val="003B41A1"/>
    <w:rsid w:val="003C76D4"/>
    <w:rsid w:val="003D137D"/>
    <w:rsid w:val="003D2CC5"/>
    <w:rsid w:val="003E04C1"/>
    <w:rsid w:val="003E0887"/>
    <w:rsid w:val="003E0953"/>
    <w:rsid w:val="003E74C8"/>
    <w:rsid w:val="003E7C46"/>
    <w:rsid w:val="003F2106"/>
    <w:rsid w:val="003F4697"/>
    <w:rsid w:val="003F52A7"/>
    <w:rsid w:val="003F7013"/>
    <w:rsid w:val="0040240C"/>
    <w:rsid w:val="00410E73"/>
    <w:rsid w:val="00413021"/>
    <w:rsid w:val="004221D4"/>
    <w:rsid w:val="004234AF"/>
    <w:rsid w:val="004301C6"/>
    <w:rsid w:val="0043478F"/>
    <w:rsid w:val="0043602B"/>
    <w:rsid w:val="00440BE0"/>
    <w:rsid w:val="00442C1C"/>
    <w:rsid w:val="004453B7"/>
    <w:rsid w:val="0044584B"/>
    <w:rsid w:val="00447CB7"/>
    <w:rsid w:val="00455CC9"/>
    <w:rsid w:val="00460826"/>
    <w:rsid w:val="00460EA7"/>
    <w:rsid w:val="0046195B"/>
    <w:rsid w:val="0046362D"/>
    <w:rsid w:val="0046596D"/>
    <w:rsid w:val="004674AB"/>
    <w:rsid w:val="00487C04"/>
    <w:rsid w:val="004904EB"/>
    <w:rsid w:val="004907E1"/>
    <w:rsid w:val="004A035B"/>
    <w:rsid w:val="004A13B5"/>
    <w:rsid w:val="004A2108"/>
    <w:rsid w:val="004A3648"/>
    <w:rsid w:val="004A38D7"/>
    <w:rsid w:val="004A778C"/>
    <w:rsid w:val="004B2FD7"/>
    <w:rsid w:val="004B48C7"/>
    <w:rsid w:val="004B5B84"/>
    <w:rsid w:val="004C2E6A"/>
    <w:rsid w:val="004C35D3"/>
    <w:rsid w:val="004C4970"/>
    <w:rsid w:val="004C64B8"/>
    <w:rsid w:val="004C74A9"/>
    <w:rsid w:val="004D1776"/>
    <w:rsid w:val="004D2A2D"/>
    <w:rsid w:val="004D479F"/>
    <w:rsid w:val="004D6689"/>
    <w:rsid w:val="004E1D1D"/>
    <w:rsid w:val="004E7AC8"/>
    <w:rsid w:val="004F0C94"/>
    <w:rsid w:val="004F4A66"/>
    <w:rsid w:val="005007D3"/>
    <w:rsid w:val="005019AE"/>
    <w:rsid w:val="00503749"/>
    <w:rsid w:val="00504CF4"/>
    <w:rsid w:val="0050635B"/>
    <w:rsid w:val="005151C2"/>
    <w:rsid w:val="005217AA"/>
    <w:rsid w:val="00525510"/>
    <w:rsid w:val="0053199F"/>
    <w:rsid w:val="00531E12"/>
    <w:rsid w:val="00533B90"/>
    <w:rsid w:val="005410F8"/>
    <w:rsid w:val="005448EC"/>
    <w:rsid w:val="00545963"/>
    <w:rsid w:val="00550256"/>
    <w:rsid w:val="00553165"/>
    <w:rsid w:val="00553958"/>
    <w:rsid w:val="00556BB7"/>
    <w:rsid w:val="0055763D"/>
    <w:rsid w:val="00561516"/>
    <w:rsid w:val="005621F2"/>
    <w:rsid w:val="00567037"/>
    <w:rsid w:val="00567B58"/>
    <w:rsid w:val="00571223"/>
    <w:rsid w:val="005763E0"/>
    <w:rsid w:val="00581136"/>
    <w:rsid w:val="00581EB8"/>
    <w:rsid w:val="005A27CA"/>
    <w:rsid w:val="005A43BD"/>
    <w:rsid w:val="005A79E5"/>
    <w:rsid w:val="005C33B4"/>
    <w:rsid w:val="005D034C"/>
    <w:rsid w:val="005E226E"/>
    <w:rsid w:val="005E2636"/>
    <w:rsid w:val="005E4901"/>
    <w:rsid w:val="005F39F0"/>
    <w:rsid w:val="005F6360"/>
    <w:rsid w:val="005F77FC"/>
    <w:rsid w:val="00600195"/>
    <w:rsid w:val="006015D7"/>
    <w:rsid w:val="00601B21"/>
    <w:rsid w:val="006041F0"/>
    <w:rsid w:val="00605C6D"/>
    <w:rsid w:val="00610AFB"/>
    <w:rsid w:val="006120CA"/>
    <w:rsid w:val="00613BF4"/>
    <w:rsid w:val="00624174"/>
    <w:rsid w:val="006266D4"/>
    <w:rsid w:val="00626CF8"/>
    <w:rsid w:val="006314AF"/>
    <w:rsid w:val="00634ED8"/>
    <w:rsid w:val="006362D1"/>
    <w:rsid w:val="00636D7D"/>
    <w:rsid w:val="00637408"/>
    <w:rsid w:val="006409BA"/>
    <w:rsid w:val="00642637"/>
    <w:rsid w:val="00642868"/>
    <w:rsid w:val="00647AFE"/>
    <w:rsid w:val="0065114A"/>
    <w:rsid w:val="006512BC"/>
    <w:rsid w:val="00653A5A"/>
    <w:rsid w:val="006554AC"/>
    <w:rsid w:val="006575F4"/>
    <w:rsid w:val="006579E6"/>
    <w:rsid w:val="00660682"/>
    <w:rsid w:val="006607BA"/>
    <w:rsid w:val="00660F74"/>
    <w:rsid w:val="00663EDC"/>
    <w:rsid w:val="00671078"/>
    <w:rsid w:val="006758CA"/>
    <w:rsid w:val="00680A04"/>
    <w:rsid w:val="00686B99"/>
    <w:rsid w:val="00686D80"/>
    <w:rsid w:val="00694895"/>
    <w:rsid w:val="00697E2E"/>
    <w:rsid w:val="006A25A2"/>
    <w:rsid w:val="006A3595"/>
    <w:rsid w:val="006A3B87"/>
    <w:rsid w:val="006B0E73"/>
    <w:rsid w:val="006B1E3D"/>
    <w:rsid w:val="006B4A4D"/>
    <w:rsid w:val="006B5695"/>
    <w:rsid w:val="006B5D12"/>
    <w:rsid w:val="006B7B2E"/>
    <w:rsid w:val="006B7BCB"/>
    <w:rsid w:val="006C78EB"/>
    <w:rsid w:val="006D1660"/>
    <w:rsid w:val="006D63E5"/>
    <w:rsid w:val="006E028C"/>
    <w:rsid w:val="006E1753"/>
    <w:rsid w:val="006E3911"/>
    <w:rsid w:val="006E4D14"/>
    <w:rsid w:val="006F0999"/>
    <w:rsid w:val="006F1B67"/>
    <w:rsid w:val="006F4D9C"/>
    <w:rsid w:val="006F6571"/>
    <w:rsid w:val="0070091D"/>
    <w:rsid w:val="00702854"/>
    <w:rsid w:val="00714052"/>
    <w:rsid w:val="0071741C"/>
    <w:rsid w:val="007219FB"/>
    <w:rsid w:val="00723C65"/>
    <w:rsid w:val="00742B90"/>
    <w:rsid w:val="0074434D"/>
    <w:rsid w:val="00755EDF"/>
    <w:rsid w:val="007570C4"/>
    <w:rsid w:val="007605B8"/>
    <w:rsid w:val="00771B1E"/>
    <w:rsid w:val="00773C95"/>
    <w:rsid w:val="00780807"/>
    <w:rsid w:val="00780FE3"/>
    <w:rsid w:val="0078149D"/>
    <w:rsid w:val="0078171E"/>
    <w:rsid w:val="0078658E"/>
    <w:rsid w:val="007920E2"/>
    <w:rsid w:val="0079566E"/>
    <w:rsid w:val="00795B34"/>
    <w:rsid w:val="007967E2"/>
    <w:rsid w:val="007A067F"/>
    <w:rsid w:val="007B1770"/>
    <w:rsid w:val="007B4D3E"/>
    <w:rsid w:val="007B7C70"/>
    <w:rsid w:val="007B7DEB"/>
    <w:rsid w:val="007C0449"/>
    <w:rsid w:val="007C0DC5"/>
    <w:rsid w:val="007C31B2"/>
    <w:rsid w:val="007C424F"/>
    <w:rsid w:val="007D2151"/>
    <w:rsid w:val="007D3B90"/>
    <w:rsid w:val="007D42CC"/>
    <w:rsid w:val="007D5DE4"/>
    <w:rsid w:val="007D63C3"/>
    <w:rsid w:val="007D6F21"/>
    <w:rsid w:val="007D7C3A"/>
    <w:rsid w:val="007E0777"/>
    <w:rsid w:val="007E1341"/>
    <w:rsid w:val="007E1B41"/>
    <w:rsid w:val="007E1EC4"/>
    <w:rsid w:val="007E30B9"/>
    <w:rsid w:val="007E4089"/>
    <w:rsid w:val="007E74F1"/>
    <w:rsid w:val="007F0F0C"/>
    <w:rsid w:val="007F1288"/>
    <w:rsid w:val="007F1D45"/>
    <w:rsid w:val="007F524F"/>
    <w:rsid w:val="00800A8A"/>
    <w:rsid w:val="0080155C"/>
    <w:rsid w:val="008052E1"/>
    <w:rsid w:val="008174AC"/>
    <w:rsid w:val="00817CCE"/>
    <w:rsid w:val="008202E3"/>
    <w:rsid w:val="0082201D"/>
    <w:rsid w:val="00822F2C"/>
    <w:rsid w:val="00823DEE"/>
    <w:rsid w:val="008305E8"/>
    <w:rsid w:val="00833AAE"/>
    <w:rsid w:val="00834C1A"/>
    <w:rsid w:val="00836165"/>
    <w:rsid w:val="0084640C"/>
    <w:rsid w:val="00856088"/>
    <w:rsid w:val="00860826"/>
    <w:rsid w:val="00860E21"/>
    <w:rsid w:val="00862499"/>
    <w:rsid w:val="00863117"/>
    <w:rsid w:val="0086388B"/>
    <w:rsid w:val="008642E5"/>
    <w:rsid w:val="00864488"/>
    <w:rsid w:val="00865841"/>
    <w:rsid w:val="00870A36"/>
    <w:rsid w:val="00872C10"/>
    <w:rsid w:val="00872D93"/>
    <w:rsid w:val="00876C6A"/>
    <w:rsid w:val="00877B79"/>
    <w:rsid w:val="00877CA4"/>
    <w:rsid w:val="00880470"/>
    <w:rsid w:val="00880D94"/>
    <w:rsid w:val="00881E0F"/>
    <w:rsid w:val="00886F64"/>
    <w:rsid w:val="008924DE"/>
    <w:rsid w:val="00893582"/>
    <w:rsid w:val="008A3755"/>
    <w:rsid w:val="008B19DC"/>
    <w:rsid w:val="008B264F"/>
    <w:rsid w:val="008B401E"/>
    <w:rsid w:val="008B6F83"/>
    <w:rsid w:val="008B7FD8"/>
    <w:rsid w:val="008C2973"/>
    <w:rsid w:val="008C6324"/>
    <w:rsid w:val="008C64C4"/>
    <w:rsid w:val="008D2CDD"/>
    <w:rsid w:val="008D74D5"/>
    <w:rsid w:val="008E0ED1"/>
    <w:rsid w:val="008E3A07"/>
    <w:rsid w:val="008E537B"/>
    <w:rsid w:val="008E5748"/>
    <w:rsid w:val="008F29BE"/>
    <w:rsid w:val="008F4AE5"/>
    <w:rsid w:val="008F51EB"/>
    <w:rsid w:val="00900197"/>
    <w:rsid w:val="00902F55"/>
    <w:rsid w:val="0090582B"/>
    <w:rsid w:val="009060C0"/>
    <w:rsid w:val="009133F5"/>
    <w:rsid w:val="0091756F"/>
    <w:rsid w:val="00920A27"/>
    <w:rsid w:val="00921216"/>
    <w:rsid w:val="009216CC"/>
    <w:rsid w:val="00926083"/>
    <w:rsid w:val="00927C77"/>
    <w:rsid w:val="00930D08"/>
    <w:rsid w:val="00931466"/>
    <w:rsid w:val="00932D69"/>
    <w:rsid w:val="00935589"/>
    <w:rsid w:val="009445A2"/>
    <w:rsid w:val="00944647"/>
    <w:rsid w:val="00945920"/>
    <w:rsid w:val="0095565C"/>
    <w:rsid w:val="0095648E"/>
    <w:rsid w:val="0095719D"/>
    <w:rsid w:val="00964084"/>
    <w:rsid w:val="00964AB6"/>
    <w:rsid w:val="00966F9A"/>
    <w:rsid w:val="00977B8A"/>
    <w:rsid w:val="00982048"/>
    <w:rsid w:val="00982971"/>
    <w:rsid w:val="009845AD"/>
    <w:rsid w:val="00984835"/>
    <w:rsid w:val="009859AB"/>
    <w:rsid w:val="009933EF"/>
    <w:rsid w:val="00995BA0"/>
    <w:rsid w:val="009A418B"/>
    <w:rsid w:val="009A426F"/>
    <w:rsid w:val="009A42D5"/>
    <w:rsid w:val="009A4473"/>
    <w:rsid w:val="009B05C9"/>
    <w:rsid w:val="009B286C"/>
    <w:rsid w:val="009C151C"/>
    <w:rsid w:val="009C440A"/>
    <w:rsid w:val="009C5E40"/>
    <w:rsid w:val="009D5125"/>
    <w:rsid w:val="009D60B8"/>
    <w:rsid w:val="009D7D4B"/>
    <w:rsid w:val="009E36ED"/>
    <w:rsid w:val="009E3C8C"/>
    <w:rsid w:val="009E6B77"/>
    <w:rsid w:val="009F460A"/>
    <w:rsid w:val="009F4B98"/>
    <w:rsid w:val="00A043FB"/>
    <w:rsid w:val="00A06BE4"/>
    <w:rsid w:val="00A0729C"/>
    <w:rsid w:val="00A07779"/>
    <w:rsid w:val="00A1166A"/>
    <w:rsid w:val="00A20B2E"/>
    <w:rsid w:val="00A2278F"/>
    <w:rsid w:val="00A24F33"/>
    <w:rsid w:val="00A25069"/>
    <w:rsid w:val="00A26E6B"/>
    <w:rsid w:val="00A3068F"/>
    <w:rsid w:val="00A30BD7"/>
    <w:rsid w:val="00A3145B"/>
    <w:rsid w:val="00A339D0"/>
    <w:rsid w:val="00A374D0"/>
    <w:rsid w:val="00A41002"/>
    <w:rsid w:val="00A4201A"/>
    <w:rsid w:val="00A51A15"/>
    <w:rsid w:val="00A5465D"/>
    <w:rsid w:val="00A553CE"/>
    <w:rsid w:val="00A5677A"/>
    <w:rsid w:val="00A56DCC"/>
    <w:rsid w:val="00A625E8"/>
    <w:rsid w:val="00A63DFF"/>
    <w:rsid w:val="00A644CC"/>
    <w:rsid w:val="00A6490D"/>
    <w:rsid w:val="00A7415D"/>
    <w:rsid w:val="00A7458D"/>
    <w:rsid w:val="00A80363"/>
    <w:rsid w:val="00A80939"/>
    <w:rsid w:val="00A83E9D"/>
    <w:rsid w:val="00A87C05"/>
    <w:rsid w:val="00A9169D"/>
    <w:rsid w:val="00A92BC7"/>
    <w:rsid w:val="00AA240C"/>
    <w:rsid w:val="00AB1EC2"/>
    <w:rsid w:val="00AB74F5"/>
    <w:rsid w:val="00AC101C"/>
    <w:rsid w:val="00AC1F4D"/>
    <w:rsid w:val="00AC4328"/>
    <w:rsid w:val="00AC4BD4"/>
    <w:rsid w:val="00AD4CF1"/>
    <w:rsid w:val="00AD5988"/>
    <w:rsid w:val="00AD6293"/>
    <w:rsid w:val="00AF2089"/>
    <w:rsid w:val="00AF4987"/>
    <w:rsid w:val="00AF7800"/>
    <w:rsid w:val="00B00CF5"/>
    <w:rsid w:val="00B072E0"/>
    <w:rsid w:val="00B1007E"/>
    <w:rsid w:val="00B131C7"/>
    <w:rsid w:val="00B17FA6"/>
    <w:rsid w:val="00B20143"/>
    <w:rsid w:val="00B206F2"/>
    <w:rsid w:val="00B20B61"/>
    <w:rsid w:val="00B253F6"/>
    <w:rsid w:val="00B26675"/>
    <w:rsid w:val="00B305DB"/>
    <w:rsid w:val="00B332F8"/>
    <w:rsid w:val="00B3492B"/>
    <w:rsid w:val="00B36664"/>
    <w:rsid w:val="00B4646F"/>
    <w:rsid w:val="00B52673"/>
    <w:rsid w:val="00B55C7D"/>
    <w:rsid w:val="00B56EF2"/>
    <w:rsid w:val="00B63038"/>
    <w:rsid w:val="00B64BD8"/>
    <w:rsid w:val="00B66CBE"/>
    <w:rsid w:val="00B701D1"/>
    <w:rsid w:val="00B7217A"/>
    <w:rsid w:val="00B73AF2"/>
    <w:rsid w:val="00B7551A"/>
    <w:rsid w:val="00B773F1"/>
    <w:rsid w:val="00B81E16"/>
    <w:rsid w:val="00B86048"/>
    <w:rsid w:val="00B86AB1"/>
    <w:rsid w:val="00B92454"/>
    <w:rsid w:val="00BA7EBA"/>
    <w:rsid w:val="00BB2A06"/>
    <w:rsid w:val="00BB2CBB"/>
    <w:rsid w:val="00BB4198"/>
    <w:rsid w:val="00BC03EE"/>
    <w:rsid w:val="00BC4389"/>
    <w:rsid w:val="00BC59F1"/>
    <w:rsid w:val="00BD4C79"/>
    <w:rsid w:val="00BD4D80"/>
    <w:rsid w:val="00BE53C1"/>
    <w:rsid w:val="00BE5C5E"/>
    <w:rsid w:val="00BE617C"/>
    <w:rsid w:val="00BF3DE1"/>
    <w:rsid w:val="00BF4843"/>
    <w:rsid w:val="00BF5205"/>
    <w:rsid w:val="00BF581C"/>
    <w:rsid w:val="00BF5C64"/>
    <w:rsid w:val="00C05132"/>
    <w:rsid w:val="00C0582A"/>
    <w:rsid w:val="00C07C57"/>
    <w:rsid w:val="00C12508"/>
    <w:rsid w:val="00C128C7"/>
    <w:rsid w:val="00C207DB"/>
    <w:rsid w:val="00C210FE"/>
    <w:rsid w:val="00C23728"/>
    <w:rsid w:val="00C2699D"/>
    <w:rsid w:val="00C3026C"/>
    <w:rsid w:val="00C313A9"/>
    <w:rsid w:val="00C33758"/>
    <w:rsid w:val="00C441CF"/>
    <w:rsid w:val="00C44651"/>
    <w:rsid w:val="00C45AA2"/>
    <w:rsid w:val="00C4792C"/>
    <w:rsid w:val="00C55BEF"/>
    <w:rsid w:val="00C564B5"/>
    <w:rsid w:val="00C601AF"/>
    <w:rsid w:val="00C61A63"/>
    <w:rsid w:val="00C66296"/>
    <w:rsid w:val="00C70855"/>
    <w:rsid w:val="00C7394D"/>
    <w:rsid w:val="00C75D3C"/>
    <w:rsid w:val="00C77282"/>
    <w:rsid w:val="00C84DE5"/>
    <w:rsid w:val="00C86248"/>
    <w:rsid w:val="00C8705D"/>
    <w:rsid w:val="00C90B31"/>
    <w:rsid w:val="00CA0D6F"/>
    <w:rsid w:val="00CA21B8"/>
    <w:rsid w:val="00CA4C33"/>
    <w:rsid w:val="00CA6F4A"/>
    <w:rsid w:val="00CB6427"/>
    <w:rsid w:val="00CC0FBE"/>
    <w:rsid w:val="00CC7800"/>
    <w:rsid w:val="00CD2119"/>
    <w:rsid w:val="00CD237A"/>
    <w:rsid w:val="00CD36AC"/>
    <w:rsid w:val="00CE13A3"/>
    <w:rsid w:val="00CE36BC"/>
    <w:rsid w:val="00CF0E40"/>
    <w:rsid w:val="00CF1747"/>
    <w:rsid w:val="00CF60ED"/>
    <w:rsid w:val="00D05D74"/>
    <w:rsid w:val="00D13093"/>
    <w:rsid w:val="00D13B26"/>
    <w:rsid w:val="00D1483A"/>
    <w:rsid w:val="00D20C59"/>
    <w:rsid w:val="00D22FEA"/>
    <w:rsid w:val="00D23323"/>
    <w:rsid w:val="00D2392A"/>
    <w:rsid w:val="00D245F9"/>
    <w:rsid w:val="00D25FFE"/>
    <w:rsid w:val="00D339F5"/>
    <w:rsid w:val="00D37D80"/>
    <w:rsid w:val="00D4476F"/>
    <w:rsid w:val="00D50573"/>
    <w:rsid w:val="00D54D50"/>
    <w:rsid w:val="00D560B4"/>
    <w:rsid w:val="00D662F8"/>
    <w:rsid w:val="00D66797"/>
    <w:rsid w:val="00D7074B"/>
    <w:rsid w:val="00D7087C"/>
    <w:rsid w:val="00D70C3C"/>
    <w:rsid w:val="00D71DF7"/>
    <w:rsid w:val="00D72252"/>
    <w:rsid w:val="00D72BE5"/>
    <w:rsid w:val="00D7327B"/>
    <w:rsid w:val="00D77A09"/>
    <w:rsid w:val="00D81462"/>
    <w:rsid w:val="00D82F26"/>
    <w:rsid w:val="00D863D0"/>
    <w:rsid w:val="00D86B00"/>
    <w:rsid w:val="00D86FB9"/>
    <w:rsid w:val="00D87C87"/>
    <w:rsid w:val="00D90BB4"/>
    <w:rsid w:val="00D90E07"/>
    <w:rsid w:val="00D932C2"/>
    <w:rsid w:val="00DA0792"/>
    <w:rsid w:val="00DA3AA5"/>
    <w:rsid w:val="00DB39CF"/>
    <w:rsid w:val="00DB7256"/>
    <w:rsid w:val="00DC0401"/>
    <w:rsid w:val="00DC20BD"/>
    <w:rsid w:val="00DD0BCD"/>
    <w:rsid w:val="00DD447A"/>
    <w:rsid w:val="00DE3B20"/>
    <w:rsid w:val="00DE6C94"/>
    <w:rsid w:val="00DE6FD7"/>
    <w:rsid w:val="00DE7984"/>
    <w:rsid w:val="00DF1CEB"/>
    <w:rsid w:val="00DF25B0"/>
    <w:rsid w:val="00DF6219"/>
    <w:rsid w:val="00E11783"/>
    <w:rsid w:val="00E11EBA"/>
    <w:rsid w:val="00E23271"/>
    <w:rsid w:val="00E24F80"/>
    <w:rsid w:val="00E259F3"/>
    <w:rsid w:val="00E30985"/>
    <w:rsid w:val="00E33238"/>
    <w:rsid w:val="00E376B7"/>
    <w:rsid w:val="00E41321"/>
    <w:rsid w:val="00E42F5D"/>
    <w:rsid w:val="00E44518"/>
    <w:rsid w:val="00E4486C"/>
    <w:rsid w:val="00E460B6"/>
    <w:rsid w:val="00E511D5"/>
    <w:rsid w:val="00E53A9F"/>
    <w:rsid w:val="00E60249"/>
    <w:rsid w:val="00E64C50"/>
    <w:rsid w:val="00E65269"/>
    <w:rsid w:val="00E67829"/>
    <w:rsid w:val="00E707FF"/>
    <w:rsid w:val="00E76D66"/>
    <w:rsid w:val="00E8438C"/>
    <w:rsid w:val="00EA796A"/>
    <w:rsid w:val="00EB1856"/>
    <w:rsid w:val="00EC3E5A"/>
    <w:rsid w:val="00EC50CE"/>
    <w:rsid w:val="00EC5B34"/>
    <w:rsid w:val="00ED021E"/>
    <w:rsid w:val="00ED323C"/>
    <w:rsid w:val="00EE2D5C"/>
    <w:rsid w:val="00EE4ADE"/>
    <w:rsid w:val="00EE4DE8"/>
    <w:rsid w:val="00EE5CB7"/>
    <w:rsid w:val="00EF6D95"/>
    <w:rsid w:val="00F024FE"/>
    <w:rsid w:val="00F05AD4"/>
    <w:rsid w:val="00F10EB6"/>
    <w:rsid w:val="00F11D44"/>
    <w:rsid w:val="00F13F07"/>
    <w:rsid w:val="00F140B2"/>
    <w:rsid w:val="00F25970"/>
    <w:rsid w:val="00F311A9"/>
    <w:rsid w:val="00F4337A"/>
    <w:rsid w:val="00F504BD"/>
    <w:rsid w:val="00F5180D"/>
    <w:rsid w:val="00F63781"/>
    <w:rsid w:val="00F6394B"/>
    <w:rsid w:val="00F67496"/>
    <w:rsid w:val="00F801BA"/>
    <w:rsid w:val="00F91047"/>
    <w:rsid w:val="00F92C52"/>
    <w:rsid w:val="00F9366A"/>
    <w:rsid w:val="00F946C9"/>
    <w:rsid w:val="00FA0EA5"/>
    <w:rsid w:val="00FA74EE"/>
    <w:rsid w:val="00FC21A5"/>
    <w:rsid w:val="00FC3711"/>
    <w:rsid w:val="00FC46E7"/>
    <w:rsid w:val="00FC5D25"/>
    <w:rsid w:val="00FC62AA"/>
    <w:rsid w:val="00FD0D7E"/>
    <w:rsid w:val="00FD2598"/>
    <w:rsid w:val="00FD4FFB"/>
    <w:rsid w:val="00FE4644"/>
    <w:rsid w:val="00FE6E13"/>
    <w:rsid w:val="00FF15F6"/>
    <w:rsid w:val="00FF527C"/>
    <w:rsid w:val="00FF65CD"/>
    <w:rsid w:val="00FF6C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0EEEB9C"/>
  <w15:docId w15:val="{EE35EE32-14C6-47D6-B5F1-ED61484B4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817"/>
    <w:pPr>
      <w:spacing w:line="260" w:lineRule="atLeast"/>
    </w:pPr>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8B401E"/>
    <w:pPr>
      <w:numPr>
        <w:numId w:val="17"/>
      </w:numPr>
      <w:spacing w:after="12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AB74F5"/>
    <w:pPr>
      <w:spacing w:after="240" w:line="216" w:lineRule="auto"/>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customStyle="1" w:styleId="CoverPage-Subtitle">
    <w:name w:val="Cover Page - Subtitle"/>
    <w:basedOn w:val="Normal"/>
    <w:next w:val="Normal"/>
    <w:uiPriority w:val="17"/>
    <w:qFormat/>
    <w:rsid w:val="00AC4328"/>
    <w:rPr>
      <w:rFonts w:ascii="Arial" w:eastAsiaTheme="minorHAnsi" w:hAnsi="Arial"/>
      <w:bCs/>
      <w:color w:val="1F497D" w:themeColor="text2"/>
      <w:spacing w:val="12"/>
      <w:kern w:val="28"/>
      <w:sz w:val="32"/>
      <w:szCs w:val="22"/>
      <w:lang w:eastAsia="en-US"/>
    </w:rPr>
  </w:style>
  <w:style w:type="paragraph" w:customStyle="1" w:styleId="CoverPageHeading">
    <w:name w:val="Cover Page Heading"/>
    <w:uiPriority w:val="17"/>
    <w:qFormat/>
    <w:rsid w:val="00AC4328"/>
    <w:rPr>
      <w:rFonts w:asciiTheme="majorHAnsi" w:eastAsiaTheme="majorEastAsia" w:hAnsiTheme="majorHAnsi" w:cs="Times New Roman (Headings CS)"/>
      <w:b/>
      <w:bCs/>
      <w:color w:val="000000" w:themeColor="text1"/>
      <w:kern w:val="28"/>
      <w:sz w:val="108"/>
      <w:szCs w:val="56"/>
      <w:lang w:val="en-GB"/>
    </w:rPr>
  </w:style>
  <w:style w:type="numbering" w:styleId="1ai">
    <w:name w:val="Outline List 1"/>
    <w:basedOn w:val="NoList"/>
    <w:uiPriority w:val="99"/>
    <w:semiHidden/>
    <w:unhideWhenUsed/>
    <w:rsid w:val="00AC4328"/>
    <w:pPr>
      <w:numPr>
        <w:numId w:val="33"/>
      </w:numPr>
    </w:pPr>
  </w:style>
  <w:style w:type="paragraph" w:customStyle="1" w:styleId="CoverPage-Subtitle-imp">
    <w:name w:val="Cover Page - Subtitle - imp"/>
    <w:basedOn w:val="Normal"/>
    <w:next w:val="Normal"/>
    <w:uiPriority w:val="17"/>
    <w:qFormat/>
    <w:rsid w:val="00AC4328"/>
    <w:rPr>
      <w:rFonts w:ascii="Arial" w:eastAsiaTheme="minorHAnsi" w:hAnsi="Arial"/>
      <w:bCs/>
      <w:color w:val="1F497D" w:themeColor="text2"/>
      <w:spacing w:val="12"/>
      <w:kern w:val="28"/>
      <w:sz w:val="32"/>
      <w:szCs w:val="22"/>
      <w:lang w:eastAsia="en-US"/>
    </w:rPr>
  </w:style>
  <w:style w:type="paragraph" w:customStyle="1" w:styleId="CoverPageHeading-imp">
    <w:name w:val="Cover Page Heading - imp"/>
    <w:uiPriority w:val="17"/>
    <w:qFormat/>
    <w:rsid w:val="00AC4328"/>
    <w:rPr>
      <w:rFonts w:ascii="Arial" w:eastAsiaTheme="majorEastAsia" w:hAnsi="Arial" w:cs="Times New Roman (Headings CS)"/>
      <w:b/>
      <w:bCs/>
      <w:color w:val="000000" w:themeColor="text1"/>
      <w:kern w:val="28"/>
      <w:sz w:val="108"/>
      <w:szCs w:val="56"/>
      <w:lang w:val="en-GB"/>
    </w:rPr>
  </w:style>
  <w:style w:type="character" w:styleId="UnresolvedMention">
    <w:name w:val="Unresolved Mention"/>
    <w:basedOn w:val="DefaultParagraphFont"/>
    <w:uiPriority w:val="99"/>
    <w:semiHidden/>
    <w:unhideWhenUsed/>
    <w:rsid w:val="00714052"/>
    <w:rPr>
      <w:color w:val="605E5C"/>
      <w:shd w:val="clear" w:color="auto" w:fill="E1DFDD"/>
    </w:rPr>
  </w:style>
  <w:style w:type="paragraph" w:customStyle="1" w:styleId="Tablecopy9pt">
    <w:name w:val="Table copy 9 pt"/>
    <w:basedOn w:val="Normal"/>
    <w:qFormat/>
    <w:rsid w:val="006A3595"/>
    <w:pPr>
      <w:spacing w:before="80" w:after="80"/>
    </w:pPr>
    <w:rPr>
      <w:sz w:val="18"/>
      <w:szCs w:val="19"/>
      <w:lang w:val="en-GB"/>
    </w:rPr>
  </w:style>
  <w:style w:type="paragraph" w:customStyle="1" w:styleId="Flowchartbullets">
    <w:name w:val="Flowchart bullets"/>
    <w:basedOn w:val="Normal"/>
    <w:qFormat/>
    <w:rsid w:val="005007D3"/>
    <w:pPr>
      <w:numPr>
        <w:numId w:val="34"/>
      </w:numPr>
      <w:spacing w:line="200" w:lineRule="atLeast"/>
      <w:ind w:left="227" w:hanging="227"/>
    </w:pPr>
    <w:rPr>
      <w:bCs/>
      <w:sz w:val="19"/>
      <w:szCs w:val="19"/>
      <w:lang w:val="en-GB"/>
    </w:rPr>
  </w:style>
  <w:style w:type="paragraph" w:customStyle="1" w:styleId="Table10pt">
    <w:name w:val="Table 10pt"/>
    <w:basedOn w:val="Normal"/>
    <w:qFormat/>
    <w:rsid w:val="006A3595"/>
    <w:pPr>
      <w:spacing w:before="60" w:after="60"/>
    </w:pPr>
    <w:rPr>
      <w:bCs/>
      <w:sz w:val="20"/>
      <w:lang w:val="en-GB"/>
    </w:rPr>
  </w:style>
  <w:style w:type="paragraph" w:customStyle="1" w:styleId="Flowchart">
    <w:name w:val="Flowchart"/>
    <w:basedOn w:val="Normal"/>
    <w:qFormat/>
    <w:rsid w:val="00C8705D"/>
    <w:pPr>
      <w:spacing w:line="200" w:lineRule="atLeast"/>
    </w:pPr>
    <w:rPr>
      <w:rFonts w:eastAsiaTheme="minorEastAsia" w:cstheme="majorHAnsi"/>
      <w:color w:val="000000" w:themeColor="text1"/>
      <w:sz w:val="19"/>
      <w:szCs w:val="21"/>
      <w:lang w:eastAsia="en-US"/>
    </w:rPr>
  </w:style>
  <w:style w:type="paragraph" w:customStyle="1" w:styleId="Flowcharthead">
    <w:name w:val="Flowchart head"/>
    <w:basedOn w:val="Flowchart"/>
    <w:qFormat/>
    <w:rsid w:val="00B131C7"/>
    <w:pPr>
      <w:jc w:val="center"/>
    </w:pPr>
    <w:rPr>
      <w:b/>
      <w:color w:val="FFFFFF" w:themeColor="background1"/>
      <w:sz w:val="21"/>
    </w:rPr>
  </w:style>
  <w:style w:type="paragraph" w:customStyle="1" w:styleId="Flowchartresponse">
    <w:name w:val="Flowchart response"/>
    <w:basedOn w:val="Flowchart"/>
    <w:qFormat/>
    <w:rsid w:val="00C8705D"/>
    <w:rPr>
      <w:i/>
      <w:szCs w:val="20"/>
    </w:rPr>
  </w:style>
  <w:style w:type="paragraph" w:customStyle="1" w:styleId="TableParagraph">
    <w:name w:val="Table Paragraph"/>
    <w:basedOn w:val="Normal"/>
    <w:uiPriority w:val="1"/>
    <w:qFormat/>
    <w:rsid w:val="006F0999"/>
    <w:pPr>
      <w:widowControl w:val="0"/>
      <w:autoSpaceDE w:val="0"/>
      <w:autoSpaceDN w:val="0"/>
      <w:spacing w:before="120"/>
      <w:ind w:left="116"/>
    </w:pPr>
    <w:rPr>
      <w:rFonts w:ascii="Arial" w:eastAsia="Arial" w:hAnsi="Arial" w:cs="Arial"/>
      <w:sz w:val="22"/>
      <w:szCs w:val="22"/>
      <w:lang w:eastAsia="en-US"/>
    </w:rPr>
  </w:style>
  <w:style w:type="numbering" w:customStyle="1" w:styleId="CurrentList1">
    <w:name w:val="Current List1"/>
    <w:uiPriority w:val="99"/>
    <w:rsid w:val="00BE53C1"/>
    <w:pPr>
      <w:numPr>
        <w:numId w:val="36"/>
      </w:numPr>
    </w:pPr>
  </w:style>
  <w:style w:type="numbering" w:customStyle="1" w:styleId="CurrentList2">
    <w:name w:val="Current List2"/>
    <w:uiPriority w:val="99"/>
    <w:rsid w:val="00BE53C1"/>
    <w:pPr>
      <w:numPr>
        <w:numId w:val="38"/>
      </w:numPr>
    </w:pPr>
  </w:style>
  <w:style w:type="numbering" w:customStyle="1" w:styleId="CurrentList3">
    <w:name w:val="Current List3"/>
    <w:uiPriority w:val="99"/>
    <w:rsid w:val="00BE53C1"/>
    <w:pPr>
      <w:numPr>
        <w:numId w:val="40"/>
      </w:numPr>
    </w:pPr>
  </w:style>
  <w:style w:type="character" w:styleId="PlaceholderText">
    <w:name w:val="Placeholder Text"/>
    <w:basedOn w:val="DefaultParagraphFont"/>
    <w:uiPriority w:val="99"/>
    <w:semiHidden/>
    <w:rsid w:val="006B5D12"/>
    <w:rPr>
      <w:color w:val="808080"/>
    </w:rPr>
  </w:style>
  <w:style w:type="table" w:styleId="GridTable1Light">
    <w:name w:val="Grid Table 1 Light"/>
    <w:aliases w:val="0 Grid Table 1 Light,Ministry table"/>
    <w:basedOn w:val="TableNormal"/>
    <w:uiPriority w:val="46"/>
    <w:rsid w:val="00FE4644"/>
    <w:pPr>
      <w:spacing w:before="60" w:after="60" w:line="280" w:lineRule="atLeast"/>
    </w:pPr>
    <w:rPr>
      <w:rFonts w:ascii="Georgia" w:eastAsiaTheme="minorHAnsi" w:hAnsi="Georgia" w:cstheme="minorBidi"/>
      <w:sz w:val="18"/>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numbering" w:customStyle="1" w:styleId="CurrentList4">
    <w:name w:val="Current List4"/>
    <w:uiPriority w:val="99"/>
    <w:rsid w:val="00FE4644"/>
    <w:pPr>
      <w:numPr>
        <w:numId w:val="42"/>
      </w:numPr>
    </w:pPr>
  </w:style>
  <w:style w:type="character" w:customStyle="1" w:styleId="ListParagraphChar">
    <w:name w:val="List Paragraph Char"/>
    <w:basedOn w:val="DefaultParagraphFont"/>
    <w:link w:val="ListParagraph"/>
    <w:uiPriority w:val="34"/>
    <w:locked/>
    <w:rsid w:val="004D1776"/>
    <w:rPr>
      <w:rFonts w:ascii="Calibri" w:hAnsi="Calibri" w:cs="Calibri"/>
    </w:rPr>
  </w:style>
  <w:style w:type="paragraph" w:styleId="ListParagraph">
    <w:name w:val="List Paragraph"/>
    <w:basedOn w:val="Normal"/>
    <w:link w:val="ListParagraphChar"/>
    <w:uiPriority w:val="34"/>
    <w:qFormat/>
    <w:rsid w:val="004D1776"/>
    <w:pPr>
      <w:spacing w:after="160" w:line="252" w:lineRule="auto"/>
      <w:ind w:left="720"/>
      <w:contextualSpacing/>
    </w:pPr>
    <w:rPr>
      <w:rFonts w:ascii="Calibri" w:hAnsi="Calibri" w:cs="Calibri"/>
      <w:sz w:val="20"/>
      <w:lang w:eastAsia="en-NZ"/>
    </w:rPr>
  </w:style>
  <w:style w:type="paragraph" w:styleId="BodyText">
    <w:name w:val="Body Text"/>
    <w:link w:val="BodyTextChar"/>
    <w:qFormat/>
    <w:rsid w:val="004D1776"/>
    <w:pPr>
      <w:spacing w:before="120" w:after="120" w:line="280" w:lineRule="exact"/>
      <w:jc w:val="both"/>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rsid w:val="004D1776"/>
    <w:rPr>
      <w:rFonts w:asciiTheme="minorHAnsi" w:eastAsiaTheme="minorHAnsi" w:hAnsiTheme="minorHAnsi" w:cstheme="minorBidi"/>
      <w:sz w:val="22"/>
      <w:szCs w:val="22"/>
      <w:lang w:eastAsia="en-US"/>
    </w:rPr>
  </w:style>
  <w:style w:type="paragraph" w:styleId="ListBullet">
    <w:name w:val="List Bullet"/>
    <w:basedOn w:val="Normal"/>
    <w:uiPriority w:val="99"/>
    <w:unhideWhenUsed/>
    <w:rsid w:val="004D1776"/>
    <w:pPr>
      <w:numPr>
        <w:numId w:val="46"/>
      </w:numPr>
      <w:spacing w:after="120" w:line="276" w:lineRule="auto"/>
      <w:contextualSpacing/>
    </w:pPr>
    <w:rPr>
      <w:rFonts w:ascii="Arial" w:eastAsiaTheme="minorHAnsi" w:hAnsi="Arial" w:cstheme="minorBidi"/>
      <w:sz w:val="22"/>
      <w:szCs w:val="22"/>
      <w:lang w:eastAsia="en-US"/>
    </w:rPr>
  </w:style>
  <w:style w:type="paragraph" w:customStyle="1" w:styleId="paragraph">
    <w:name w:val="paragraph"/>
    <w:basedOn w:val="Normal"/>
    <w:rsid w:val="004D1776"/>
    <w:pPr>
      <w:spacing w:before="100" w:beforeAutospacing="1" w:after="100" w:afterAutospacing="1"/>
    </w:pPr>
    <w:rPr>
      <w:rFonts w:ascii="Times New Roman" w:hAnsi="Times New Roman"/>
      <w:sz w:val="24"/>
      <w:szCs w:val="24"/>
      <w:lang w:eastAsia="en-NZ"/>
    </w:rPr>
  </w:style>
  <w:style w:type="character" w:customStyle="1" w:styleId="normaltextrun">
    <w:name w:val="normaltextrun"/>
    <w:basedOn w:val="DefaultParagraphFont"/>
    <w:rsid w:val="004D1776"/>
  </w:style>
  <w:style w:type="character" w:styleId="Strong">
    <w:name w:val="Strong"/>
    <w:basedOn w:val="DefaultParagraphFont"/>
    <w:uiPriority w:val="22"/>
    <w:qFormat/>
    <w:rsid w:val="004D1776"/>
    <w:rPr>
      <w:b/>
      <w:bCs/>
    </w:rPr>
  </w:style>
  <w:style w:type="paragraph" w:styleId="NormalWeb">
    <w:name w:val="Normal (Web)"/>
    <w:basedOn w:val="Normal"/>
    <w:uiPriority w:val="99"/>
    <w:unhideWhenUsed/>
    <w:rsid w:val="004D1776"/>
    <w:pPr>
      <w:spacing w:before="100" w:beforeAutospacing="1" w:after="100" w:afterAutospacing="1"/>
    </w:pPr>
    <w:rPr>
      <w:rFonts w:ascii="Times New Roman" w:hAnsi="Times New Roman"/>
      <w:sz w:val="24"/>
      <w:szCs w:val="24"/>
      <w:lang w:eastAsia="en-NZ"/>
    </w:rPr>
  </w:style>
  <w:style w:type="character" w:styleId="FollowedHyperlink">
    <w:name w:val="FollowedHyperlink"/>
    <w:basedOn w:val="DefaultParagraphFont"/>
    <w:uiPriority w:val="99"/>
    <w:semiHidden/>
    <w:unhideWhenUsed/>
    <w:rsid w:val="00DE7984"/>
    <w:rPr>
      <w:color w:val="800080" w:themeColor="followedHyperlink"/>
      <w:u w:val="single"/>
    </w:rPr>
  </w:style>
  <w:style w:type="character" w:styleId="CommentReference">
    <w:name w:val="annotation reference"/>
    <w:basedOn w:val="DefaultParagraphFont"/>
    <w:uiPriority w:val="99"/>
    <w:semiHidden/>
    <w:unhideWhenUsed/>
    <w:rsid w:val="00610AFB"/>
    <w:rPr>
      <w:sz w:val="16"/>
      <w:szCs w:val="16"/>
    </w:rPr>
  </w:style>
  <w:style w:type="paragraph" w:styleId="CommentText">
    <w:name w:val="annotation text"/>
    <w:basedOn w:val="Normal"/>
    <w:link w:val="CommentTextChar"/>
    <w:uiPriority w:val="99"/>
    <w:semiHidden/>
    <w:unhideWhenUsed/>
    <w:rsid w:val="00610AFB"/>
    <w:pPr>
      <w:spacing w:line="240" w:lineRule="auto"/>
    </w:pPr>
    <w:rPr>
      <w:sz w:val="20"/>
    </w:rPr>
  </w:style>
  <w:style w:type="character" w:customStyle="1" w:styleId="CommentTextChar">
    <w:name w:val="Comment Text Char"/>
    <w:basedOn w:val="DefaultParagraphFont"/>
    <w:link w:val="CommentText"/>
    <w:uiPriority w:val="99"/>
    <w:semiHidden/>
    <w:rsid w:val="00610AFB"/>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610AFB"/>
    <w:rPr>
      <w:b/>
      <w:bCs/>
    </w:rPr>
  </w:style>
  <w:style w:type="character" w:customStyle="1" w:styleId="CommentSubjectChar">
    <w:name w:val="Comment Subject Char"/>
    <w:basedOn w:val="CommentTextChar"/>
    <w:link w:val="CommentSubject"/>
    <w:uiPriority w:val="99"/>
    <w:semiHidden/>
    <w:rsid w:val="00610AFB"/>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t.nz/act/public/2019/0067/latest/DLM7285905.html" TargetMode="External"/><Relationship Id="rId18" Type="http://schemas.openxmlformats.org/officeDocument/2006/relationships/hyperlink" Target="https://www.health.govt.nz/our-work/regulation-health-and-disability-system/end-life-choice-act-implementation/end-life-choice-act-statutory-bodies-and-governance" TargetMode="External"/><Relationship Id="rId26" Type="http://schemas.openxmlformats.org/officeDocument/2006/relationships/hyperlink" Target="https://www.nursingcouncil.org.nz/Public/Nursing/Standards_and_guidelines/NCNZ/nursing-section/Standards_and_guidelines_for_nurses.aspx" TargetMode="External"/><Relationship Id="rId39" Type="http://schemas.openxmlformats.org/officeDocument/2006/relationships/hyperlink" Target="https://www.standards.govt.nz/shop/nzs-81342021/" TargetMode="External"/><Relationship Id="rId21" Type="http://schemas.openxmlformats.org/officeDocument/2006/relationships/hyperlink" Target="https://www.health.govt.nz/our-work/populations/maori-health/te-tiriti-o-waitangi" TargetMode="External"/><Relationship Id="rId34" Type="http://schemas.openxmlformats.org/officeDocument/2006/relationships/hyperlink" Target="https://www.nursingcouncil.org.nz/Public/Nursing/Code_of_Conduct/NCNZ/nursing-section/Code_of_Conduct.aspx" TargetMode="External"/><Relationship Id="rId42" Type="http://schemas.openxmlformats.org/officeDocument/2006/relationships/footer" Target="footer4.xml"/><Relationship Id="rId47" Type="http://schemas.openxmlformats.org/officeDocument/2006/relationships/hyperlink" Target="https://www.health.govt.nz/our-work/regulation-health-and-disability-system/end-life-choice-act-implementation/end-life-choice-act-implementation-resources" TargetMode="External"/><Relationship Id="rId50" Type="http://schemas.openxmlformats.org/officeDocument/2006/relationships/header" Target="header4.xml"/><Relationship Id="rId55" Type="http://schemas.openxmlformats.org/officeDocument/2006/relationships/footer" Target="footer9.xml"/><Relationship Id="rId63" Type="http://schemas.openxmlformats.org/officeDocument/2006/relationships/footer" Target="footer1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nursingcouncil.org.nz/Public/Nursing/Standards_and_guidelines/NCNZ/nursing-section/Standards_and_guidelines_for_nurse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govt.nz/act/public/2019/0067/latest/DLM7285905.html" TargetMode="External"/><Relationship Id="rId24" Type="http://schemas.openxmlformats.org/officeDocument/2006/relationships/hyperlink" Target="https://optforwellbeing.org/sites/default/files/events/Foundations/NZMJImprovingMaorihealththroughclinicalassessment1.pdf" TargetMode="External"/><Relationship Id="rId32" Type="http://schemas.openxmlformats.org/officeDocument/2006/relationships/hyperlink" Target="https://www.legislation.govt.nz/act/public/2019/0067/latest/DLM7285905.html" TargetMode="External"/><Relationship Id="rId37" Type="http://schemas.openxmlformats.org/officeDocument/2006/relationships/hyperlink" Target="https://www.hdc.org.nz/your-rights/the-code-and-your-rights/" TargetMode="External"/><Relationship Id="rId40" Type="http://schemas.openxmlformats.org/officeDocument/2006/relationships/hyperlink" Target="https://www.health.govt.nz/our-work/regulation-health-and-disability-system/end-life-choice-act-implementation/end-life-choice-act-implementation-resources" TargetMode="External"/><Relationship Id="rId45" Type="http://schemas.openxmlformats.org/officeDocument/2006/relationships/footer" Target="footer6.xml"/><Relationship Id="rId53" Type="http://schemas.openxmlformats.org/officeDocument/2006/relationships/footer" Target="footer8.xml"/><Relationship Id="rId58" Type="http://schemas.openxmlformats.org/officeDocument/2006/relationships/hyperlink" Target="https://www.health.govt.nz/our-work/regulation-health-and-disability-system/end-life-choice-act-implementation/end-life-choice-act-implementation-resources" TargetMode="External"/><Relationship Id="rId66"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teipuaronui.co.nz/" TargetMode="External"/><Relationship Id="rId28" Type="http://schemas.openxmlformats.org/officeDocument/2006/relationships/hyperlink" Target="https://www.mcnz.org.nz/assets/standards/b71d139dca/Statement-on-cultural-safety.pdf" TargetMode="External"/><Relationship Id="rId36" Type="http://schemas.openxmlformats.org/officeDocument/2006/relationships/hyperlink" Target="https://www.hdc.org.nz/your-rights/about-the-code/code-of-health-and-disability-services-consumers-rights/" TargetMode="External"/><Relationship Id="rId49" Type="http://schemas.openxmlformats.org/officeDocument/2006/relationships/hyperlink" Target="https://www.health.govt.nz/our-work/regulation-health-and-disability-system/end-life-choice-act-implementation/end-life-choice-act-implementation-resources" TargetMode="External"/><Relationship Id="rId57" Type="http://schemas.openxmlformats.org/officeDocument/2006/relationships/hyperlink" Target="https://www.legislation.govt.nz/act/public/2019/0067/latest/DLM7285956.html" TargetMode="External"/><Relationship Id="rId61"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s://learnonline.health.nz/enrol/index.php?id=470" TargetMode="External"/><Relationship Id="rId31" Type="http://schemas.openxmlformats.org/officeDocument/2006/relationships/hyperlink" Target="https://www.health.govt.nz/our-work/regulation-health-and-disability-system/end-life-choice-act-implementation/end-life-choice-act-statutory-bodies-and-governance" TargetMode="External"/><Relationship Id="rId44" Type="http://schemas.openxmlformats.org/officeDocument/2006/relationships/footer" Target="footer5.xml"/><Relationship Id="rId52" Type="http://schemas.openxmlformats.org/officeDocument/2006/relationships/header" Target="header5.xml"/><Relationship Id="rId60" Type="http://schemas.openxmlformats.org/officeDocument/2006/relationships/footer" Target="footer10.xml"/><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hospice.org.nz/mauri-mate/" TargetMode="External"/><Relationship Id="rId27" Type="http://schemas.openxmlformats.org/officeDocument/2006/relationships/hyperlink" Target="https://pharmacycouncil.org.nz/pharmacist/cultural-competence/" TargetMode="External"/><Relationship Id="rId30" Type="http://schemas.openxmlformats.org/officeDocument/2006/relationships/hyperlink" Target="https://pharmacycouncil.org.nz/pharmacist/cultural-competence/" TargetMode="External"/><Relationship Id="rId35" Type="http://schemas.openxmlformats.org/officeDocument/2006/relationships/hyperlink" Target="https://pharmacycouncil.org.nz/i-am-a-pharmacist/standards-and-practice/" TargetMode="External"/><Relationship Id="rId43" Type="http://schemas.openxmlformats.org/officeDocument/2006/relationships/header" Target="header3.xml"/><Relationship Id="rId48" Type="http://schemas.openxmlformats.org/officeDocument/2006/relationships/hyperlink" Target="https://www.legislation.govt.nz/act/public/2019/0067/latest/DLM7285956.html" TargetMode="External"/><Relationship Id="rId56" Type="http://schemas.openxmlformats.org/officeDocument/2006/relationships/hyperlink" Target="https://www.health.govt.nz/our-work/regulation-health-and-disability-system/end-life-choice-act-implementation/end-life-choice-act-implementation-resources" TargetMode="External"/><Relationship Id="rId64"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s://www.health.govt.nz/our-work/regulation-health-and-disability-system/end-life-choice-act-implementation/end-life-choice-act-implementation-resources" TargetMode="External"/><Relationship Id="rId17" Type="http://schemas.openxmlformats.org/officeDocument/2006/relationships/footer" Target="footer3.xml"/><Relationship Id="rId25" Type="http://schemas.openxmlformats.org/officeDocument/2006/relationships/hyperlink" Target="https://www.mcnz.org.nz/assets/standards/b71d139dca/Statement-on-cultural-safety.pdf" TargetMode="External"/><Relationship Id="rId33" Type="http://schemas.openxmlformats.org/officeDocument/2006/relationships/hyperlink" Target="https://www.mcnz.org.nz/our-standards/current-standards/" TargetMode="External"/><Relationship Id="rId38" Type="http://schemas.openxmlformats.org/officeDocument/2006/relationships/hyperlink" Target="https://www.health.govt.nz/our-work/regulation-health-and-disability-system/end-life-choice-act-implementation/end-life-choice-act-statutory-bodies-and-governance" TargetMode="External"/><Relationship Id="rId46" Type="http://schemas.openxmlformats.org/officeDocument/2006/relationships/image" Target="media/image4.jpeg"/><Relationship Id="rId59" Type="http://schemas.openxmlformats.org/officeDocument/2006/relationships/header" Target="header6.xml"/><Relationship Id="rId67" Type="http://schemas.openxmlformats.org/officeDocument/2006/relationships/fontTable" Target="fontTable.xml"/><Relationship Id="rId20" Type="http://schemas.openxmlformats.org/officeDocument/2006/relationships/hyperlink" Target="https://www.health.govt.nz/our-work/regulation-health-and-disability-system/end-life-choice-act-implementation/end-life-choice-act-statutory-bodies-and-governance" TargetMode="External"/><Relationship Id="rId41" Type="http://schemas.openxmlformats.org/officeDocument/2006/relationships/header" Target="header2.xml"/><Relationship Id="rId54" Type="http://schemas.openxmlformats.org/officeDocument/2006/relationships/image" Target="media/image5.jpeg"/><Relationship Id="rId62" Type="http://schemas.openxmlformats.org/officeDocument/2006/relationships/header" Target="header7.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50DEC7542E1342A5F58102D7DD24B5" ma:contentTypeVersion="13" ma:contentTypeDescription="Create a new document." ma:contentTypeScope="" ma:versionID="f9a598124e655cc727472d5fdc614d6e">
  <xsd:schema xmlns:xsd="http://www.w3.org/2001/XMLSchema" xmlns:xs="http://www.w3.org/2001/XMLSchema" xmlns:p="http://schemas.microsoft.com/office/2006/metadata/properties" xmlns:ns3="bceb9309-8f47-415f-aa59-4677cf6ce37d" xmlns:ns4="72ee7631-8705-4e4e-a159-243698bf6794" targetNamespace="http://schemas.microsoft.com/office/2006/metadata/properties" ma:root="true" ma:fieldsID="ecb36d03ba81bea19d1a7f9ed6507fe5" ns3:_="" ns4:_="">
    <xsd:import namespace="bceb9309-8f47-415f-aa59-4677cf6ce37d"/>
    <xsd:import namespace="72ee7631-8705-4e4e-a159-243698bf67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eb9309-8f47-415f-aa59-4677cf6ce3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e7631-8705-4e4e-a159-243698bf679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B09013-6D20-4706-A0C0-8179866C693D}">
  <ds:schemaRefs>
    <ds:schemaRef ds:uri="http://schemas.openxmlformats.org/officeDocument/2006/bibliography"/>
  </ds:schemaRefs>
</ds:datastoreItem>
</file>

<file path=customXml/itemProps3.xml><?xml version="1.0" encoding="utf-8"?>
<ds:datastoreItem xmlns:ds="http://schemas.openxmlformats.org/officeDocument/2006/customXml" ds:itemID="{0920E4DC-08ED-4FF1-8625-A35284D2B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eb9309-8f47-415f-aa59-4677cf6ce37d"/>
    <ds:schemaRef ds:uri="72ee7631-8705-4e4e-a159-243698bf67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6</Pages>
  <Words>4932</Words>
  <Characters>28113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Assisted Dying Care Pathways for Health Practitioners</vt:lpstr>
    </vt:vector>
  </TitlesOfParts>
  <Company>Microsoft</Company>
  <LinksUpToDate>false</LinksUpToDate>
  <CharactersWithSpaces>32980</CharactersWithSpaces>
  <SharedDoc>false</SharedDoc>
  <HLinks>
    <vt:vector size="192" baseType="variant">
      <vt:variant>
        <vt:i4>3342368</vt:i4>
      </vt:variant>
      <vt:variant>
        <vt:i4>93</vt:i4>
      </vt:variant>
      <vt:variant>
        <vt:i4>0</vt:i4>
      </vt:variant>
      <vt:variant>
        <vt:i4>5</vt:i4>
      </vt:variant>
      <vt:variant>
        <vt:lpwstr>https://www.health.govt.nz/our-work/regulation-health-and-disability-system/end-life-choice-act-implementation/end-life-choice-act-implementation-resources</vt:lpwstr>
      </vt:variant>
      <vt:variant>
        <vt:lpwstr/>
      </vt:variant>
      <vt:variant>
        <vt:i4>7798891</vt:i4>
      </vt:variant>
      <vt:variant>
        <vt:i4>90</vt:i4>
      </vt:variant>
      <vt:variant>
        <vt:i4>0</vt:i4>
      </vt:variant>
      <vt:variant>
        <vt:i4>5</vt:i4>
      </vt:variant>
      <vt:variant>
        <vt:lpwstr>https://www.legislation.govt.nz/act/public/2019/0067/latest/DLM7285956.html</vt:lpwstr>
      </vt:variant>
      <vt:variant>
        <vt:lpwstr/>
      </vt:variant>
      <vt:variant>
        <vt:i4>3342368</vt:i4>
      </vt:variant>
      <vt:variant>
        <vt:i4>87</vt:i4>
      </vt:variant>
      <vt:variant>
        <vt:i4>0</vt:i4>
      </vt:variant>
      <vt:variant>
        <vt:i4>5</vt:i4>
      </vt:variant>
      <vt:variant>
        <vt:lpwstr>https://www.health.govt.nz/our-work/regulation-health-and-disability-system/end-life-choice-act-implementation/end-life-choice-act-implementation-resources</vt:lpwstr>
      </vt:variant>
      <vt:variant>
        <vt:lpwstr/>
      </vt:variant>
      <vt:variant>
        <vt:i4>3342368</vt:i4>
      </vt:variant>
      <vt:variant>
        <vt:i4>84</vt:i4>
      </vt:variant>
      <vt:variant>
        <vt:i4>0</vt:i4>
      </vt:variant>
      <vt:variant>
        <vt:i4>5</vt:i4>
      </vt:variant>
      <vt:variant>
        <vt:lpwstr>https://www.health.govt.nz/our-work/regulation-health-and-disability-system/end-life-choice-act-implementation/end-life-choice-act-implementation-resources</vt:lpwstr>
      </vt:variant>
      <vt:variant>
        <vt:lpwstr/>
      </vt:variant>
      <vt:variant>
        <vt:i4>7798891</vt:i4>
      </vt:variant>
      <vt:variant>
        <vt:i4>81</vt:i4>
      </vt:variant>
      <vt:variant>
        <vt:i4>0</vt:i4>
      </vt:variant>
      <vt:variant>
        <vt:i4>5</vt:i4>
      </vt:variant>
      <vt:variant>
        <vt:lpwstr>https://www.legislation.govt.nz/act/public/2019/0067/latest/DLM7285956.html</vt:lpwstr>
      </vt:variant>
      <vt:variant>
        <vt:lpwstr/>
      </vt:variant>
      <vt:variant>
        <vt:i4>3342368</vt:i4>
      </vt:variant>
      <vt:variant>
        <vt:i4>78</vt:i4>
      </vt:variant>
      <vt:variant>
        <vt:i4>0</vt:i4>
      </vt:variant>
      <vt:variant>
        <vt:i4>5</vt:i4>
      </vt:variant>
      <vt:variant>
        <vt:lpwstr>https://www.health.govt.nz/our-work/regulation-health-and-disability-system/end-life-choice-act-implementation/end-life-choice-act-implementation-resources</vt:lpwstr>
      </vt:variant>
      <vt:variant>
        <vt:lpwstr/>
      </vt:variant>
      <vt:variant>
        <vt:i4>3342368</vt:i4>
      </vt:variant>
      <vt:variant>
        <vt:i4>75</vt:i4>
      </vt:variant>
      <vt:variant>
        <vt:i4>0</vt:i4>
      </vt:variant>
      <vt:variant>
        <vt:i4>5</vt:i4>
      </vt:variant>
      <vt:variant>
        <vt:lpwstr>https://www.health.govt.nz/our-work/regulation-health-and-disability-system/end-life-choice-act-implementation/end-life-choice-act-implementation-resources</vt:lpwstr>
      </vt:variant>
      <vt:variant>
        <vt:lpwstr/>
      </vt:variant>
      <vt:variant>
        <vt:i4>131090</vt:i4>
      </vt:variant>
      <vt:variant>
        <vt:i4>72</vt:i4>
      </vt:variant>
      <vt:variant>
        <vt:i4>0</vt:i4>
      </vt:variant>
      <vt:variant>
        <vt:i4>5</vt:i4>
      </vt:variant>
      <vt:variant>
        <vt:lpwstr>https://www.standards.govt.nz/shop/nzs-81342021/</vt:lpwstr>
      </vt:variant>
      <vt:variant>
        <vt:lpwstr/>
      </vt:variant>
      <vt:variant>
        <vt:i4>6684777</vt:i4>
      </vt:variant>
      <vt:variant>
        <vt:i4>69</vt:i4>
      </vt:variant>
      <vt:variant>
        <vt:i4>0</vt:i4>
      </vt:variant>
      <vt:variant>
        <vt:i4>5</vt:i4>
      </vt:variant>
      <vt:variant>
        <vt:lpwstr>https://www.health.govt.nz/our-work/regulation-health-and-disability-system/end-life-choice-act-implementation/end-life-choice-act-statutory-bodies-and-governance</vt:lpwstr>
      </vt:variant>
      <vt:variant>
        <vt:lpwstr/>
      </vt:variant>
      <vt:variant>
        <vt:i4>6029384</vt:i4>
      </vt:variant>
      <vt:variant>
        <vt:i4>66</vt:i4>
      </vt:variant>
      <vt:variant>
        <vt:i4>0</vt:i4>
      </vt:variant>
      <vt:variant>
        <vt:i4>5</vt:i4>
      </vt:variant>
      <vt:variant>
        <vt:lpwstr>https://www.hdc.org.nz/your-rights/the-code-and-your-rights/</vt:lpwstr>
      </vt:variant>
      <vt:variant>
        <vt:lpwstr/>
      </vt:variant>
      <vt:variant>
        <vt:i4>8061046</vt:i4>
      </vt:variant>
      <vt:variant>
        <vt:i4>63</vt:i4>
      </vt:variant>
      <vt:variant>
        <vt:i4>0</vt:i4>
      </vt:variant>
      <vt:variant>
        <vt:i4>5</vt:i4>
      </vt:variant>
      <vt:variant>
        <vt:lpwstr>https://www.hdc.org.nz/your-rights/about-the-code/code-of-health-and-disability-services-consumers-rights/</vt:lpwstr>
      </vt:variant>
      <vt:variant>
        <vt:lpwstr/>
      </vt:variant>
      <vt:variant>
        <vt:i4>4587521</vt:i4>
      </vt:variant>
      <vt:variant>
        <vt:i4>60</vt:i4>
      </vt:variant>
      <vt:variant>
        <vt:i4>0</vt:i4>
      </vt:variant>
      <vt:variant>
        <vt:i4>5</vt:i4>
      </vt:variant>
      <vt:variant>
        <vt:lpwstr>https://pharmacycouncil.org.nz/i-am-a-pharmacist/standards-and-practice/</vt:lpwstr>
      </vt:variant>
      <vt:variant>
        <vt:lpwstr/>
      </vt:variant>
      <vt:variant>
        <vt:i4>6684771</vt:i4>
      </vt:variant>
      <vt:variant>
        <vt:i4>57</vt:i4>
      </vt:variant>
      <vt:variant>
        <vt:i4>0</vt:i4>
      </vt:variant>
      <vt:variant>
        <vt:i4>5</vt:i4>
      </vt:variant>
      <vt:variant>
        <vt:lpwstr>https://www.nursingcouncil.org.nz/Public/Nursing/Code_of_Conduct/NCNZ/nursing-section/Code_of_Conduct.aspx</vt:lpwstr>
      </vt:variant>
      <vt:variant>
        <vt:lpwstr/>
      </vt:variant>
      <vt:variant>
        <vt:i4>262230</vt:i4>
      </vt:variant>
      <vt:variant>
        <vt:i4>54</vt:i4>
      </vt:variant>
      <vt:variant>
        <vt:i4>0</vt:i4>
      </vt:variant>
      <vt:variant>
        <vt:i4>5</vt:i4>
      </vt:variant>
      <vt:variant>
        <vt:lpwstr>https://www.mcnz.org.nz/our-standards/current-standards/</vt:lpwstr>
      </vt:variant>
      <vt:variant>
        <vt:lpwstr/>
      </vt:variant>
      <vt:variant>
        <vt:i4>7602286</vt:i4>
      </vt:variant>
      <vt:variant>
        <vt:i4>51</vt:i4>
      </vt:variant>
      <vt:variant>
        <vt:i4>0</vt:i4>
      </vt:variant>
      <vt:variant>
        <vt:i4>5</vt:i4>
      </vt:variant>
      <vt:variant>
        <vt:lpwstr>https://www.legislation.govt.nz/act/public/2019/0067/latest/DLM7285905.html</vt:lpwstr>
      </vt:variant>
      <vt:variant>
        <vt:lpwstr/>
      </vt:variant>
      <vt:variant>
        <vt:i4>6684777</vt:i4>
      </vt:variant>
      <vt:variant>
        <vt:i4>48</vt:i4>
      </vt:variant>
      <vt:variant>
        <vt:i4>0</vt:i4>
      </vt:variant>
      <vt:variant>
        <vt:i4>5</vt:i4>
      </vt:variant>
      <vt:variant>
        <vt:lpwstr>https://www.health.govt.nz/our-work/regulation-health-and-disability-system/end-life-choice-act-implementation/end-life-choice-act-statutory-bodies-and-governance</vt:lpwstr>
      </vt:variant>
      <vt:variant>
        <vt:lpwstr/>
      </vt:variant>
      <vt:variant>
        <vt:i4>7143487</vt:i4>
      </vt:variant>
      <vt:variant>
        <vt:i4>45</vt:i4>
      </vt:variant>
      <vt:variant>
        <vt:i4>0</vt:i4>
      </vt:variant>
      <vt:variant>
        <vt:i4>5</vt:i4>
      </vt:variant>
      <vt:variant>
        <vt:lpwstr>https://pharmacycouncil.org.nz/pharmacist/cultural-competence/</vt:lpwstr>
      </vt:variant>
      <vt:variant>
        <vt:lpwstr/>
      </vt:variant>
      <vt:variant>
        <vt:i4>2097194</vt:i4>
      </vt:variant>
      <vt:variant>
        <vt:i4>42</vt:i4>
      </vt:variant>
      <vt:variant>
        <vt:i4>0</vt:i4>
      </vt:variant>
      <vt:variant>
        <vt:i4>5</vt:i4>
      </vt:variant>
      <vt:variant>
        <vt:lpwstr>https://www.nursingcouncil.org.nz/Public/Nursing/Standards_and_guidelines/NCNZ/nursing-section/Standards_and_guidelines_for_nurses.aspx</vt:lpwstr>
      </vt:variant>
      <vt:variant>
        <vt:lpwstr/>
      </vt:variant>
      <vt:variant>
        <vt:i4>71</vt:i4>
      </vt:variant>
      <vt:variant>
        <vt:i4>39</vt:i4>
      </vt:variant>
      <vt:variant>
        <vt:i4>0</vt:i4>
      </vt:variant>
      <vt:variant>
        <vt:i4>5</vt:i4>
      </vt:variant>
      <vt:variant>
        <vt:lpwstr>https://www.mcnz.org.nz/assets/standards/b71d139dca/Statement-on-cultural-safety.pdf</vt:lpwstr>
      </vt:variant>
      <vt:variant>
        <vt:lpwstr/>
      </vt:variant>
      <vt:variant>
        <vt:i4>7143487</vt:i4>
      </vt:variant>
      <vt:variant>
        <vt:i4>36</vt:i4>
      </vt:variant>
      <vt:variant>
        <vt:i4>0</vt:i4>
      </vt:variant>
      <vt:variant>
        <vt:i4>5</vt:i4>
      </vt:variant>
      <vt:variant>
        <vt:lpwstr>https://pharmacycouncil.org.nz/pharmacist/cultural-competence/</vt:lpwstr>
      </vt:variant>
      <vt:variant>
        <vt:lpwstr/>
      </vt:variant>
      <vt:variant>
        <vt:i4>2097194</vt:i4>
      </vt:variant>
      <vt:variant>
        <vt:i4>33</vt:i4>
      </vt:variant>
      <vt:variant>
        <vt:i4>0</vt:i4>
      </vt:variant>
      <vt:variant>
        <vt:i4>5</vt:i4>
      </vt:variant>
      <vt:variant>
        <vt:lpwstr>https://www.nursingcouncil.org.nz/Public/Nursing/Standards_and_guidelines/NCNZ/nursing-section/Standards_and_guidelines_for_nurses.aspx</vt:lpwstr>
      </vt:variant>
      <vt:variant>
        <vt:lpwstr/>
      </vt:variant>
      <vt:variant>
        <vt:i4>71</vt:i4>
      </vt:variant>
      <vt:variant>
        <vt:i4>30</vt:i4>
      </vt:variant>
      <vt:variant>
        <vt:i4>0</vt:i4>
      </vt:variant>
      <vt:variant>
        <vt:i4>5</vt:i4>
      </vt:variant>
      <vt:variant>
        <vt:lpwstr>https://www.mcnz.org.nz/assets/standards/b71d139dca/Statement-on-cultural-safety.pdf</vt:lpwstr>
      </vt:variant>
      <vt:variant>
        <vt:lpwstr/>
      </vt:variant>
      <vt:variant>
        <vt:i4>655370</vt:i4>
      </vt:variant>
      <vt:variant>
        <vt:i4>27</vt:i4>
      </vt:variant>
      <vt:variant>
        <vt:i4>0</vt:i4>
      </vt:variant>
      <vt:variant>
        <vt:i4>5</vt:i4>
      </vt:variant>
      <vt:variant>
        <vt:lpwstr>https://optforwellbeing.org/sites/default/files/events/Foundations/NZMJImprovingMaorihealththroughclinicalassessment1.pdf</vt:lpwstr>
      </vt:variant>
      <vt:variant>
        <vt:lpwstr/>
      </vt:variant>
      <vt:variant>
        <vt:i4>2490474</vt:i4>
      </vt:variant>
      <vt:variant>
        <vt:i4>24</vt:i4>
      </vt:variant>
      <vt:variant>
        <vt:i4>0</vt:i4>
      </vt:variant>
      <vt:variant>
        <vt:i4>5</vt:i4>
      </vt:variant>
      <vt:variant>
        <vt:lpwstr>https://www.teipuaronui.co.nz/</vt:lpwstr>
      </vt:variant>
      <vt:variant>
        <vt:lpwstr/>
      </vt:variant>
      <vt:variant>
        <vt:i4>8060964</vt:i4>
      </vt:variant>
      <vt:variant>
        <vt:i4>21</vt:i4>
      </vt:variant>
      <vt:variant>
        <vt:i4>0</vt:i4>
      </vt:variant>
      <vt:variant>
        <vt:i4>5</vt:i4>
      </vt:variant>
      <vt:variant>
        <vt:lpwstr>https://www.hospice.org.nz/mauri-mate/</vt:lpwstr>
      </vt:variant>
      <vt:variant>
        <vt:lpwstr/>
      </vt:variant>
      <vt:variant>
        <vt:i4>1048644</vt:i4>
      </vt:variant>
      <vt:variant>
        <vt:i4>18</vt:i4>
      </vt:variant>
      <vt:variant>
        <vt:i4>0</vt:i4>
      </vt:variant>
      <vt:variant>
        <vt:i4>5</vt:i4>
      </vt:variant>
      <vt:variant>
        <vt:lpwstr>https://www.health.govt.nz/our-work/populations/maori-health/te-tiriti-o-waitangi</vt:lpwstr>
      </vt:variant>
      <vt:variant>
        <vt:lpwstr/>
      </vt:variant>
      <vt:variant>
        <vt:i4>6684777</vt:i4>
      </vt:variant>
      <vt:variant>
        <vt:i4>15</vt:i4>
      </vt:variant>
      <vt:variant>
        <vt:i4>0</vt:i4>
      </vt:variant>
      <vt:variant>
        <vt:i4>5</vt:i4>
      </vt:variant>
      <vt:variant>
        <vt:lpwstr>https://www.health.govt.nz/our-work/regulation-health-and-disability-system/end-life-choice-act-implementation/end-life-choice-act-statutory-bodies-and-governance</vt:lpwstr>
      </vt:variant>
      <vt:variant>
        <vt:lpwstr/>
      </vt:variant>
      <vt:variant>
        <vt:i4>5832709</vt:i4>
      </vt:variant>
      <vt:variant>
        <vt:i4>12</vt:i4>
      </vt:variant>
      <vt:variant>
        <vt:i4>0</vt:i4>
      </vt:variant>
      <vt:variant>
        <vt:i4>5</vt:i4>
      </vt:variant>
      <vt:variant>
        <vt:lpwstr>https://learnonline.health.nz/enrol/index.php?id=470</vt:lpwstr>
      </vt:variant>
      <vt:variant>
        <vt:lpwstr/>
      </vt:variant>
      <vt:variant>
        <vt:i4>6684777</vt:i4>
      </vt:variant>
      <vt:variant>
        <vt:i4>9</vt:i4>
      </vt:variant>
      <vt:variant>
        <vt:i4>0</vt:i4>
      </vt:variant>
      <vt:variant>
        <vt:i4>5</vt:i4>
      </vt:variant>
      <vt:variant>
        <vt:lpwstr>https://www.health.govt.nz/our-work/regulation-health-and-disability-system/end-life-choice-act-implementation/end-life-choice-act-statutory-bodies-and-governance</vt:lpwstr>
      </vt:variant>
      <vt:variant>
        <vt:lpwstr/>
      </vt:variant>
      <vt:variant>
        <vt:i4>7602286</vt:i4>
      </vt:variant>
      <vt:variant>
        <vt:i4>6</vt:i4>
      </vt:variant>
      <vt:variant>
        <vt:i4>0</vt:i4>
      </vt:variant>
      <vt:variant>
        <vt:i4>5</vt:i4>
      </vt:variant>
      <vt:variant>
        <vt:lpwstr>https://www.legislation.govt.nz/act/public/2019/0067/latest/DLM7285905.html</vt:lpwstr>
      </vt:variant>
      <vt:variant>
        <vt:lpwstr/>
      </vt:variant>
      <vt:variant>
        <vt:i4>3342368</vt:i4>
      </vt:variant>
      <vt:variant>
        <vt:i4>3</vt:i4>
      </vt:variant>
      <vt:variant>
        <vt:i4>0</vt:i4>
      </vt:variant>
      <vt:variant>
        <vt:i4>5</vt:i4>
      </vt:variant>
      <vt:variant>
        <vt:lpwstr>https://www.health.govt.nz/our-work/regulation-health-and-disability-system/end-life-choice-act-implementation/end-life-choice-act-implementation-resources</vt:lpwstr>
      </vt:variant>
      <vt:variant>
        <vt:lpwstr/>
      </vt:variant>
      <vt:variant>
        <vt:i4>7602286</vt:i4>
      </vt:variant>
      <vt:variant>
        <vt:i4>0</vt:i4>
      </vt:variant>
      <vt:variant>
        <vt:i4>0</vt:i4>
      </vt:variant>
      <vt:variant>
        <vt:i4>5</vt:i4>
      </vt:variant>
      <vt:variant>
        <vt:lpwstr>https://www.legislation.govt.nz/act/public/2019/0067/latest/DLM7285905.html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Assisted dying care pathways for health practitioners</dc:title>
  <dc:subject/>
  <dc:creator>Ministry of Health</dc:creator>
  <cp:keywords/>
  <cp:lastModifiedBy>Lucy Taylor</cp:lastModifiedBy>
  <cp:revision>2</cp:revision>
  <cp:lastPrinted>2021-09-28T05:16:00Z</cp:lastPrinted>
  <dcterms:created xsi:type="dcterms:W3CDTF">2021-11-01T21:43:00Z</dcterms:created>
  <dcterms:modified xsi:type="dcterms:W3CDTF">2021-11-01T21:43:00Z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