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9589" w14:textId="08F2D4A9" w:rsidR="00E43EE0" w:rsidRPr="00E47C14" w:rsidRDefault="035CC526" w:rsidP="00E47C14">
      <w:pPr>
        <w:pStyle w:val="Title"/>
      </w:pPr>
      <w:r w:rsidRPr="00E47C14">
        <w:t xml:space="preserve">NZNO </w:t>
      </w:r>
      <w:r w:rsidR="452C8025" w:rsidRPr="00E47C14">
        <w:t>Nursing Workforce Factsheet</w:t>
      </w:r>
    </w:p>
    <w:p w14:paraId="7D33D5BA" w14:textId="3BE951E3" w:rsidR="00E43EE0" w:rsidRPr="00E43EE0" w:rsidRDefault="00197495" w:rsidP="00B77BDD">
      <w:pPr>
        <w:pStyle w:val="Subtitle"/>
      </w:pPr>
      <w:r>
        <w:t>August</w:t>
      </w:r>
      <w:r w:rsidR="452C8025" w:rsidRPr="00B77BDD">
        <w:t xml:space="preserve"> 2025</w:t>
      </w:r>
    </w:p>
    <w:p w14:paraId="46C1F844" w14:textId="3B0E72F0" w:rsidR="00E43EE0" w:rsidRPr="00E43EE0" w:rsidRDefault="452C8025" w:rsidP="002F2DB8">
      <w:pPr>
        <w:pStyle w:val="Heading1"/>
      </w:pPr>
      <w:r w:rsidRPr="002F2DB8">
        <w:t>Key</w:t>
      </w:r>
      <w:r w:rsidR="002F2DB8">
        <w:t xml:space="preserve"> NZNO</w:t>
      </w:r>
      <w:r w:rsidRPr="002F2DB8">
        <w:t xml:space="preserve"> nursing workforce stats </w:t>
      </w:r>
    </w:p>
    <w:p w14:paraId="39124B98" w14:textId="27C8F65F" w:rsidR="00E43EE0" w:rsidRPr="00890413" w:rsidRDefault="452C8025" w:rsidP="00FB741A">
      <w:pPr>
        <w:pStyle w:val="Bulletpoint"/>
        <w:numPr>
          <w:ilvl w:val="0"/>
          <w:numId w:val="8"/>
        </w:numPr>
        <w:ind w:left="357" w:hanging="357"/>
      </w:pPr>
      <w:r w:rsidRPr="00890413">
        <w:t>3</w:t>
      </w:r>
      <w:r w:rsidR="00CC0349">
        <w:t>5</w:t>
      </w:r>
      <w:r w:rsidRPr="00890413">
        <w:t>,</w:t>
      </w:r>
      <w:r w:rsidR="00CC0349">
        <w:t>341</w:t>
      </w:r>
      <w:r w:rsidRPr="00890413">
        <w:t xml:space="preserve"> individuals employed, with an FTE of </w:t>
      </w:r>
      <w:r w:rsidR="00CC0349">
        <w:t>29,578.5</w:t>
      </w:r>
      <w:r w:rsidRPr="00890413">
        <w:t>.</w:t>
      </w:r>
      <w:r w:rsidR="005E139F">
        <w:rPr>
          <w:rStyle w:val="FootnoteReference"/>
        </w:rPr>
        <w:footnoteReference w:id="2"/>
      </w:r>
    </w:p>
    <w:p w14:paraId="3C6A47CF" w14:textId="4815FBA8" w:rsidR="009B29AD" w:rsidRDefault="452C8025" w:rsidP="00FB741A">
      <w:pPr>
        <w:pStyle w:val="Bulletpoint"/>
        <w:numPr>
          <w:ilvl w:val="0"/>
          <w:numId w:val="8"/>
        </w:numPr>
        <w:ind w:left="357" w:hanging="357"/>
      </w:pPr>
      <w:r w:rsidRPr="00890413">
        <w:t xml:space="preserve">Overall FTE increased by </w:t>
      </w:r>
      <w:r w:rsidR="00CC0349">
        <w:t>178.4</w:t>
      </w:r>
      <w:r w:rsidRPr="00890413">
        <w:t xml:space="preserve"> FTE between </w:t>
      </w:r>
      <w:r w:rsidR="00CC0349">
        <w:t>March</w:t>
      </w:r>
      <w:r w:rsidRPr="00890413">
        <w:t xml:space="preserve"> 202</w:t>
      </w:r>
      <w:r w:rsidR="00CC0349">
        <w:t>4</w:t>
      </w:r>
      <w:r w:rsidRPr="00890413">
        <w:t xml:space="preserve"> (2</w:t>
      </w:r>
      <w:r w:rsidR="00CC0349">
        <w:t>9</w:t>
      </w:r>
      <w:r w:rsidRPr="00890413">
        <w:t>,</w:t>
      </w:r>
      <w:r w:rsidR="00CC0349">
        <w:t>400.1</w:t>
      </w:r>
      <w:r w:rsidRPr="00890413">
        <w:t xml:space="preserve"> FTE) and </w:t>
      </w:r>
      <w:r w:rsidR="00CC0349">
        <w:t>March</w:t>
      </w:r>
      <w:r w:rsidRPr="00890413">
        <w:t xml:space="preserve"> 202</w:t>
      </w:r>
      <w:r w:rsidR="00CC0349">
        <w:t>5</w:t>
      </w:r>
      <w:r w:rsidRPr="00890413">
        <w:t xml:space="preserve"> (29,</w:t>
      </w:r>
      <w:r w:rsidR="00CC0349">
        <w:t>578.5)</w:t>
      </w:r>
      <w:r w:rsidRPr="00890413">
        <w:t>.</w:t>
      </w:r>
    </w:p>
    <w:p w14:paraId="43ECDB85" w14:textId="77777777" w:rsidR="00A46EC0" w:rsidRPr="00A46EC0" w:rsidRDefault="00A46EC0" w:rsidP="00A46EC0"/>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67"/>
        <w:gridCol w:w="2535"/>
        <w:gridCol w:w="2533"/>
        <w:gridCol w:w="2254"/>
      </w:tblGrid>
      <w:tr w:rsidR="07BBA626" w14:paraId="1A2A7DC9" w14:textId="77777777" w:rsidTr="07BBA626">
        <w:trPr>
          <w:trHeight w:val="300"/>
        </w:trPr>
        <w:tc>
          <w:tcPr>
            <w:tcW w:w="10689"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3CFD12F" w14:textId="64F2B751" w:rsidR="07BBA626" w:rsidRDefault="07BBA626" w:rsidP="00290F1B">
            <w:pPr>
              <w:spacing w:before="0"/>
            </w:pPr>
            <w:r w:rsidRPr="07BBA626">
              <w:rPr>
                <w:rFonts w:ascii="Arial" w:eastAsia="Arial" w:hAnsi="Arial" w:cs="Arial"/>
                <w:b/>
                <w:bCs/>
                <w:szCs w:val="24"/>
              </w:rPr>
              <w:t>Average wage and remuneration including allowances / overtime / penal rates</w:t>
            </w:r>
          </w:p>
        </w:tc>
      </w:tr>
      <w:tr w:rsidR="07BBA626" w14:paraId="19DBA8B8" w14:textId="77777777" w:rsidTr="07BBA626">
        <w:trPr>
          <w:trHeight w:val="300"/>
        </w:trPr>
        <w:tc>
          <w:tcPr>
            <w:tcW w:w="3367" w:type="dxa"/>
            <w:tcBorders>
              <w:top w:val="single" w:sz="8" w:space="0" w:color="auto"/>
              <w:left w:val="single" w:sz="8" w:space="0" w:color="auto"/>
              <w:bottom w:val="single" w:sz="8" w:space="0" w:color="auto"/>
              <w:right w:val="single" w:sz="8" w:space="0" w:color="auto"/>
            </w:tcBorders>
            <w:vAlign w:val="center"/>
          </w:tcPr>
          <w:p w14:paraId="62C7E527" w14:textId="08791B28" w:rsidR="07BBA626" w:rsidRDefault="07BBA626" w:rsidP="00290F1B">
            <w:pPr>
              <w:spacing w:before="0"/>
            </w:pPr>
            <w:r w:rsidRPr="07BBA626">
              <w:rPr>
                <w:rFonts w:ascii="Arial" w:eastAsia="Arial" w:hAnsi="Arial" w:cs="Arial"/>
                <w:b/>
                <w:bCs/>
                <w:szCs w:val="24"/>
              </w:rPr>
              <w:t>Nurse</w:t>
            </w:r>
            <w:r w:rsidRPr="07BBA626">
              <w:rPr>
                <w:rFonts w:ascii="Arial" w:eastAsia="Arial" w:hAnsi="Arial" w:cs="Arial"/>
                <w:szCs w:val="24"/>
              </w:rPr>
              <w:t xml:space="preserve"> </w:t>
            </w:r>
          </w:p>
        </w:tc>
        <w:tc>
          <w:tcPr>
            <w:tcW w:w="2535" w:type="dxa"/>
            <w:tcBorders>
              <w:top w:val="nil"/>
              <w:left w:val="single" w:sz="8" w:space="0" w:color="auto"/>
              <w:bottom w:val="single" w:sz="8" w:space="0" w:color="auto"/>
              <w:right w:val="single" w:sz="8" w:space="0" w:color="auto"/>
            </w:tcBorders>
            <w:vAlign w:val="center"/>
          </w:tcPr>
          <w:p w14:paraId="5BE18CD4" w14:textId="0939FE21" w:rsidR="07BBA626" w:rsidRDefault="07BBA626" w:rsidP="00290F1B">
            <w:pPr>
              <w:spacing w:before="0"/>
            </w:pPr>
            <w:r w:rsidRPr="07BBA626">
              <w:rPr>
                <w:rFonts w:ascii="Arial" w:eastAsia="Arial" w:hAnsi="Arial" w:cs="Arial"/>
                <w:b/>
                <w:bCs/>
                <w:szCs w:val="24"/>
              </w:rPr>
              <w:t>Base Salary</w:t>
            </w:r>
            <w:r w:rsidRPr="07BBA626">
              <w:rPr>
                <w:rFonts w:ascii="Arial" w:eastAsia="Arial" w:hAnsi="Arial" w:cs="Arial"/>
                <w:szCs w:val="24"/>
              </w:rPr>
              <w:t xml:space="preserve"> </w:t>
            </w:r>
          </w:p>
        </w:tc>
        <w:tc>
          <w:tcPr>
            <w:tcW w:w="2533" w:type="dxa"/>
            <w:tcBorders>
              <w:top w:val="nil"/>
              <w:left w:val="single" w:sz="8" w:space="0" w:color="auto"/>
              <w:bottom w:val="single" w:sz="8" w:space="0" w:color="auto"/>
              <w:right w:val="single" w:sz="8" w:space="0" w:color="auto"/>
            </w:tcBorders>
            <w:vAlign w:val="center"/>
          </w:tcPr>
          <w:p w14:paraId="3F911602" w14:textId="64FE0A57" w:rsidR="07BBA626" w:rsidRDefault="07BBA626" w:rsidP="00290F1B">
            <w:pPr>
              <w:spacing w:before="0"/>
            </w:pPr>
            <w:r w:rsidRPr="07BBA626">
              <w:rPr>
                <w:rFonts w:ascii="Arial" w:eastAsia="Arial" w:hAnsi="Arial" w:cs="Arial"/>
                <w:b/>
                <w:bCs/>
                <w:szCs w:val="24"/>
              </w:rPr>
              <w:t xml:space="preserve">Median Penal Rate </w:t>
            </w:r>
            <w:r w:rsidRPr="07BBA626">
              <w:rPr>
                <w:rFonts w:ascii="Arial" w:eastAsia="Arial" w:hAnsi="Arial" w:cs="Arial"/>
                <w:szCs w:val="24"/>
              </w:rPr>
              <w:t xml:space="preserve"> </w:t>
            </w:r>
          </w:p>
        </w:tc>
        <w:tc>
          <w:tcPr>
            <w:tcW w:w="2254" w:type="dxa"/>
            <w:tcBorders>
              <w:top w:val="nil"/>
              <w:left w:val="single" w:sz="8" w:space="0" w:color="auto"/>
              <w:bottom w:val="single" w:sz="8" w:space="0" w:color="auto"/>
              <w:right w:val="single" w:sz="8" w:space="0" w:color="auto"/>
            </w:tcBorders>
            <w:vAlign w:val="center"/>
          </w:tcPr>
          <w:p w14:paraId="7E08B7A6" w14:textId="5666F3E8" w:rsidR="07BBA626" w:rsidRDefault="07BBA626" w:rsidP="00290F1B">
            <w:pPr>
              <w:spacing w:before="0"/>
            </w:pPr>
            <w:r w:rsidRPr="07BBA626">
              <w:rPr>
                <w:rFonts w:ascii="Arial" w:eastAsia="Arial" w:hAnsi="Arial" w:cs="Arial"/>
                <w:b/>
                <w:bCs/>
                <w:szCs w:val="24"/>
              </w:rPr>
              <w:t>Total*</w:t>
            </w:r>
            <w:r w:rsidRPr="07BBA626">
              <w:rPr>
                <w:rFonts w:ascii="Arial" w:eastAsia="Arial" w:hAnsi="Arial" w:cs="Arial"/>
                <w:szCs w:val="24"/>
              </w:rPr>
              <w:t xml:space="preserve"> </w:t>
            </w:r>
          </w:p>
        </w:tc>
      </w:tr>
      <w:tr w:rsidR="07BBA626" w14:paraId="4FDC5798" w14:textId="77777777" w:rsidTr="07BBA626">
        <w:trPr>
          <w:trHeight w:val="300"/>
        </w:trPr>
        <w:tc>
          <w:tcPr>
            <w:tcW w:w="3367" w:type="dxa"/>
            <w:tcBorders>
              <w:top w:val="single" w:sz="8" w:space="0" w:color="auto"/>
              <w:left w:val="single" w:sz="8" w:space="0" w:color="auto"/>
              <w:bottom w:val="single" w:sz="8" w:space="0" w:color="auto"/>
              <w:right w:val="single" w:sz="8" w:space="0" w:color="auto"/>
            </w:tcBorders>
            <w:vAlign w:val="center"/>
          </w:tcPr>
          <w:p w14:paraId="394A18E4" w14:textId="3FB05FF6" w:rsidR="07BBA626" w:rsidRDefault="07BBA626" w:rsidP="00290F1B">
            <w:pPr>
              <w:spacing w:before="0"/>
            </w:pPr>
            <w:r w:rsidRPr="07BBA626">
              <w:rPr>
                <w:rFonts w:ascii="Arial" w:eastAsia="Arial" w:hAnsi="Arial" w:cs="Arial"/>
                <w:szCs w:val="24"/>
              </w:rPr>
              <w:t xml:space="preserve">Graduate RN1 </w:t>
            </w:r>
          </w:p>
        </w:tc>
        <w:tc>
          <w:tcPr>
            <w:tcW w:w="2535" w:type="dxa"/>
            <w:tcBorders>
              <w:top w:val="single" w:sz="8" w:space="0" w:color="auto"/>
              <w:left w:val="single" w:sz="8" w:space="0" w:color="auto"/>
              <w:bottom w:val="single" w:sz="8" w:space="0" w:color="auto"/>
              <w:right w:val="single" w:sz="8" w:space="0" w:color="auto"/>
            </w:tcBorders>
            <w:vAlign w:val="center"/>
          </w:tcPr>
          <w:p w14:paraId="666F1A78" w14:textId="6E870EC5" w:rsidR="07BBA626" w:rsidRDefault="07BBA626" w:rsidP="00290F1B">
            <w:pPr>
              <w:spacing w:before="0"/>
            </w:pPr>
            <w:r w:rsidRPr="07BBA626">
              <w:rPr>
                <w:rFonts w:ascii="Arial" w:eastAsia="Arial" w:hAnsi="Arial" w:cs="Arial"/>
                <w:szCs w:val="24"/>
              </w:rPr>
              <w:t xml:space="preserve">$75,773 </w:t>
            </w:r>
          </w:p>
        </w:tc>
        <w:tc>
          <w:tcPr>
            <w:tcW w:w="2533" w:type="dxa"/>
            <w:tcBorders>
              <w:top w:val="single" w:sz="8" w:space="0" w:color="auto"/>
              <w:left w:val="single" w:sz="8" w:space="0" w:color="auto"/>
              <w:bottom w:val="single" w:sz="8" w:space="0" w:color="auto"/>
              <w:right w:val="single" w:sz="8" w:space="0" w:color="auto"/>
            </w:tcBorders>
            <w:vAlign w:val="center"/>
          </w:tcPr>
          <w:p w14:paraId="2BC91181" w14:textId="45F920BB" w:rsidR="07BBA626" w:rsidRDefault="07BBA626" w:rsidP="00290F1B">
            <w:pPr>
              <w:spacing w:before="0"/>
            </w:pPr>
            <w:r w:rsidRPr="07BBA626">
              <w:rPr>
                <w:rFonts w:ascii="Arial" w:eastAsia="Arial" w:hAnsi="Arial" w:cs="Arial"/>
                <w:szCs w:val="24"/>
              </w:rPr>
              <w:t xml:space="preserve">$921 </w:t>
            </w:r>
          </w:p>
        </w:tc>
        <w:tc>
          <w:tcPr>
            <w:tcW w:w="2254" w:type="dxa"/>
            <w:tcBorders>
              <w:top w:val="single" w:sz="8" w:space="0" w:color="auto"/>
              <w:left w:val="single" w:sz="8" w:space="0" w:color="auto"/>
              <w:bottom w:val="single" w:sz="8" w:space="0" w:color="auto"/>
              <w:right w:val="single" w:sz="8" w:space="0" w:color="auto"/>
            </w:tcBorders>
            <w:vAlign w:val="center"/>
          </w:tcPr>
          <w:p w14:paraId="60EAEBCF" w14:textId="60CF8E33" w:rsidR="07BBA626" w:rsidRDefault="07BBA626" w:rsidP="00290F1B">
            <w:pPr>
              <w:spacing w:before="0"/>
            </w:pPr>
            <w:r w:rsidRPr="07BBA626">
              <w:rPr>
                <w:rFonts w:ascii="Arial" w:eastAsia="Arial" w:hAnsi="Arial" w:cs="Arial"/>
                <w:szCs w:val="24"/>
              </w:rPr>
              <w:t xml:space="preserve">$76,694 </w:t>
            </w:r>
          </w:p>
        </w:tc>
      </w:tr>
      <w:tr w:rsidR="07BBA626" w14:paraId="38ACBBDD" w14:textId="77777777" w:rsidTr="07BBA626">
        <w:trPr>
          <w:trHeight w:val="300"/>
        </w:trPr>
        <w:tc>
          <w:tcPr>
            <w:tcW w:w="3367" w:type="dxa"/>
            <w:tcBorders>
              <w:top w:val="single" w:sz="8" w:space="0" w:color="auto"/>
              <w:left w:val="single" w:sz="8" w:space="0" w:color="auto"/>
              <w:bottom w:val="single" w:sz="8" w:space="0" w:color="auto"/>
              <w:right w:val="single" w:sz="8" w:space="0" w:color="auto"/>
            </w:tcBorders>
            <w:vAlign w:val="center"/>
          </w:tcPr>
          <w:p w14:paraId="513D5E4A" w14:textId="383CDC17" w:rsidR="07BBA626" w:rsidRDefault="07BBA626" w:rsidP="00290F1B">
            <w:pPr>
              <w:spacing w:before="0"/>
            </w:pPr>
            <w:r w:rsidRPr="07BBA626">
              <w:rPr>
                <w:rFonts w:ascii="Arial" w:eastAsia="Arial" w:hAnsi="Arial" w:cs="Arial"/>
                <w:szCs w:val="24"/>
              </w:rPr>
              <w:t xml:space="preserve">Middle Step RN4 </w:t>
            </w:r>
          </w:p>
        </w:tc>
        <w:tc>
          <w:tcPr>
            <w:tcW w:w="2535" w:type="dxa"/>
            <w:tcBorders>
              <w:top w:val="single" w:sz="8" w:space="0" w:color="auto"/>
              <w:left w:val="single" w:sz="8" w:space="0" w:color="auto"/>
              <w:bottom w:val="single" w:sz="8" w:space="0" w:color="auto"/>
              <w:right w:val="single" w:sz="8" w:space="0" w:color="auto"/>
            </w:tcBorders>
            <w:vAlign w:val="center"/>
          </w:tcPr>
          <w:p w14:paraId="50D11BFC" w14:textId="70127CB2" w:rsidR="07BBA626" w:rsidRDefault="07BBA626" w:rsidP="00290F1B">
            <w:pPr>
              <w:spacing w:before="0"/>
            </w:pPr>
            <w:r w:rsidRPr="07BBA626">
              <w:rPr>
                <w:rFonts w:ascii="Arial" w:eastAsia="Arial" w:hAnsi="Arial" w:cs="Arial"/>
                <w:color w:val="000000" w:themeColor="text1"/>
                <w:szCs w:val="24"/>
                <w:lang w:val="en-US"/>
              </w:rPr>
              <w:t>$91,179</w:t>
            </w:r>
            <w:r w:rsidRPr="07BBA626">
              <w:rPr>
                <w:rFonts w:ascii="Arial" w:eastAsia="Arial" w:hAnsi="Arial" w:cs="Arial"/>
                <w:color w:val="000000" w:themeColor="text1"/>
                <w:szCs w:val="24"/>
              </w:rPr>
              <w:t xml:space="preserve"> </w:t>
            </w:r>
          </w:p>
        </w:tc>
        <w:tc>
          <w:tcPr>
            <w:tcW w:w="2533" w:type="dxa"/>
            <w:tcBorders>
              <w:top w:val="single" w:sz="8" w:space="0" w:color="auto"/>
              <w:left w:val="single" w:sz="8" w:space="0" w:color="auto"/>
              <w:bottom w:val="single" w:sz="8" w:space="0" w:color="auto"/>
              <w:right w:val="single" w:sz="8" w:space="0" w:color="auto"/>
            </w:tcBorders>
            <w:vAlign w:val="center"/>
          </w:tcPr>
          <w:p w14:paraId="08FA1EBB" w14:textId="0CFE948F" w:rsidR="07BBA626" w:rsidRDefault="07BBA626" w:rsidP="00290F1B">
            <w:pPr>
              <w:spacing w:before="0"/>
            </w:pPr>
            <w:r w:rsidRPr="07BBA626">
              <w:rPr>
                <w:rFonts w:ascii="Arial" w:eastAsia="Arial" w:hAnsi="Arial" w:cs="Arial"/>
                <w:color w:val="000000" w:themeColor="text1"/>
                <w:szCs w:val="24"/>
                <w:lang w:val="en-US"/>
              </w:rPr>
              <w:t>$9,831</w:t>
            </w:r>
            <w:r w:rsidRPr="07BBA626">
              <w:rPr>
                <w:rFonts w:ascii="Arial" w:eastAsia="Arial" w:hAnsi="Arial" w:cs="Arial"/>
                <w:color w:val="000000" w:themeColor="text1"/>
                <w:szCs w:val="24"/>
              </w:rPr>
              <w:t xml:space="preserve"> </w:t>
            </w:r>
          </w:p>
        </w:tc>
        <w:tc>
          <w:tcPr>
            <w:tcW w:w="2254" w:type="dxa"/>
            <w:tcBorders>
              <w:top w:val="single" w:sz="8" w:space="0" w:color="auto"/>
              <w:left w:val="single" w:sz="8" w:space="0" w:color="auto"/>
              <w:bottom w:val="single" w:sz="8" w:space="0" w:color="auto"/>
              <w:right w:val="single" w:sz="8" w:space="0" w:color="auto"/>
            </w:tcBorders>
            <w:vAlign w:val="center"/>
          </w:tcPr>
          <w:p w14:paraId="70EF9C8F" w14:textId="5F49D31E" w:rsidR="07BBA626" w:rsidRDefault="07BBA626" w:rsidP="00290F1B">
            <w:pPr>
              <w:spacing w:before="0"/>
            </w:pPr>
            <w:r w:rsidRPr="07BBA626">
              <w:rPr>
                <w:rFonts w:ascii="Arial" w:eastAsia="Arial" w:hAnsi="Arial" w:cs="Arial"/>
                <w:color w:val="000000" w:themeColor="text1"/>
                <w:szCs w:val="24"/>
                <w:lang w:val="en-US"/>
              </w:rPr>
              <w:t>$103,357</w:t>
            </w:r>
            <w:r w:rsidRPr="07BBA626">
              <w:rPr>
                <w:rFonts w:ascii="Arial" w:eastAsia="Arial" w:hAnsi="Arial" w:cs="Arial"/>
                <w:color w:val="000000" w:themeColor="text1"/>
                <w:szCs w:val="24"/>
              </w:rPr>
              <w:t xml:space="preserve"> </w:t>
            </w:r>
          </w:p>
        </w:tc>
      </w:tr>
      <w:tr w:rsidR="07BBA626" w14:paraId="277690A0" w14:textId="77777777" w:rsidTr="07BBA626">
        <w:trPr>
          <w:trHeight w:val="300"/>
        </w:trPr>
        <w:tc>
          <w:tcPr>
            <w:tcW w:w="3367" w:type="dxa"/>
            <w:tcBorders>
              <w:top w:val="single" w:sz="8" w:space="0" w:color="auto"/>
              <w:left w:val="single" w:sz="8" w:space="0" w:color="auto"/>
              <w:bottom w:val="single" w:sz="8" w:space="0" w:color="auto"/>
              <w:right w:val="single" w:sz="8" w:space="0" w:color="auto"/>
            </w:tcBorders>
            <w:vAlign w:val="center"/>
          </w:tcPr>
          <w:p w14:paraId="38079EE6" w14:textId="77A416A1" w:rsidR="07BBA626" w:rsidRDefault="07BBA626" w:rsidP="00290F1B">
            <w:pPr>
              <w:spacing w:before="0"/>
            </w:pPr>
            <w:r w:rsidRPr="07BBA626">
              <w:rPr>
                <w:rFonts w:ascii="Arial" w:eastAsia="Arial" w:hAnsi="Arial" w:cs="Arial"/>
                <w:szCs w:val="24"/>
              </w:rPr>
              <w:t xml:space="preserve">Top Step RN7 (6+ years) </w:t>
            </w:r>
          </w:p>
        </w:tc>
        <w:tc>
          <w:tcPr>
            <w:tcW w:w="2535" w:type="dxa"/>
            <w:tcBorders>
              <w:top w:val="single" w:sz="8" w:space="0" w:color="auto"/>
              <w:left w:val="single" w:sz="8" w:space="0" w:color="auto"/>
              <w:bottom w:val="single" w:sz="8" w:space="0" w:color="auto"/>
              <w:right w:val="single" w:sz="8" w:space="0" w:color="auto"/>
            </w:tcBorders>
            <w:vAlign w:val="center"/>
          </w:tcPr>
          <w:p w14:paraId="2C13B1F9" w14:textId="27A277AB" w:rsidR="07BBA626" w:rsidRDefault="07BBA626" w:rsidP="00290F1B">
            <w:pPr>
              <w:spacing w:before="0"/>
            </w:pPr>
            <w:r w:rsidRPr="07BBA626">
              <w:rPr>
                <w:rFonts w:ascii="Arial" w:eastAsia="Arial" w:hAnsi="Arial" w:cs="Arial"/>
                <w:szCs w:val="24"/>
              </w:rPr>
              <w:t xml:space="preserve">$106,739 </w:t>
            </w:r>
          </w:p>
        </w:tc>
        <w:tc>
          <w:tcPr>
            <w:tcW w:w="2533" w:type="dxa"/>
            <w:tcBorders>
              <w:top w:val="single" w:sz="8" w:space="0" w:color="auto"/>
              <w:left w:val="single" w:sz="8" w:space="0" w:color="auto"/>
              <w:bottom w:val="single" w:sz="8" w:space="0" w:color="auto"/>
              <w:right w:val="single" w:sz="8" w:space="0" w:color="auto"/>
            </w:tcBorders>
            <w:vAlign w:val="center"/>
          </w:tcPr>
          <w:p w14:paraId="622915A6" w14:textId="57BDEBD3" w:rsidR="07BBA626" w:rsidRDefault="07BBA626" w:rsidP="00290F1B">
            <w:pPr>
              <w:spacing w:before="0"/>
            </w:pPr>
            <w:r w:rsidRPr="07BBA626">
              <w:rPr>
                <w:rFonts w:ascii="Arial" w:eastAsia="Arial" w:hAnsi="Arial" w:cs="Arial"/>
                <w:szCs w:val="24"/>
              </w:rPr>
              <w:t xml:space="preserve">$13,390 </w:t>
            </w:r>
          </w:p>
        </w:tc>
        <w:tc>
          <w:tcPr>
            <w:tcW w:w="2254" w:type="dxa"/>
            <w:tcBorders>
              <w:top w:val="single" w:sz="8" w:space="0" w:color="auto"/>
              <w:left w:val="single" w:sz="8" w:space="0" w:color="auto"/>
              <w:bottom w:val="single" w:sz="8" w:space="0" w:color="auto"/>
              <w:right w:val="single" w:sz="8" w:space="0" w:color="auto"/>
            </w:tcBorders>
            <w:vAlign w:val="center"/>
          </w:tcPr>
          <w:p w14:paraId="2B6ADB31" w14:textId="2CD70A30" w:rsidR="07BBA626" w:rsidRDefault="07BBA626" w:rsidP="00290F1B">
            <w:pPr>
              <w:spacing w:before="0"/>
            </w:pPr>
            <w:r w:rsidRPr="07BBA626">
              <w:rPr>
                <w:rFonts w:ascii="Arial" w:eastAsia="Arial" w:hAnsi="Arial" w:cs="Arial"/>
                <w:szCs w:val="24"/>
              </w:rPr>
              <w:t xml:space="preserve">$120,129 </w:t>
            </w:r>
          </w:p>
        </w:tc>
      </w:tr>
    </w:tbl>
    <w:p w14:paraId="4114B9B2" w14:textId="18507189" w:rsidR="00842D56" w:rsidRPr="006213F8" w:rsidRDefault="452C8025" w:rsidP="00842D56">
      <w:pPr>
        <w:rPr>
          <w:rFonts w:cstheme="minorHAnsi"/>
        </w:rPr>
      </w:pPr>
      <w:r w:rsidRPr="006213F8">
        <w:rPr>
          <w:rFonts w:eastAsia="Arial" w:cstheme="minorHAnsi"/>
          <w:b/>
          <w:bCs/>
          <w:color w:val="000000" w:themeColor="text1"/>
          <w:szCs w:val="24"/>
          <w:lang w:val="en-US"/>
        </w:rPr>
        <w:t>*Note:</w:t>
      </w:r>
      <w:r w:rsidRPr="006213F8">
        <w:rPr>
          <w:rFonts w:eastAsia="Arial" w:cstheme="minorHAnsi"/>
          <w:color w:val="000000" w:themeColor="text1"/>
          <w:szCs w:val="24"/>
          <w:lang w:val="en-US"/>
        </w:rPr>
        <w:t xml:space="preserve"> Total excludes up to $4,500 PDRP allowance and overtime.</w:t>
      </w:r>
      <w:r w:rsidRPr="006213F8">
        <w:rPr>
          <w:rFonts w:eastAsia="Arial" w:cstheme="minorHAnsi"/>
          <w:color w:val="000000" w:themeColor="text1"/>
          <w:szCs w:val="24"/>
        </w:rPr>
        <w:t xml:space="preserve"> </w:t>
      </w:r>
    </w:p>
    <w:p w14:paraId="04353DFD" w14:textId="77777777" w:rsidR="00290F1B" w:rsidRPr="00E83AE3" w:rsidRDefault="452C8025" w:rsidP="00FB741A">
      <w:pPr>
        <w:pStyle w:val="Bulletpoint"/>
        <w:numPr>
          <w:ilvl w:val="0"/>
          <w:numId w:val="9"/>
        </w:numPr>
        <w:spacing w:before="240"/>
      </w:pPr>
      <w:r w:rsidRPr="00E83AE3">
        <w:t>The weighted average base FTE salary for a nurse is $101,189 p.a., with the Registered Nurse Step 5 pay point being the closest to this, at $100,849 p.a.</w:t>
      </w:r>
    </w:p>
    <w:p w14:paraId="175DAF16" w14:textId="2A595BA9" w:rsidR="00E43EE0" w:rsidRPr="00E83AE3" w:rsidRDefault="452C8025" w:rsidP="00FB741A">
      <w:pPr>
        <w:pStyle w:val="Bulletpoint"/>
        <w:numPr>
          <w:ilvl w:val="0"/>
          <w:numId w:val="9"/>
        </w:numPr>
        <w:spacing w:before="240"/>
      </w:pPr>
      <w:r w:rsidRPr="00E83AE3">
        <w:t xml:space="preserve">$125,662 is the average </w:t>
      </w:r>
      <w:r w:rsidR="00DF7478">
        <w:t xml:space="preserve">salary </w:t>
      </w:r>
      <w:r w:rsidRPr="00E83AE3">
        <w:t>for both Senior and Registered Nurses and includes</w:t>
      </w:r>
      <w:r w:rsidR="00EA2D35" w:rsidRPr="00E83AE3">
        <w:t xml:space="preserve"> overtime</w:t>
      </w:r>
      <w:r w:rsidRPr="00E83AE3">
        <w:t>, PDRP</w:t>
      </w:r>
      <w:r w:rsidR="00EA2D35" w:rsidRPr="00E83AE3">
        <w:t xml:space="preserve"> allowance</w:t>
      </w:r>
      <w:r w:rsidRPr="00E83AE3">
        <w:t xml:space="preserve"> and penal rates. </w:t>
      </w:r>
    </w:p>
    <w:p w14:paraId="109923AC" w14:textId="785B0290" w:rsidR="00E43EE0" w:rsidRDefault="00E43EE0" w:rsidP="00135F15">
      <w:pPr>
        <w:pStyle w:val="Heading1"/>
      </w:pPr>
      <w:r w:rsidRPr="006F7AAB">
        <w:t xml:space="preserve">Wage increases over time </w:t>
      </w:r>
    </w:p>
    <w:p w14:paraId="63AD9134" w14:textId="77777777" w:rsidR="005E139F" w:rsidRPr="00890413" w:rsidRDefault="005E139F" w:rsidP="005E139F">
      <w:r w:rsidRPr="00890413">
        <w:t xml:space="preserve">Since 2011, the Household Living Cost Price Index has grown by 39.9% and over the same time the Labour Cost Index has grown by 35.53%. </w:t>
      </w:r>
    </w:p>
    <w:p w14:paraId="14A86238" w14:textId="77777777" w:rsidR="005E139F" w:rsidRPr="00890413" w:rsidRDefault="005E139F" w:rsidP="005E139F">
      <w:r w:rsidRPr="00890413">
        <w:t xml:space="preserve">In comparison the top salary step of a registered nurse covered by the NZNO collective agreement has risen by 73.95% and for the middle step the rise has been 65.1%. </w:t>
      </w:r>
    </w:p>
    <w:p w14:paraId="1ACCA828" w14:textId="77777777" w:rsidR="005E139F" w:rsidRPr="00890413" w:rsidRDefault="005E139F" w:rsidP="005E139F">
      <w:r w:rsidRPr="00890413">
        <w:t>Over the same period the wage growth for a senior nurse at the top of the pay scale has been 54.05% while the increase for a nurse at the middle of the pay scale has been 60.66%.</w:t>
      </w:r>
    </w:p>
    <w:p w14:paraId="385BC7A5" w14:textId="77777777" w:rsidR="005E139F" w:rsidRPr="00890413" w:rsidRDefault="005E139F" w:rsidP="005E139F">
      <w:r w:rsidRPr="00890413">
        <w:t>These figures include growth from the Pay Equity adjustment.</w:t>
      </w:r>
    </w:p>
    <w:p w14:paraId="3406D8DD" w14:textId="1D9492CA" w:rsidR="005E139F" w:rsidRPr="00890413" w:rsidRDefault="005E139F" w:rsidP="005E139F">
      <w:r w:rsidRPr="00890413">
        <w:t>When pay equity is excluded</w:t>
      </w:r>
      <w:r>
        <w:t>,</w:t>
      </w:r>
      <w:r w:rsidRPr="00890413">
        <w:t xml:space="preserve"> the top salary step for a registered nurse has risen by 45.24%</w:t>
      </w:r>
      <w:r>
        <w:t xml:space="preserve">, with </w:t>
      </w:r>
      <w:r w:rsidR="00771A32">
        <w:t xml:space="preserve">a </w:t>
      </w:r>
      <w:r w:rsidR="00771A32" w:rsidRPr="00890413">
        <w:t>39.57</w:t>
      </w:r>
      <w:r w:rsidRPr="00890413">
        <w:t>%</w:t>
      </w:r>
      <w:r>
        <w:t xml:space="preserve"> increase</w:t>
      </w:r>
      <w:r w:rsidRPr="00890413">
        <w:t xml:space="preserve"> for the middle salary step. For senior nurses the top salary step has grown by 37.34% excluding pay equity, and the middle step of the pay scale rose 36.01%.</w:t>
      </w:r>
    </w:p>
    <w:p w14:paraId="05BA5A8C" w14:textId="77777777" w:rsidR="005E139F" w:rsidRDefault="005E139F" w:rsidP="005E139F">
      <w:r w:rsidRPr="00890413">
        <w:t xml:space="preserve">Nurses got sizeable pay increases through the last collective bargaining agreement.  In the first year (from 1 April 2023) they received an extra $4000 (or $5000 for a senior nurse), plus a one-off lump </w:t>
      </w:r>
      <w:r w:rsidRPr="00890413">
        <w:lastRenderedPageBreak/>
        <w:t>sum of $750.  From 1 April 2024, they received an additional $2,000 or 3% (whichever was higher), plus a lump sum of $500.</w:t>
      </w:r>
    </w:p>
    <w:p w14:paraId="7A6A8642" w14:textId="77777777" w:rsidR="005E139F" w:rsidRPr="005E139F" w:rsidRDefault="005E139F" w:rsidP="005E139F"/>
    <w:p w14:paraId="6D3203F9" w14:textId="630F002D" w:rsidR="00E12C2B" w:rsidRPr="00E12C2B" w:rsidRDefault="00E12C2B" w:rsidP="00290F1B">
      <w:pPr>
        <w:spacing w:before="0"/>
      </w:pPr>
      <w:r>
        <w:rPr>
          <w:noProof/>
        </w:rPr>
        <w:drawing>
          <wp:inline distT="0" distB="0" distL="0" distR="0" wp14:anchorId="680BFEAB" wp14:editId="2A11EFAD">
            <wp:extent cx="5219343" cy="3400425"/>
            <wp:effectExtent l="19050" t="19050" r="196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9582" cy="3485276"/>
                    </a:xfrm>
                    <a:prstGeom prst="rect">
                      <a:avLst/>
                    </a:prstGeom>
                    <a:noFill/>
                    <a:ln>
                      <a:solidFill>
                        <a:schemeClr val="tx1"/>
                      </a:solidFill>
                    </a:ln>
                  </pic:spPr>
                </pic:pic>
              </a:graphicData>
            </a:graphic>
          </wp:inline>
        </w:drawing>
      </w:r>
      <w:r>
        <w:rPr>
          <w:rFonts w:ascii="Aptos" w:hAnsi="Aptos"/>
          <w:color w:val="000000"/>
          <w:sz w:val="22"/>
          <w:shd w:val="clear" w:color="auto" w:fill="FFFFFF"/>
        </w:rPr>
        <w:br/>
      </w:r>
    </w:p>
    <w:p w14:paraId="655CD4C7" w14:textId="721B4BF0" w:rsidR="00364ACF" w:rsidRPr="00D113C2" w:rsidRDefault="00364ACF" w:rsidP="00E65126">
      <w:pPr>
        <w:pStyle w:val="Heading1"/>
      </w:pPr>
      <w:r w:rsidRPr="00D113C2">
        <w:t>Nurses pay comparison – NZNO and New South Wales, Australia</w:t>
      </w:r>
    </w:p>
    <w:p w14:paraId="0BCFFEAA" w14:textId="6B37BA02" w:rsidR="00D113C2" w:rsidRDefault="00D113C2" w:rsidP="00D113C2">
      <w:pPr>
        <w:pStyle w:val="Numberedbullets"/>
        <w:numPr>
          <w:ilvl w:val="0"/>
          <w:numId w:val="0"/>
        </w:numPr>
        <w:rPr>
          <w:rFonts w:asciiTheme="minorHAnsi" w:eastAsiaTheme="minorHAnsi" w:hAnsiTheme="minorHAnsi" w:cstheme="minorBidi"/>
          <w:sz w:val="24"/>
          <w:shd w:val="clear" w:color="auto" w:fill="auto"/>
          <w:lang w:val="en-GB"/>
        </w:rPr>
      </w:pPr>
      <w:r w:rsidRPr="00D113C2">
        <w:rPr>
          <w:rFonts w:asciiTheme="minorHAnsi" w:eastAsiaTheme="minorHAnsi" w:hAnsiTheme="minorHAnsi" w:cstheme="minorBidi"/>
          <w:sz w:val="24"/>
          <w:shd w:val="clear" w:color="auto" w:fill="auto"/>
          <w:lang w:val="en-GB"/>
        </w:rPr>
        <w:t xml:space="preserve">The </w:t>
      </w:r>
      <w:r>
        <w:rPr>
          <w:rFonts w:asciiTheme="minorHAnsi" w:eastAsiaTheme="minorHAnsi" w:hAnsiTheme="minorHAnsi" w:cstheme="minorBidi"/>
          <w:sz w:val="24"/>
          <w:shd w:val="clear" w:color="auto" w:fill="auto"/>
          <w:lang w:val="en-GB"/>
        </w:rPr>
        <w:t>current New South Wales</w:t>
      </w:r>
      <w:r w:rsidRPr="00D113C2">
        <w:rPr>
          <w:rFonts w:asciiTheme="minorHAnsi" w:eastAsiaTheme="minorHAnsi" w:hAnsiTheme="minorHAnsi" w:cstheme="minorBidi"/>
          <w:sz w:val="24"/>
          <w:shd w:val="clear" w:color="auto" w:fill="auto"/>
          <w:lang w:val="en-GB"/>
        </w:rPr>
        <w:t xml:space="preserve"> </w:t>
      </w:r>
      <w:r w:rsidR="00CC1BB5">
        <w:rPr>
          <w:rFonts w:asciiTheme="minorHAnsi" w:eastAsiaTheme="minorHAnsi" w:hAnsiTheme="minorHAnsi" w:cstheme="minorBidi"/>
          <w:sz w:val="24"/>
          <w:shd w:val="clear" w:color="auto" w:fill="auto"/>
          <w:lang w:val="en-GB"/>
        </w:rPr>
        <w:t xml:space="preserve">(NSW) </w:t>
      </w:r>
      <w:r w:rsidRPr="00D113C2">
        <w:rPr>
          <w:rFonts w:asciiTheme="minorHAnsi" w:eastAsiaTheme="minorHAnsi" w:hAnsiTheme="minorHAnsi" w:cstheme="minorBidi"/>
          <w:sz w:val="24"/>
          <w:shd w:val="clear" w:color="auto" w:fill="auto"/>
          <w:lang w:val="en-GB"/>
        </w:rPr>
        <w:t xml:space="preserve">pay rates have been sourced from </w:t>
      </w:r>
      <w:r>
        <w:rPr>
          <w:rFonts w:asciiTheme="minorHAnsi" w:eastAsiaTheme="minorHAnsi" w:hAnsiTheme="minorHAnsi" w:cstheme="minorBidi"/>
          <w:sz w:val="24"/>
          <w:shd w:val="clear" w:color="auto" w:fill="auto"/>
          <w:lang w:val="en-GB"/>
        </w:rPr>
        <w:t xml:space="preserve">the </w:t>
      </w:r>
      <w:r w:rsidR="00D74A1A" w:rsidRPr="00D74A1A">
        <w:rPr>
          <w:rFonts w:asciiTheme="minorHAnsi" w:eastAsiaTheme="minorHAnsi" w:hAnsiTheme="minorHAnsi" w:cstheme="minorBidi"/>
          <w:sz w:val="24"/>
          <w:shd w:val="clear" w:color="auto" w:fill="auto"/>
          <w:lang w:val="en-GB"/>
        </w:rPr>
        <w:t>Public Health System Nurses and Midwives (State) Award 2023 Award Variatio</w:t>
      </w:r>
      <w:r w:rsidR="00D74A1A" w:rsidRPr="00D74A1A">
        <w:rPr>
          <w:rFonts w:asciiTheme="minorHAnsi" w:eastAsiaTheme="minorHAnsi" w:hAnsiTheme="minorHAnsi" w:cstheme="minorBidi"/>
          <w:sz w:val="24"/>
          <w:shd w:val="clear" w:color="auto" w:fill="auto"/>
          <w:lang w:val="en-GB"/>
        </w:rPr>
        <w:t>n</w:t>
      </w:r>
      <w:r w:rsidR="008A64C4">
        <w:rPr>
          <w:rFonts w:asciiTheme="minorHAnsi" w:eastAsiaTheme="minorHAnsi" w:hAnsiTheme="minorHAnsi" w:cstheme="minorBidi"/>
          <w:sz w:val="24"/>
          <w:shd w:val="clear" w:color="auto" w:fill="auto"/>
          <w:lang w:val="en-GB"/>
        </w:rPr>
        <w:t>. W</w:t>
      </w:r>
      <w:r>
        <w:rPr>
          <w:rFonts w:asciiTheme="minorHAnsi" w:eastAsiaTheme="minorHAnsi" w:hAnsiTheme="minorHAnsi" w:cstheme="minorBidi"/>
          <w:sz w:val="24"/>
          <w:shd w:val="clear" w:color="auto" w:fill="auto"/>
          <w:lang w:val="en-GB"/>
        </w:rPr>
        <w:t>e consider</w:t>
      </w:r>
      <w:r w:rsidR="008A64C4">
        <w:rPr>
          <w:rFonts w:asciiTheme="minorHAnsi" w:eastAsiaTheme="minorHAnsi" w:hAnsiTheme="minorHAnsi" w:cstheme="minorBidi"/>
          <w:sz w:val="24"/>
          <w:shd w:val="clear" w:color="auto" w:fill="auto"/>
          <w:lang w:val="en-GB"/>
        </w:rPr>
        <w:t xml:space="preserve"> the NSW state award to be</w:t>
      </w:r>
      <w:r>
        <w:rPr>
          <w:rFonts w:asciiTheme="minorHAnsi" w:eastAsiaTheme="minorHAnsi" w:hAnsiTheme="minorHAnsi" w:cstheme="minorBidi"/>
          <w:sz w:val="24"/>
          <w:shd w:val="clear" w:color="auto" w:fill="auto"/>
          <w:lang w:val="en-GB"/>
        </w:rPr>
        <w:t xml:space="preserve"> comparable to</w:t>
      </w:r>
      <w:r w:rsidR="00D74A1A">
        <w:rPr>
          <w:rFonts w:asciiTheme="minorHAnsi" w:eastAsiaTheme="minorHAnsi" w:hAnsiTheme="minorHAnsi" w:cstheme="minorBidi"/>
          <w:sz w:val="24"/>
          <w:shd w:val="clear" w:color="auto" w:fill="auto"/>
          <w:lang w:val="en-GB"/>
        </w:rPr>
        <w:t xml:space="preserve"> the</w:t>
      </w:r>
      <w:r>
        <w:rPr>
          <w:rFonts w:asciiTheme="minorHAnsi" w:eastAsiaTheme="minorHAnsi" w:hAnsiTheme="minorHAnsi" w:cstheme="minorBidi"/>
          <w:sz w:val="24"/>
          <w:shd w:val="clear" w:color="auto" w:fill="auto"/>
          <w:lang w:val="en-GB"/>
        </w:rPr>
        <w:t xml:space="preserve"> NZNO </w:t>
      </w:r>
      <w:r w:rsidR="00D74A1A">
        <w:rPr>
          <w:rFonts w:asciiTheme="minorHAnsi" w:eastAsiaTheme="minorHAnsi" w:hAnsiTheme="minorHAnsi" w:cstheme="minorBidi"/>
          <w:sz w:val="24"/>
          <w:shd w:val="clear" w:color="auto" w:fill="auto"/>
          <w:lang w:val="en-GB"/>
        </w:rPr>
        <w:t xml:space="preserve">collective agreement </w:t>
      </w:r>
      <w:r>
        <w:rPr>
          <w:rFonts w:asciiTheme="minorHAnsi" w:eastAsiaTheme="minorHAnsi" w:hAnsiTheme="minorHAnsi" w:cstheme="minorBidi"/>
          <w:sz w:val="24"/>
          <w:shd w:val="clear" w:color="auto" w:fill="auto"/>
          <w:lang w:val="en-GB"/>
        </w:rPr>
        <w:t>in terms of conditions</w:t>
      </w:r>
      <w:r w:rsidR="00D74A1A">
        <w:rPr>
          <w:rFonts w:asciiTheme="minorHAnsi" w:eastAsiaTheme="minorHAnsi" w:hAnsiTheme="minorHAnsi" w:cstheme="minorBidi"/>
          <w:sz w:val="24"/>
          <w:shd w:val="clear" w:color="auto" w:fill="auto"/>
          <w:lang w:val="en-GB"/>
        </w:rPr>
        <w:t xml:space="preserve"> and with</w:t>
      </w:r>
      <w:r>
        <w:rPr>
          <w:rFonts w:asciiTheme="minorHAnsi" w:eastAsiaTheme="minorHAnsi" w:hAnsiTheme="minorHAnsi" w:cstheme="minorBidi"/>
          <w:sz w:val="24"/>
          <w:shd w:val="clear" w:color="auto" w:fill="auto"/>
          <w:lang w:val="en-GB"/>
        </w:rPr>
        <w:t xml:space="preserve"> the following caveats:</w:t>
      </w:r>
    </w:p>
    <w:p w14:paraId="538BC227" w14:textId="4595C20D" w:rsidR="00D113C2" w:rsidRPr="00D74A1A" w:rsidRDefault="00D113C2" w:rsidP="00D113C2">
      <w:pPr>
        <w:pStyle w:val="Numberedbullets"/>
        <w:numPr>
          <w:ilvl w:val="0"/>
          <w:numId w:val="16"/>
        </w:numPr>
        <w:rPr>
          <w:rFonts w:asciiTheme="minorHAnsi" w:eastAsiaTheme="minorHAnsi" w:hAnsiTheme="minorHAnsi" w:cstheme="minorBidi"/>
          <w:sz w:val="24"/>
          <w:szCs w:val="24"/>
          <w:shd w:val="clear" w:color="auto" w:fill="auto"/>
          <w:lang w:val="en-GB"/>
        </w:rPr>
      </w:pPr>
      <w:r w:rsidRPr="00D74A1A">
        <w:rPr>
          <w:rFonts w:asciiTheme="minorHAnsi" w:eastAsiaTheme="minorHAnsi" w:hAnsiTheme="minorHAnsi" w:cstheme="minorBidi"/>
          <w:sz w:val="24"/>
          <w:szCs w:val="24"/>
          <w:shd w:val="clear" w:color="auto" w:fill="auto"/>
          <w:lang w:val="en-GB"/>
        </w:rPr>
        <w:t>The NZNO collective agreement expired on 31 October 2024</w:t>
      </w:r>
      <w:r w:rsidR="00D74A1A" w:rsidRPr="00D74A1A">
        <w:rPr>
          <w:rFonts w:asciiTheme="minorHAnsi" w:eastAsiaTheme="minorHAnsi" w:hAnsiTheme="minorHAnsi" w:cstheme="minorBidi"/>
          <w:sz w:val="24"/>
          <w:szCs w:val="24"/>
          <w:shd w:val="clear" w:color="auto" w:fill="auto"/>
          <w:lang w:val="en-GB"/>
        </w:rPr>
        <w:t xml:space="preserve"> the NSW state award expired on 30 June 2025. </w:t>
      </w:r>
      <w:r w:rsidR="00D74A1A" w:rsidRPr="00D74A1A">
        <w:rPr>
          <w:sz w:val="24"/>
          <w:szCs w:val="24"/>
        </w:rPr>
        <w:t>Australian state awards tend to be for a longer duration than our collective agreements (which have a legal maximum of three years) and provide for pay increases through the term.</w:t>
      </w:r>
    </w:p>
    <w:p w14:paraId="2688DF97" w14:textId="034ADDEB" w:rsidR="008A64C4" w:rsidRPr="00CC1BB5" w:rsidRDefault="00D74A1A" w:rsidP="00CC1BB5">
      <w:pPr>
        <w:pStyle w:val="Numberedbullets"/>
        <w:numPr>
          <w:ilvl w:val="0"/>
          <w:numId w:val="16"/>
        </w:numPr>
        <w:rPr>
          <w:rFonts w:asciiTheme="minorHAnsi" w:eastAsiaTheme="minorHAnsi" w:hAnsiTheme="minorHAnsi" w:cstheme="minorBidi"/>
          <w:sz w:val="24"/>
          <w:szCs w:val="24"/>
          <w:shd w:val="clear" w:color="auto" w:fill="auto"/>
          <w:lang w:val="en-GB"/>
        </w:rPr>
      </w:pPr>
      <w:r w:rsidRPr="00CC1BB5">
        <w:rPr>
          <w:rFonts w:asciiTheme="minorHAnsi" w:eastAsiaTheme="minorHAnsi" w:hAnsiTheme="minorHAnsi" w:cstheme="minorBidi"/>
          <w:sz w:val="24"/>
          <w:szCs w:val="24"/>
          <w:shd w:val="clear" w:color="auto" w:fill="auto"/>
          <w:lang w:val="en-GB"/>
        </w:rPr>
        <w:t>The overtime provision</w:t>
      </w:r>
      <w:r w:rsidR="008A64C4" w:rsidRPr="00CC1BB5">
        <w:rPr>
          <w:rFonts w:asciiTheme="minorHAnsi" w:eastAsiaTheme="minorHAnsi" w:hAnsiTheme="minorHAnsi" w:cstheme="minorBidi"/>
          <w:sz w:val="24"/>
          <w:szCs w:val="24"/>
          <w:shd w:val="clear" w:color="auto" w:fill="auto"/>
          <w:lang w:val="en-GB"/>
        </w:rPr>
        <w:t>s</w:t>
      </w:r>
      <w:r w:rsidRPr="00CC1BB5">
        <w:rPr>
          <w:rFonts w:asciiTheme="minorHAnsi" w:eastAsiaTheme="minorHAnsi" w:hAnsiTheme="minorHAnsi" w:cstheme="minorBidi"/>
          <w:sz w:val="24"/>
          <w:szCs w:val="24"/>
          <w:shd w:val="clear" w:color="auto" w:fill="auto"/>
          <w:lang w:val="en-GB"/>
        </w:rPr>
        <w:t xml:space="preserve"> </w:t>
      </w:r>
      <w:r w:rsidR="008A64C4" w:rsidRPr="00CC1BB5">
        <w:rPr>
          <w:rFonts w:asciiTheme="minorHAnsi" w:eastAsiaTheme="minorHAnsi" w:hAnsiTheme="minorHAnsi" w:cstheme="minorBidi"/>
          <w:sz w:val="24"/>
          <w:szCs w:val="24"/>
          <w:shd w:val="clear" w:color="auto" w:fill="auto"/>
          <w:lang w:val="en-GB"/>
        </w:rPr>
        <w:t>in</w:t>
      </w:r>
      <w:r w:rsidRPr="00CC1BB5">
        <w:rPr>
          <w:rFonts w:asciiTheme="minorHAnsi" w:eastAsiaTheme="minorHAnsi" w:hAnsiTheme="minorHAnsi" w:cstheme="minorBidi"/>
          <w:sz w:val="24"/>
          <w:szCs w:val="24"/>
          <w:shd w:val="clear" w:color="auto" w:fill="auto"/>
          <w:lang w:val="en-GB"/>
        </w:rPr>
        <w:t xml:space="preserve"> the NSW state award </w:t>
      </w:r>
      <w:r w:rsidR="008A64C4" w:rsidRPr="00CC1BB5">
        <w:rPr>
          <w:rFonts w:asciiTheme="minorHAnsi" w:eastAsiaTheme="minorHAnsi" w:hAnsiTheme="minorHAnsi" w:cstheme="minorBidi"/>
          <w:sz w:val="24"/>
          <w:szCs w:val="24"/>
          <w:shd w:val="clear" w:color="auto" w:fill="auto"/>
          <w:lang w:val="en-GB"/>
        </w:rPr>
        <w:t>and NZNO collective agreement are</w:t>
      </w:r>
      <w:r w:rsidRPr="00CC1BB5">
        <w:rPr>
          <w:rFonts w:asciiTheme="minorHAnsi" w:eastAsiaTheme="minorHAnsi" w:hAnsiTheme="minorHAnsi" w:cstheme="minorBidi"/>
          <w:sz w:val="24"/>
          <w:szCs w:val="24"/>
          <w:shd w:val="clear" w:color="auto" w:fill="auto"/>
          <w:lang w:val="en-GB"/>
        </w:rPr>
        <w:t xml:space="preserve"> broadly comparable</w:t>
      </w:r>
      <w:r w:rsidR="008A64C4" w:rsidRPr="00CC1BB5">
        <w:rPr>
          <w:rFonts w:asciiTheme="minorHAnsi" w:eastAsiaTheme="minorHAnsi" w:hAnsiTheme="minorHAnsi" w:cstheme="minorBidi"/>
          <w:sz w:val="24"/>
          <w:szCs w:val="24"/>
          <w:shd w:val="clear" w:color="auto" w:fill="auto"/>
          <w:lang w:val="en-GB"/>
        </w:rPr>
        <w:t>.</w:t>
      </w:r>
      <w:r w:rsidR="00CC1BB5">
        <w:rPr>
          <w:rFonts w:asciiTheme="minorHAnsi" w:eastAsiaTheme="minorHAnsi" w:hAnsiTheme="minorHAnsi" w:cstheme="minorBidi"/>
          <w:sz w:val="24"/>
          <w:szCs w:val="24"/>
          <w:shd w:val="clear" w:color="auto" w:fill="auto"/>
          <w:lang w:val="en-GB"/>
        </w:rPr>
        <w:t xml:space="preserve"> </w:t>
      </w:r>
      <w:r w:rsidR="008A64C4" w:rsidRPr="00CC1BB5">
        <w:rPr>
          <w:rFonts w:asciiTheme="minorHAnsi" w:eastAsiaTheme="minorHAnsi" w:hAnsiTheme="minorHAnsi" w:cstheme="minorBidi"/>
          <w:sz w:val="24"/>
          <w:szCs w:val="24"/>
          <w:shd w:val="clear" w:color="auto" w:fill="auto"/>
          <w:lang w:val="en-GB"/>
        </w:rPr>
        <w:t xml:space="preserve">The </w:t>
      </w:r>
      <w:r w:rsidR="00CC1BB5">
        <w:rPr>
          <w:rFonts w:asciiTheme="minorHAnsi" w:eastAsiaTheme="minorHAnsi" w:hAnsiTheme="minorHAnsi" w:cstheme="minorBidi"/>
          <w:sz w:val="24"/>
          <w:szCs w:val="24"/>
          <w:shd w:val="clear" w:color="auto" w:fill="auto"/>
          <w:lang w:val="en-GB"/>
        </w:rPr>
        <w:t xml:space="preserve">NZNO </w:t>
      </w:r>
      <w:r w:rsidR="008A64C4" w:rsidRPr="00CC1BB5">
        <w:rPr>
          <w:rFonts w:asciiTheme="minorHAnsi" w:eastAsiaTheme="minorHAnsi" w:hAnsiTheme="minorHAnsi" w:cstheme="minorBidi"/>
          <w:sz w:val="24"/>
          <w:szCs w:val="24"/>
          <w:shd w:val="clear" w:color="auto" w:fill="auto"/>
          <w:lang w:val="en-GB"/>
        </w:rPr>
        <w:t xml:space="preserve">overtime rates for Monday to Friday are 1.5 times the hourly rate of pay for the first three hours and double the hourly rate of pay for hours thereafter. </w:t>
      </w:r>
      <w:r w:rsidR="00CC1BB5">
        <w:rPr>
          <w:rFonts w:asciiTheme="minorHAnsi" w:eastAsiaTheme="minorHAnsi" w:hAnsiTheme="minorHAnsi" w:cstheme="minorBidi"/>
          <w:sz w:val="24"/>
          <w:szCs w:val="24"/>
          <w:shd w:val="clear" w:color="auto" w:fill="auto"/>
          <w:lang w:val="en-GB"/>
        </w:rPr>
        <w:t xml:space="preserve">The </w:t>
      </w:r>
      <w:r w:rsidR="008A64C4" w:rsidRPr="00CC1BB5">
        <w:rPr>
          <w:rFonts w:asciiTheme="minorHAnsi" w:eastAsiaTheme="minorHAnsi" w:hAnsiTheme="minorHAnsi" w:cstheme="minorBidi"/>
          <w:sz w:val="24"/>
          <w:szCs w:val="24"/>
          <w:shd w:val="clear" w:color="auto" w:fill="auto"/>
          <w:lang w:val="en-GB"/>
        </w:rPr>
        <w:t>N</w:t>
      </w:r>
      <w:r w:rsidR="00CC1BB5">
        <w:rPr>
          <w:rFonts w:asciiTheme="minorHAnsi" w:eastAsiaTheme="minorHAnsi" w:hAnsiTheme="minorHAnsi" w:cstheme="minorBidi"/>
          <w:sz w:val="24"/>
          <w:szCs w:val="24"/>
          <w:shd w:val="clear" w:color="auto" w:fill="auto"/>
          <w:lang w:val="en-GB"/>
        </w:rPr>
        <w:t>SW</w:t>
      </w:r>
      <w:r w:rsidR="008A64C4" w:rsidRPr="00CC1BB5">
        <w:rPr>
          <w:rFonts w:asciiTheme="minorHAnsi" w:eastAsiaTheme="minorHAnsi" w:hAnsiTheme="minorHAnsi" w:cstheme="minorBidi"/>
          <w:sz w:val="24"/>
          <w:szCs w:val="24"/>
          <w:shd w:val="clear" w:color="auto" w:fill="auto"/>
          <w:lang w:val="en-GB"/>
        </w:rPr>
        <w:t xml:space="preserve"> </w:t>
      </w:r>
      <w:r w:rsidR="007B5BE1">
        <w:rPr>
          <w:rFonts w:asciiTheme="minorHAnsi" w:eastAsiaTheme="minorHAnsi" w:hAnsiTheme="minorHAnsi" w:cstheme="minorBidi"/>
          <w:sz w:val="24"/>
          <w:szCs w:val="24"/>
          <w:shd w:val="clear" w:color="auto" w:fill="auto"/>
          <w:lang w:val="en-GB"/>
        </w:rPr>
        <w:t xml:space="preserve">state award </w:t>
      </w:r>
      <w:r w:rsidR="008A64C4" w:rsidRPr="00CC1BB5">
        <w:rPr>
          <w:rFonts w:asciiTheme="minorHAnsi" w:eastAsiaTheme="minorHAnsi" w:hAnsiTheme="minorHAnsi" w:cstheme="minorBidi"/>
          <w:sz w:val="24"/>
          <w:szCs w:val="24"/>
          <w:shd w:val="clear" w:color="auto" w:fill="auto"/>
          <w:lang w:val="en-GB"/>
        </w:rPr>
        <w:t>pay</w:t>
      </w:r>
      <w:r w:rsidR="00CC1BB5">
        <w:rPr>
          <w:rFonts w:asciiTheme="minorHAnsi" w:eastAsiaTheme="minorHAnsi" w:hAnsiTheme="minorHAnsi" w:cstheme="minorBidi"/>
          <w:sz w:val="24"/>
          <w:szCs w:val="24"/>
          <w:shd w:val="clear" w:color="auto" w:fill="auto"/>
          <w:lang w:val="en-GB"/>
        </w:rPr>
        <w:t xml:space="preserve">s </w:t>
      </w:r>
      <w:r w:rsidR="008A64C4" w:rsidRPr="00CC1BB5">
        <w:rPr>
          <w:rFonts w:asciiTheme="minorHAnsi" w:eastAsiaTheme="minorHAnsi" w:hAnsiTheme="minorHAnsi" w:cstheme="minorBidi"/>
          <w:sz w:val="24"/>
          <w:szCs w:val="24"/>
          <w:shd w:val="clear" w:color="auto" w:fill="auto"/>
          <w:lang w:val="en-GB"/>
        </w:rPr>
        <w:t xml:space="preserve">the same overtime rates except double the hourly rate is paid after the first two hours. </w:t>
      </w:r>
    </w:p>
    <w:p w14:paraId="70EE82E6" w14:textId="407EB493" w:rsidR="00364ACF" w:rsidRPr="007B5BE1" w:rsidRDefault="007B5BE1" w:rsidP="00D74A1A">
      <w:pPr>
        <w:pStyle w:val="ListParagraph"/>
        <w:numPr>
          <w:ilvl w:val="0"/>
          <w:numId w:val="16"/>
        </w:numPr>
        <w:rPr>
          <w:lang w:val="en-GB"/>
        </w:rPr>
      </w:pPr>
      <w:r w:rsidRPr="007B5BE1">
        <w:rPr>
          <w:szCs w:val="24"/>
          <w:lang w:val="en-GB"/>
        </w:rPr>
        <w:t xml:space="preserve">NSW </w:t>
      </w:r>
      <w:r w:rsidRPr="007B5BE1">
        <w:rPr>
          <w:szCs w:val="24"/>
          <w:lang w:val="en-GB"/>
        </w:rPr>
        <w:t>operate</w:t>
      </w:r>
      <w:r>
        <w:rPr>
          <w:szCs w:val="24"/>
          <w:lang w:val="en-GB"/>
        </w:rPr>
        <w:t>s</w:t>
      </w:r>
      <w:r w:rsidRPr="007B5BE1">
        <w:rPr>
          <w:szCs w:val="24"/>
          <w:lang w:val="en-GB"/>
        </w:rPr>
        <w:t xml:space="preserve"> a 38-hour ordinary working week, compared to a 40-hour working week for Health New Zealand nursing employees.</w:t>
      </w:r>
    </w:p>
    <w:p w14:paraId="112BDFF3" w14:textId="5F84505F" w:rsidR="007B5BE1" w:rsidRPr="007B5BE1" w:rsidRDefault="007B5BE1" w:rsidP="007B5BE1">
      <w:pPr>
        <w:pStyle w:val="Numberedbullets"/>
        <w:numPr>
          <w:ilvl w:val="0"/>
          <w:numId w:val="16"/>
        </w:numPr>
        <w:rPr>
          <w:rFonts w:asciiTheme="minorHAnsi" w:eastAsiaTheme="minorHAnsi" w:hAnsiTheme="minorHAnsi" w:cstheme="minorBidi"/>
          <w:sz w:val="24"/>
          <w:szCs w:val="24"/>
          <w:shd w:val="clear" w:color="auto" w:fill="auto"/>
          <w:lang w:val="en-GB"/>
        </w:rPr>
      </w:pPr>
      <w:r w:rsidRPr="007B5BE1">
        <w:rPr>
          <w:rFonts w:asciiTheme="minorHAnsi" w:eastAsiaTheme="minorHAnsi" w:hAnsiTheme="minorHAnsi" w:cstheme="minorBidi"/>
          <w:sz w:val="24"/>
          <w:szCs w:val="24"/>
          <w:shd w:val="clear" w:color="auto" w:fill="auto"/>
          <w:lang w:val="en-GB"/>
        </w:rPr>
        <w:t xml:space="preserve">There are substantial differences between the operation of superannuation schemes in New Zealand and </w:t>
      </w:r>
      <w:r w:rsidRPr="007B5BE1">
        <w:rPr>
          <w:rFonts w:asciiTheme="minorHAnsi" w:eastAsiaTheme="minorHAnsi" w:hAnsiTheme="minorHAnsi" w:cstheme="minorBidi"/>
          <w:sz w:val="24"/>
          <w:szCs w:val="24"/>
          <w:shd w:val="clear" w:color="auto" w:fill="auto"/>
          <w:lang w:val="en-GB"/>
        </w:rPr>
        <w:t>New South Wales</w:t>
      </w:r>
      <w:r w:rsidRPr="007B5BE1">
        <w:rPr>
          <w:rFonts w:asciiTheme="minorHAnsi" w:eastAsiaTheme="minorHAnsi" w:hAnsiTheme="minorHAnsi" w:cstheme="minorBidi"/>
          <w:sz w:val="24"/>
          <w:szCs w:val="24"/>
          <w:shd w:val="clear" w:color="auto" w:fill="auto"/>
          <w:lang w:val="en-GB"/>
        </w:rPr>
        <w:t>. Firstly, the New Zealand superannuation system operates so that compulsory employee contributions are an undefined component of an employee’s base wage, with employer contributions (in this case being up to 3%) sitting separately. In Australia, there are no mandatory employee contributions, and the employer contributions do not form part of the base wage. The current employer contribution rate</w:t>
      </w:r>
      <w:r w:rsidRPr="007B5BE1">
        <w:rPr>
          <w:rFonts w:asciiTheme="minorHAnsi" w:eastAsiaTheme="minorHAnsi" w:hAnsiTheme="minorHAnsi" w:cstheme="minorBidi"/>
          <w:sz w:val="24"/>
          <w:szCs w:val="24"/>
          <w:shd w:val="clear" w:color="auto" w:fill="auto"/>
          <w:lang w:val="en-GB"/>
        </w:rPr>
        <w:t xml:space="preserve"> for </w:t>
      </w:r>
      <w:r w:rsidRPr="007B5BE1">
        <w:rPr>
          <w:rFonts w:asciiTheme="minorHAnsi" w:eastAsiaTheme="minorHAnsi" w:hAnsiTheme="minorHAnsi" w:cstheme="minorBidi"/>
          <w:sz w:val="24"/>
          <w:szCs w:val="24"/>
          <w:shd w:val="clear" w:color="auto" w:fill="auto"/>
          <w:lang w:val="en-GB"/>
        </w:rPr>
        <w:t xml:space="preserve">New South Wales </w:t>
      </w:r>
      <w:r w:rsidRPr="007B5BE1">
        <w:rPr>
          <w:rFonts w:asciiTheme="minorHAnsi" w:eastAsiaTheme="minorHAnsi" w:hAnsiTheme="minorHAnsi" w:cstheme="minorBidi"/>
          <w:sz w:val="24"/>
          <w:szCs w:val="24"/>
          <w:shd w:val="clear" w:color="auto" w:fill="auto"/>
          <w:lang w:val="en-GB"/>
        </w:rPr>
        <w:t xml:space="preserve">is </w:t>
      </w:r>
      <w:r w:rsidRPr="007B5BE1">
        <w:rPr>
          <w:rFonts w:asciiTheme="minorHAnsi" w:eastAsiaTheme="minorHAnsi" w:hAnsiTheme="minorHAnsi" w:cstheme="minorBidi"/>
          <w:sz w:val="24"/>
          <w:szCs w:val="24"/>
          <w:shd w:val="clear" w:color="auto" w:fill="auto"/>
          <w:lang w:val="en-GB"/>
        </w:rPr>
        <w:t>12%</w:t>
      </w:r>
      <w:r w:rsidRPr="007B5BE1">
        <w:rPr>
          <w:rFonts w:asciiTheme="minorHAnsi" w:eastAsiaTheme="minorHAnsi" w:hAnsiTheme="minorHAnsi" w:cstheme="minorBidi"/>
          <w:sz w:val="24"/>
          <w:szCs w:val="24"/>
          <w:shd w:val="clear" w:color="auto" w:fill="auto"/>
          <w:lang w:val="en-GB"/>
        </w:rPr>
        <w:t>.</w:t>
      </w:r>
    </w:p>
    <w:p w14:paraId="4FB759EB" w14:textId="602806AD" w:rsidR="007B5BE1" w:rsidRPr="007B5BE1" w:rsidRDefault="007B5BE1" w:rsidP="007B5BE1">
      <w:pPr>
        <w:pStyle w:val="Numberedbullets"/>
        <w:numPr>
          <w:ilvl w:val="0"/>
          <w:numId w:val="16"/>
        </w:numPr>
        <w:rPr>
          <w:rFonts w:asciiTheme="minorHAnsi" w:eastAsiaTheme="minorHAnsi" w:hAnsiTheme="minorHAnsi" w:cstheme="minorBidi"/>
          <w:sz w:val="24"/>
          <w:szCs w:val="24"/>
          <w:shd w:val="clear" w:color="auto" w:fill="auto"/>
          <w:lang w:val="en-GB"/>
        </w:rPr>
      </w:pPr>
      <w:r w:rsidRPr="007B5BE1">
        <w:rPr>
          <w:rFonts w:asciiTheme="minorHAnsi" w:eastAsiaTheme="minorHAnsi" w:hAnsiTheme="minorHAnsi" w:cstheme="minorBidi"/>
          <w:sz w:val="24"/>
          <w:szCs w:val="24"/>
          <w:shd w:val="clear" w:color="auto" w:fill="auto"/>
          <w:lang w:val="en-GB"/>
        </w:rPr>
        <w:lastRenderedPageBreak/>
        <w:t>C</w:t>
      </w:r>
      <w:r w:rsidRPr="007B5BE1">
        <w:rPr>
          <w:rFonts w:asciiTheme="minorHAnsi" w:eastAsiaTheme="minorHAnsi" w:hAnsiTheme="minorHAnsi" w:cstheme="minorBidi"/>
          <w:sz w:val="24"/>
          <w:szCs w:val="24"/>
          <w:shd w:val="clear" w:color="auto" w:fill="auto"/>
          <w:lang w:val="en-GB"/>
        </w:rPr>
        <w:t>omparisons between New Zealand and Australian salaries should be made using the purchasing power parity (PPP) of the two currencies – which reflects the actual buying power of each dollar, and incorporates the cost of living in each jurisdiction (</w:t>
      </w:r>
      <w:proofErr w:type="gramStart"/>
      <w:r w:rsidRPr="007B5BE1">
        <w:rPr>
          <w:rFonts w:asciiTheme="minorHAnsi" w:eastAsiaTheme="minorHAnsi" w:hAnsiTheme="minorHAnsi" w:cstheme="minorBidi"/>
          <w:sz w:val="24"/>
          <w:szCs w:val="24"/>
          <w:shd w:val="clear" w:color="auto" w:fill="auto"/>
          <w:lang w:val="en-GB"/>
        </w:rPr>
        <w:t>i.e.</w:t>
      </w:r>
      <w:proofErr w:type="gramEnd"/>
      <w:r w:rsidRPr="007B5BE1">
        <w:rPr>
          <w:rFonts w:asciiTheme="minorHAnsi" w:eastAsiaTheme="minorHAnsi" w:hAnsiTheme="minorHAnsi" w:cstheme="minorBidi"/>
          <w:sz w:val="24"/>
          <w:szCs w:val="24"/>
          <w:shd w:val="clear" w:color="auto" w:fill="auto"/>
          <w:lang w:val="en-GB"/>
        </w:rPr>
        <w:t xml:space="preserve"> if a nurse earns more but has to spend more to live, they are not necessarily better off). The relevant relative PPP of the two currencies for the period, by OECD data, is:</w:t>
      </w:r>
    </w:p>
    <w:tbl>
      <w:tblPr>
        <w:tblStyle w:val="TableGrid"/>
        <w:tblW w:w="8565" w:type="dxa"/>
        <w:tblInd w:w="644" w:type="dxa"/>
        <w:tblLook w:val="04A0" w:firstRow="1" w:lastRow="0" w:firstColumn="1" w:lastColumn="0" w:noHBand="0" w:noVBand="1"/>
      </w:tblPr>
      <w:tblGrid>
        <w:gridCol w:w="1434"/>
        <w:gridCol w:w="1388"/>
        <w:gridCol w:w="1389"/>
        <w:gridCol w:w="1389"/>
        <w:gridCol w:w="2965"/>
      </w:tblGrid>
      <w:tr w:rsidR="007B5BE1" w14:paraId="5A47E223" w14:textId="77777777" w:rsidTr="00BA7758">
        <w:tc>
          <w:tcPr>
            <w:tcW w:w="1434" w:type="dxa"/>
          </w:tcPr>
          <w:p w14:paraId="48017951" w14:textId="77777777" w:rsidR="007B5BE1" w:rsidRPr="007B5BE1" w:rsidRDefault="007B5BE1" w:rsidP="00BA7758">
            <w:pPr>
              <w:pStyle w:val="Letteredbullets"/>
              <w:numPr>
                <w:ilvl w:val="0"/>
                <w:numId w:val="0"/>
              </w:numPr>
              <w:rPr>
                <w:rFonts w:asciiTheme="minorHAnsi" w:hAnsiTheme="minorHAnsi" w:cstheme="minorHAnsi"/>
                <w:sz w:val="24"/>
                <w:szCs w:val="24"/>
              </w:rPr>
            </w:pPr>
          </w:p>
        </w:tc>
        <w:tc>
          <w:tcPr>
            <w:tcW w:w="1388" w:type="dxa"/>
          </w:tcPr>
          <w:p w14:paraId="7B97F64F"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sz w:val="24"/>
                <w:szCs w:val="24"/>
              </w:rPr>
              <w:t>2019</w:t>
            </w:r>
          </w:p>
        </w:tc>
        <w:tc>
          <w:tcPr>
            <w:tcW w:w="1389" w:type="dxa"/>
          </w:tcPr>
          <w:p w14:paraId="0FD12565"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sz w:val="24"/>
                <w:szCs w:val="24"/>
              </w:rPr>
              <w:t>2020</w:t>
            </w:r>
          </w:p>
        </w:tc>
        <w:tc>
          <w:tcPr>
            <w:tcW w:w="1389" w:type="dxa"/>
          </w:tcPr>
          <w:p w14:paraId="65944E5C"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sz w:val="24"/>
                <w:szCs w:val="24"/>
              </w:rPr>
              <w:t>2021</w:t>
            </w:r>
          </w:p>
        </w:tc>
        <w:tc>
          <w:tcPr>
            <w:tcW w:w="2965" w:type="dxa"/>
          </w:tcPr>
          <w:p w14:paraId="058F01E2"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sz w:val="24"/>
                <w:szCs w:val="24"/>
              </w:rPr>
              <w:t>2022 (latest available data)</w:t>
            </w:r>
          </w:p>
        </w:tc>
      </w:tr>
      <w:tr w:rsidR="007B5BE1" w14:paraId="0220FB10" w14:textId="77777777" w:rsidTr="00BA7758">
        <w:tc>
          <w:tcPr>
            <w:tcW w:w="1434" w:type="dxa"/>
          </w:tcPr>
          <w:p w14:paraId="12BB4AE9"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sz w:val="24"/>
                <w:szCs w:val="24"/>
              </w:rPr>
              <w:t>Australia</w:t>
            </w:r>
          </w:p>
        </w:tc>
        <w:tc>
          <w:tcPr>
            <w:tcW w:w="1388" w:type="dxa"/>
            <w:tcBorders>
              <w:bottom w:val="single" w:sz="6" w:space="0" w:color="9E9E9E"/>
              <w:right w:val="single" w:sz="6" w:space="0" w:color="9E9E9E"/>
            </w:tcBorders>
            <w:shd w:val="clear" w:color="auto" w:fill="FFFFFF"/>
            <w:vAlign w:val="bottom"/>
          </w:tcPr>
          <w:p w14:paraId="3635793A"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color w:val="182026"/>
                <w:sz w:val="24"/>
                <w:szCs w:val="24"/>
              </w:rPr>
              <w:t>1.459253</w:t>
            </w:r>
          </w:p>
        </w:tc>
        <w:tc>
          <w:tcPr>
            <w:tcW w:w="1389" w:type="dxa"/>
            <w:tcBorders>
              <w:bottom w:val="single" w:sz="6" w:space="0" w:color="9E9E9E"/>
              <w:right w:val="single" w:sz="6" w:space="0" w:color="9E9E9E"/>
            </w:tcBorders>
            <w:shd w:val="clear" w:color="auto" w:fill="FFFFFF"/>
            <w:vAlign w:val="bottom"/>
          </w:tcPr>
          <w:p w14:paraId="3C7882D5"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color w:val="182026"/>
                <w:sz w:val="24"/>
                <w:szCs w:val="24"/>
              </w:rPr>
              <w:t>1.431257</w:t>
            </w:r>
          </w:p>
        </w:tc>
        <w:tc>
          <w:tcPr>
            <w:tcW w:w="1389" w:type="dxa"/>
            <w:tcBorders>
              <w:bottom w:val="single" w:sz="6" w:space="0" w:color="9E9E9E"/>
              <w:right w:val="single" w:sz="6" w:space="0" w:color="9E9E9E"/>
            </w:tcBorders>
            <w:shd w:val="clear" w:color="auto" w:fill="FFFFFF"/>
            <w:vAlign w:val="bottom"/>
          </w:tcPr>
          <w:p w14:paraId="763FFA45"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color w:val="182026"/>
                <w:sz w:val="24"/>
                <w:szCs w:val="24"/>
              </w:rPr>
              <w:t>1.414848</w:t>
            </w:r>
          </w:p>
        </w:tc>
        <w:tc>
          <w:tcPr>
            <w:tcW w:w="2965" w:type="dxa"/>
            <w:tcBorders>
              <w:bottom w:val="single" w:sz="6" w:space="0" w:color="9E9E9E"/>
              <w:right w:val="single" w:sz="6" w:space="0" w:color="9E9E9E"/>
            </w:tcBorders>
            <w:shd w:val="clear" w:color="auto" w:fill="auto"/>
            <w:vAlign w:val="bottom"/>
          </w:tcPr>
          <w:p w14:paraId="0F71218E"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color w:val="182026"/>
                <w:sz w:val="24"/>
                <w:szCs w:val="24"/>
              </w:rPr>
              <w:t>1.371019</w:t>
            </w:r>
          </w:p>
        </w:tc>
      </w:tr>
      <w:tr w:rsidR="007B5BE1" w14:paraId="68F0E020" w14:textId="77777777" w:rsidTr="00BA7758">
        <w:tc>
          <w:tcPr>
            <w:tcW w:w="1434" w:type="dxa"/>
          </w:tcPr>
          <w:p w14:paraId="464C4A50"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sz w:val="24"/>
                <w:szCs w:val="24"/>
              </w:rPr>
              <w:t>New Zealand</w:t>
            </w:r>
          </w:p>
        </w:tc>
        <w:tc>
          <w:tcPr>
            <w:tcW w:w="1388" w:type="dxa"/>
          </w:tcPr>
          <w:p w14:paraId="77CBAD10"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sz w:val="24"/>
                <w:szCs w:val="24"/>
              </w:rPr>
              <w:t>1.436661</w:t>
            </w:r>
          </w:p>
        </w:tc>
        <w:tc>
          <w:tcPr>
            <w:tcW w:w="1389" w:type="dxa"/>
          </w:tcPr>
          <w:p w14:paraId="5BBB3306"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sz w:val="24"/>
                <w:szCs w:val="24"/>
              </w:rPr>
              <w:t>1.422946</w:t>
            </w:r>
          </w:p>
        </w:tc>
        <w:tc>
          <w:tcPr>
            <w:tcW w:w="1389" w:type="dxa"/>
          </w:tcPr>
          <w:p w14:paraId="37A162E5"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sz w:val="24"/>
                <w:szCs w:val="24"/>
              </w:rPr>
              <w:t>1.455743</w:t>
            </w:r>
          </w:p>
        </w:tc>
        <w:tc>
          <w:tcPr>
            <w:tcW w:w="2965" w:type="dxa"/>
          </w:tcPr>
          <w:p w14:paraId="455BAC61" w14:textId="77777777" w:rsidR="007B5BE1" w:rsidRPr="007B5BE1" w:rsidRDefault="007B5BE1" w:rsidP="00BA7758">
            <w:pPr>
              <w:pStyle w:val="Letteredbullets"/>
              <w:numPr>
                <w:ilvl w:val="0"/>
                <w:numId w:val="0"/>
              </w:numPr>
              <w:rPr>
                <w:rFonts w:asciiTheme="minorHAnsi" w:hAnsiTheme="minorHAnsi" w:cstheme="minorHAnsi"/>
                <w:sz w:val="24"/>
                <w:szCs w:val="24"/>
              </w:rPr>
            </w:pPr>
            <w:r w:rsidRPr="007B5BE1">
              <w:rPr>
                <w:rFonts w:asciiTheme="minorHAnsi" w:hAnsiTheme="minorHAnsi" w:cstheme="minorHAnsi"/>
                <w:sz w:val="24"/>
                <w:szCs w:val="24"/>
              </w:rPr>
              <w:t>1.453263</w:t>
            </w:r>
          </w:p>
        </w:tc>
      </w:tr>
    </w:tbl>
    <w:p w14:paraId="7BD31220" w14:textId="77777777" w:rsidR="007B5BE1" w:rsidRPr="00B70DAF" w:rsidRDefault="007B5BE1" w:rsidP="007B5BE1">
      <w:pPr>
        <w:pStyle w:val="Letteredbullets"/>
        <w:numPr>
          <w:ilvl w:val="0"/>
          <w:numId w:val="0"/>
        </w:numPr>
        <w:ind w:left="644" w:hanging="360"/>
      </w:pPr>
      <w:r w:rsidRPr="00FB71BE">
        <w:rPr>
          <w:sz w:val="18"/>
          <w:szCs w:val="18"/>
        </w:rPr>
        <w:t>The above amount of each currency in the given year has purchasing power equivalent to 1 USD.</w:t>
      </w:r>
    </w:p>
    <w:p w14:paraId="4E9CA4C1" w14:textId="783316CF" w:rsidR="007B5BE1" w:rsidRPr="00197495" w:rsidRDefault="00197495" w:rsidP="00F7421A">
      <w:pPr>
        <w:pStyle w:val="ListParagraph"/>
        <w:numPr>
          <w:ilvl w:val="0"/>
          <w:numId w:val="16"/>
        </w:numPr>
        <w:tabs>
          <w:tab w:val="left" w:pos="1425"/>
        </w:tabs>
        <w:rPr>
          <w:b/>
          <w:bCs/>
        </w:rPr>
      </w:pPr>
      <w:r>
        <w:t>This comparison does not include penal rates or allowances given the time available for providing this information.</w:t>
      </w:r>
    </w:p>
    <w:p w14:paraId="5AFEF2EA" w14:textId="77777777" w:rsidR="00197495" w:rsidRPr="00197495" w:rsidRDefault="00197495" w:rsidP="00197495">
      <w:pPr>
        <w:pStyle w:val="ListParagraph"/>
        <w:tabs>
          <w:tab w:val="left" w:pos="1425"/>
        </w:tabs>
        <w:ind w:left="360"/>
        <w:rPr>
          <w:b/>
          <w:bCs/>
        </w:rPr>
      </w:pPr>
    </w:p>
    <w:p w14:paraId="00319D4E" w14:textId="3F8AE5BF" w:rsidR="007B5BE1" w:rsidRPr="007B5BE1" w:rsidRDefault="007B5BE1" w:rsidP="007B5BE1">
      <w:pPr>
        <w:tabs>
          <w:tab w:val="left" w:pos="1425"/>
        </w:tabs>
        <w:rPr>
          <w:b/>
          <w:bCs/>
        </w:rPr>
      </w:pPr>
      <w:r w:rsidRPr="007B5BE1">
        <w:rPr>
          <w:b/>
          <w:bCs/>
        </w:rPr>
        <w:t xml:space="preserve">Comparison of New South Wales and Health NZ (NZNO) Registered Nursing Top Step in relevant currency </w:t>
      </w:r>
    </w:p>
    <w:p w14:paraId="0A6C76EE" w14:textId="77777777" w:rsidR="007B5BE1" w:rsidRPr="007B5BE1" w:rsidRDefault="007B5BE1" w:rsidP="007B5BE1">
      <w:pPr>
        <w:tabs>
          <w:tab w:val="left" w:pos="1425"/>
        </w:tabs>
        <w:rPr>
          <w:b/>
          <w:bCs/>
        </w:rPr>
      </w:pPr>
      <w:r w:rsidRPr="00D31A52">
        <w:rPr>
          <w:noProof/>
        </w:rPr>
        <w:drawing>
          <wp:inline distT="0" distB="0" distL="0" distR="0" wp14:anchorId="1446B56E" wp14:editId="77AAF8D3">
            <wp:extent cx="4981903" cy="2997411"/>
            <wp:effectExtent l="0" t="0" r="0" b="0"/>
            <wp:docPr id="73061707" name="Picture 2" descr="A graph of a nursing base pay ra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1707" name="Picture 2" descr="A graph of a nursing base pay rat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3667" cy="2998472"/>
                    </a:xfrm>
                    <a:prstGeom prst="rect">
                      <a:avLst/>
                    </a:prstGeom>
                    <a:noFill/>
                    <a:ln>
                      <a:noFill/>
                    </a:ln>
                  </pic:spPr>
                </pic:pic>
              </a:graphicData>
            </a:graphic>
          </wp:inline>
        </w:drawing>
      </w:r>
    </w:p>
    <w:p w14:paraId="7E1B47C6" w14:textId="01B9F49F" w:rsidR="007B5BE1" w:rsidRDefault="007B5BE1" w:rsidP="007B5BE1">
      <w:pPr>
        <w:tabs>
          <w:tab w:val="left" w:pos="1425"/>
        </w:tabs>
        <w:rPr>
          <w:b/>
          <w:bCs/>
        </w:rPr>
      </w:pPr>
    </w:p>
    <w:p w14:paraId="55EA23AB" w14:textId="126741E6" w:rsidR="00197495" w:rsidRDefault="00197495" w:rsidP="007B5BE1">
      <w:pPr>
        <w:tabs>
          <w:tab w:val="left" w:pos="1425"/>
        </w:tabs>
        <w:rPr>
          <w:b/>
          <w:bCs/>
        </w:rPr>
      </w:pPr>
    </w:p>
    <w:p w14:paraId="1E57D8D1" w14:textId="2B258F9C" w:rsidR="00197495" w:rsidRDefault="00197495" w:rsidP="007B5BE1">
      <w:pPr>
        <w:tabs>
          <w:tab w:val="left" w:pos="1425"/>
        </w:tabs>
        <w:rPr>
          <w:b/>
          <w:bCs/>
        </w:rPr>
      </w:pPr>
    </w:p>
    <w:p w14:paraId="5B032AAA" w14:textId="2388912E" w:rsidR="00197495" w:rsidRDefault="00197495" w:rsidP="007B5BE1">
      <w:pPr>
        <w:tabs>
          <w:tab w:val="left" w:pos="1425"/>
        </w:tabs>
        <w:rPr>
          <w:b/>
          <w:bCs/>
        </w:rPr>
      </w:pPr>
    </w:p>
    <w:p w14:paraId="493647E2" w14:textId="42708F74" w:rsidR="00197495" w:rsidRDefault="00197495" w:rsidP="007B5BE1">
      <w:pPr>
        <w:tabs>
          <w:tab w:val="left" w:pos="1425"/>
        </w:tabs>
        <w:rPr>
          <w:b/>
          <w:bCs/>
        </w:rPr>
      </w:pPr>
    </w:p>
    <w:p w14:paraId="733C339F" w14:textId="67955CD6" w:rsidR="00197495" w:rsidRDefault="00197495" w:rsidP="007B5BE1">
      <w:pPr>
        <w:tabs>
          <w:tab w:val="left" w:pos="1425"/>
        </w:tabs>
        <w:rPr>
          <w:b/>
          <w:bCs/>
        </w:rPr>
      </w:pPr>
    </w:p>
    <w:p w14:paraId="6817642B" w14:textId="77777777" w:rsidR="00197495" w:rsidRPr="007B5BE1" w:rsidRDefault="00197495" w:rsidP="007B5BE1">
      <w:pPr>
        <w:tabs>
          <w:tab w:val="left" w:pos="1425"/>
        </w:tabs>
        <w:rPr>
          <w:b/>
          <w:bCs/>
        </w:rPr>
      </w:pPr>
    </w:p>
    <w:p w14:paraId="779D71CD" w14:textId="77777777" w:rsidR="007B5BE1" w:rsidRPr="007B5BE1" w:rsidRDefault="007B5BE1" w:rsidP="007B5BE1">
      <w:pPr>
        <w:tabs>
          <w:tab w:val="left" w:pos="1425"/>
        </w:tabs>
        <w:rPr>
          <w:b/>
          <w:bCs/>
        </w:rPr>
      </w:pPr>
      <w:r w:rsidRPr="007B5BE1">
        <w:rPr>
          <w:b/>
          <w:bCs/>
        </w:rPr>
        <w:lastRenderedPageBreak/>
        <w:t>Comparison of New South Wales and Health NZ (NZNO) Registered Nursing Top Step using USD Purchasing Power Parity</w:t>
      </w:r>
    </w:p>
    <w:p w14:paraId="6E23B257" w14:textId="77777777" w:rsidR="007B5BE1" w:rsidRPr="007B5BE1" w:rsidRDefault="007B5BE1" w:rsidP="007B5BE1">
      <w:pPr>
        <w:tabs>
          <w:tab w:val="left" w:pos="1425"/>
        </w:tabs>
        <w:rPr>
          <w:b/>
          <w:bCs/>
        </w:rPr>
      </w:pPr>
      <w:r w:rsidRPr="007B5BE1">
        <w:rPr>
          <w:b/>
          <w:bCs/>
        </w:rPr>
        <w:t xml:space="preserve"> </w:t>
      </w:r>
      <w:r w:rsidRPr="00BF22CE">
        <w:rPr>
          <w:noProof/>
        </w:rPr>
        <w:drawing>
          <wp:inline distT="0" distB="0" distL="0" distR="0" wp14:anchorId="7518BBDF" wp14:editId="50EC58B7">
            <wp:extent cx="5085189" cy="3074276"/>
            <wp:effectExtent l="0" t="0" r="1270" b="0"/>
            <wp:docPr id="2146498587" name="Picture 4" descr="A graph of a nursing base pay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98587" name="Picture 4" descr="A graph of a nursing base pay rat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7920" cy="3075927"/>
                    </a:xfrm>
                    <a:prstGeom prst="rect">
                      <a:avLst/>
                    </a:prstGeom>
                    <a:noFill/>
                    <a:ln>
                      <a:noFill/>
                    </a:ln>
                  </pic:spPr>
                </pic:pic>
              </a:graphicData>
            </a:graphic>
          </wp:inline>
        </w:drawing>
      </w:r>
    </w:p>
    <w:p w14:paraId="17733EF5" w14:textId="24168D6D" w:rsidR="00E43EE0" w:rsidRDefault="00E43EE0" w:rsidP="00E65126">
      <w:pPr>
        <w:pStyle w:val="Heading1"/>
      </w:pPr>
      <w:r>
        <w:t>Current</w:t>
      </w:r>
      <w:r w:rsidR="00453C03">
        <w:t xml:space="preserve"> NZNO</w:t>
      </w:r>
      <w:r>
        <w:t xml:space="preserve"> </w:t>
      </w:r>
      <w:r w:rsidR="00593525">
        <w:t>c</w:t>
      </w:r>
      <w:r>
        <w:t xml:space="preserve">ollective </w:t>
      </w:r>
      <w:r w:rsidR="009225D5">
        <w:t>agreement</w:t>
      </w:r>
      <w:r>
        <w:t xml:space="preserve"> </w:t>
      </w:r>
      <w:r w:rsidR="00593525">
        <w:t>n</w:t>
      </w:r>
      <w:r>
        <w:t xml:space="preserve">egotiations </w:t>
      </w:r>
    </w:p>
    <w:p w14:paraId="495A40CD" w14:textId="7AA1AE05" w:rsidR="00453C03" w:rsidRPr="00453C03" w:rsidRDefault="00453C03" w:rsidP="00453C03">
      <w:pPr>
        <w:rPr>
          <w:lang w:val="en-GB"/>
        </w:rPr>
      </w:pPr>
      <w:r>
        <w:rPr>
          <w:lang w:val="en-GB"/>
        </w:rPr>
        <w:t>T</w:t>
      </w:r>
      <w:r w:rsidRPr="00453C03">
        <w:rPr>
          <w:lang w:val="en-GB"/>
        </w:rPr>
        <w:t xml:space="preserve">he Health NZ nursing workforce falls under the coverage of </w:t>
      </w:r>
      <w:r w:rsidR="00EA0920" w:rsidRPr="00453C03">
        <w:rPr>
          <w:lang w:val="en-GB"/>
        </w:rPr>
        <w:t>three</w:t>
      </w:r>
      <w:r w:rsidRPr="00453C03">
        <w:rPr>
          <w:lang w:val="en-GB"/>
        </w:rPr>
        <w:t xml:space="preserve"> different collective agreements</w:t>
      </w:r>
      <w:r w:rsidR="00EA0920">
        <w:rPr>
          <w:lang w:val="en-GB"/>
        </w:rPr>
        <w:t xml:space="preserve">. </w:t>
      </w:r>
      <w:r>
        <w:rPr>
          <w:lang w:val="en-GB"/>
        </w:rPr>
        <w:t xml:space="preserve">The </w:t>
      </w:r>
      <w:r w:rsidRPr="00453C03">
        <w:rPr>
          <w:lang w:val="en-GB"/>
        </w:rPr>
        <w:t>New Zealand Nurses Organisation Nursing &amp; Midwifery Collective Agreement (NZNO CA)</w:t>
      </w:r>
      <w:r>
        <w:rPr>
          <w:lang w:val="en-GB"/>
        </w:rPr>
        <w:t xml:space="preserve"> is the biggest, covering more than</w:t>
      </w:r>
      <w:r w:rsidR="00EA0920">
        <w:rPr>
          <w:lang w:val="en-GB"/>
        </w:rPr>
        <w:t xml:space="preserve"> </w:t>
      </w:r>
      <w:r>
        <w:rPr>
          <w:lang w:val="en-GB"/>
        </w:rPr>
        <w:t xml:space="preserve">10 times the number of nurses. </w:t>
      </w:r>
    </w:p>
    <w:p w14:paraId="6B9F0958" w14:textId="408459F0" w:rsidR="00E43EE0" w:rsidRPr="00A4235A" w:rsidRDefault="2B00D701" w:rsidP="00A4235A">
      <w:r w:rsidRPr="00A4235A">
        <w:t>In September 2024, Health NZ began renegotiating its collective agreement with</w:t>
      </w:r>
      <w:r w:rsidR="0029669D">
        <w:t xml:space="preserve"> </w:t>
      </w:r>
      <w:r w:rsidRPr="00A4235A">
        <w:t>NZNO, which represents Health NZ nurses, healthcare assistants and some midwives.</w:t>
      </w:r>
    </w:p>
    <w:p w14:paraId="57F4319F" w14:textId="24F36F0D" w:rsidR="00E43EE0" w:rsidRPr="00A4235A" w:rsidRDefault="2B00D701" w:rsidP="00A4235A">
      <w:r w:rsidRPr="00A4235A">
        <w:t xml:space="preserve">After six days of bargaining, NZNO gave notice of a nationwide 8-hour strike on 3 December, followed by rolling 4-hour </w:t>
      </w:r>
      <w:r w:rsidR="54A04F74" w:rsidRPr="00A4235A">
        <w:t>strikes, from</w:t>
      </w:r>
      <w:r w:rsidRPr="00A4235A">
        <w:t xml:space="preserve"> 10-19 December</w:t>
      </w:r>
      <w:r w:rsidR="0029669D">
        <w:t xml:space="preserve"> 2024</w:t>
      </w:r>
      <w:r w:rsidRPr="00A4235A">
        <w:t>.</w:t>
      </w:r>
      <w:r w:rsidR="00C9737D">
        <w:t xml:space="preserve"> </w:t>
      </w:r>
    </w:p>
    <w:p w14:paraId="57B54EF4" w14:textId="72E9342B" w:rsidR="002E1371" w:rsidRDefault="2B00D701" w:rsidP="00A4235A">
      <w:r w:rsidRPr="00A4235A">
        <w:t>On 18 March, NZNO applied to the E</w:t>
      </w:r>
      <w:r w:rsidR="00771A32">
        <w:t xml:space="preserve">mployment </w:t>
      </w:r>
      <w:r w:rsidRPr="00A4235A">
        <w:t>R</w:t>
      </w:r>
      <w:r w:rsidR="00771A32">
        <w:t xml:space="preserve">elations </w:t>
      </w:r>
      <w:r w:rsidRPr="00A4235A">
        <w:t>A</w:t>
      </w:r>
      <w:r w:rsidR="00771A32">
        <w:t>uthority</w:t>
      </w:r>
      <w:r w:rsidRPr="00A4235A">
        <w:t xml:space="preserve"> </w:t>
      </w:r>
      <w:r w:rsidR="00771A32">
        <w:t xml:space="preserve">(ERA) </w:t>
      </w:r>
      <w:r w:rsidRPr="00A4235A">
        <w:t>for facilitation, a move supported by Health NZ</w:t>
      </w:r>
      <w:r w:rsidR="00771A32">
        <w:t>.</w:t>
      </w:r>
    </w:p>
    <w:p w14:paraId="5E7E2083" w14:textId="4A311CA6" w:rsidR="007A2E24" w:rsidRDefault="007A2E24" w:rsidP="007A2E24">
      <w:r>
        <w:t xml:space="preserve">Perioperative and ward nurses also took strike action in a limited number of Auckland </w:t>
      </w:r>
      <w:r w:rsidR="00EF54EE">
        <w:t xml:space="preserve">and </w:t>
      </w:r>
      <w:proofErr w:type="spellStart"/>
      <w:r w:rsidR="00EF54EE">
        <w:t>Whangārei</w:t>
      </w:r>
      <w:proofErr w:type="spellEnd"/>
      <w:r w:rsidR="00EF54EE">
        <w:t xml:space="preserve"> </w:t>
      </w:r>
      <w:r>
        <w:t xml:space="preserve">workplaces </w:t>
      </w:r>
      <w:r w:rsidR="00EF54EE">
        <w:t>in</w:t>
      </w:r>
      <w:r>
        <w:t xml:space="preserve"> May</w:t>
      </w:r>
      <w:r w:rsidR="00EF54EE">
        <w:t xml:space="preserve"> and June</w:t>
      </w:r>
      <w:r>
        <w:t>.</w:t>
      </w:r>
    </w:p>
    <w:p w14:paraId="18F3CB6D" w14:textId="1121F9FD" w:rsidR="00771A32" w:rsidRPr="00D10A86" w:rsidRDefault="00771A32" w:rsidP="00771A32">
      <w:pPr>
        <w:pStyle w:val="Heading1"/>
      </w:pPr>
      <w:r>
        <w:t xml:space="preserve">The ERA recommendations </w:t>
      </w:r>
      <w:r w:rsidR="00716F6E">
        <w:t>and our offe</w:t>
      </w:r>
      <w:r w:rsidR="00716F6E" w:rsidRPr="00EF54EE">
        <w:t>r</w:t>
      </w:r>
      <w:r w:rsidR="003E75CD" w:rsidRPr="00EF54EE">
        <w:t>s</w:t>
      </w:r>
      <w:r w:rsidR="00716F6E">
        <w:t xml:space="preserve"> </w:t>
      </w:r>
    </w:p>
    <w:p w14:paraId="358D4B1E" w14:textId="70AE629E" w:rsidR="005D4666" w:rsidRPr="004A7F1F" w:rsidRDefault="005D4666" w:rsidP="005D4666">
      <w:pPr>
        <w:rPr>
          <w:rFonts w:eastAsia="Aptos" w:cstheme="minorHAnsi"/>
        </w:rPr>
      </w:pPr>
      <w:r w:rsidRPr="004A7F1F">
        <w:rPr>
          <w:rFonts w:eastAsia="Aptos" w:cstheme="minorHAnsi"/>
        </w:rPr>
        <w:t>Health NZ told the</w:t>
      </w:r>
      <w:r w:rsidR="00A46EC0">
        <w:rPr>
          <w:rFonts w:eastAsia="Aptos" w:cstheme="minorHAnsi"/>
        </w:rPr>
        <w:t xml:space="preserve"> Employment Relations Authority</w:t>
      </w:r>
      <w:r w:rsidRPr="004A7F1F">
        <w:rPr>
          <w:rFonts w:eastAsia="Aptos" w:cstheme="minorHAnsi"/>
        </w:rPr>
        <w:t xml:space="preserve"> </w:t>
      </w:r>
      <w:r w:rsidR="00A46EC0">
        <w:rPr>
          <w:rFonts w:eastAsia="Aptos" w:cstheme="minorHAnsi"/>
        </w:rPr>
        <w:t>(</w:t>
      </w:r>
      <w:r w:rsidRPr="004A7F1F">
        <w:rPr>
          <w:rFonts w:eastAsia="Aptos" w:cstheme="minorHAnsi"/>
        </w:rPr>
        <w:t>ERA</w:t>
      </w:r>
      <w:r w:rsidR="00A46EC0">
        <w:rPr>
          <w:rFonts w:eastAsia="Aptos" w:cstheme="minorHAnsi"/>
        </w:rPr>
        <w:t>)</w:t>
      </w:r>
      <w:r w:rsidRPr="004A7F1F">
        <w:rPr>
          <w:rFonts w:eastAsia="Aptos" w:cstheme="minorHAnsi"/>
        </w:rPr>
        <w:t xml:space="preserve"> its offer was influenced by the need to reduce its operational expenditure to become financially sustainable and by the Government Workforce Policy Statement</w:t>
      </w:r>
      <w:r w:rsidR="004A7F1F">
        <w:rPr>
          <w:rFonts w:eastAsia="Aptos" w:cstheme="minorHAnsi"/>
        </w:rPr>
        <w:t xml:space="preserve"> (GWPS). The GWPS</w:t>
      </w:r>
      <w:r w:rsidRPr="004A7F1F">
        <w:rPr>
          <w:rFonts w:eastAsia="Aptos" w:cstheme="minorHAnsi"/>
        </w:rPr>
        <w:t xml:space="preserve"> requires it to ensure pay reviews are within its baseline budget and are sustainable</w:t>
      </w:r>
      <w:r w:rsidR="004A7F1F">
        <w:rPr>
          <w:rFonts w:eastAsia="Aptos" w:cstheme="minorHAnsi"/>
        </w:rPr>
        <w:t xml:space="preserve">, </w:t>
      </w:r>
      <w:r w:rsidRPr="004A7F1F">
        <w:rPr>
          <w:rFonts w:eastAsia="Aptos" w:cstheme="minorHAnsi"/>
        </w:rPr>
        <w:t>and to factor in increases in pay progression through salary scales and avoid backdating any components of pay adjustments.</w:t>
      </w:r>
    </w:p>
    <w:p w14:paraId="3C13EE9B" w14:textId="3F5E4C04" w:rsidR="00E43EE0" w:rsidRDefault="00771A32" w:rsidP="0029669D">
      <w:pPr>
        <w:spacing w:after="0"/>
        <w:rPr>
          <w:rFonts w:eastAsia="Aptos" w:cstheme="minorHAnsi"/>
        </w:rPr>
      </w:pPr>
      <w:r w:rsidRPr="004A7F1F">
        <w:rPr>
          <w:rFonts w:eastAsia="Aptos" w:cstheme="minorHAnsi"/>
        </w:rPr>
        <w:t>The Authority</w:t>
      </w:r>
      <w:r w:rsidR="007A2E24">
        <w:rPr>
          <w:rFonts w:eastAsia="Aptos" w:cstheme="minorHAnsi"/>
        </w:rPr>
        <w:t xml:space="preserve"> issued its recommendations on 29 April, finding</w:t>
      </w:r>
      <w:r w:rsidRPr="004A7F1F">
        <w:rPr>
          <w:rFonts w:eastAsia="Aptos" w:cstheme="minorHAnsi"/>
        </w:rPr>
        <w:t xml:space="preserve"> there was no reason to question the economic rationale behind the</w:t>
      </w:r>
      <w:r w:rsidR="00C30236">
        <w:rPr>
          <w:rFonts w:eastAsia="Aptos" w:cstheme="minorHAnsi"/>
        </w:rPr>
        <w:t xml:space="preserve"> Health NZ</w:t>
      </w:r>
      <w:r w:rsidRPr="004A7F1F">
        <w:rPr>
          <w:rFonts w:eastAsia="Aptos" w:cstheme="minorHAnsi"/>
        </w:rPr>
        <w:t xml:space="preserve"> offer, and neither was there a rationale to support seeking further funding from the Government.</w:t>
      </w:r>
      <w:r w:rsidR="004A7F1F" w:rsidRPr="004A7F1F">
        <w:rPr>
          <w:rFonts w:eastAsia="Aptos" w:cstheme="minorHAnsi"/>
        </w:rPr>
        <w:t xml:space="preserve"> It recommended NZNO take the Health NZ offer of one percent for each year of the two-year term to members for ratification. [Read the</w:t>
      </w:r>
      <w:r w:rsidR="0029669D">
        <w:rPr>
          <w:rFonts w:eastAsia="Aptos" w:cstheme="minorHAnsi"/>
        </w:rPr>
        <w:t xml:space="preserve"> full</w:t>
      </w:r>
      <w:r w:rsidR="004A7F1F" w:rsidRPr="004A7F1F">
        <w:rPr>
          <w:rFonts w:eastAsia="Aptos" w:cstheme="minorHAnsi"/>
        </w:rPr>
        <w:t xml:space="preserve"> recommendations</w:t>
      </w:r>
      <w:r w:rsidR="0029669D">
        <w:rPr>
          <w:rFonts w:eastAsia="Aptos" w:cstheme="minorHAnsi"/>
        </w:rPr>
        <w:t xml:space="preserve"> </w:t>
      </w:r>
      <w:hyperlink r:id="rId11" w:history="1">
        <w:r w:rsidR="0029669D" w:rsidRPr="0029669D">
          <w:rPr>
            <w:rStyle w:val="Hyperlink"/>
            <w:rFonts w:eastAsia="Aptos" w:cstheme="minorHAnsi"/>
          </w:rPr>
          <w:t>here</w:t>
        </w:r>
      </w:hyperlink>
      <w:r w:rsidR="004A7F1F" w:rsidRPr="004A7F1F">
        <w:rPr>
          <w:rFonts w:eastAsia="Aptos" w:cstheme="minorHAnsi"/>
        </w:rPr>
        <w:t xml:space="preserve">] </w:t>
      </w:r>
    </w:p>
    <w:p w14:paraId="58F1E369" w14:textId="77777777" w:rsidR="00AC6436" w:rsidRDefault="009F02E1" w:rsidP="0029669D">
      <w:pPr>
        <w:spacing w:after="0"/>
        <w:rPr>
          <w:rFonts w:eastAsia="Aptos" w:cstheme="minorHAnsi"/>
        </w:rPr>
      </w:pPr>
      <w:r w:rsidRPr="001F4E89">
        <w:rPr>
          <w:rFonts w:eastAsia="Aptos" w:cstheme="minorHAnsi"/>
        </w:rPr>
        <w:lastRenderedPageBreak/>
        <w:t xml:space="preserve">Health NZ accepted the ERA’s recommendations and made an offer to NZNO </w:t>
      </w:r>
      <w:r w:rsidR="00DF0DBB">
        <w:rPr>
          <w:rFonts w:eastAsia="Aptos" w:cstheme="minorHAnsi"/>
        </w:rPr>
        <w:t xml:space="preserve">on 9 May </w:t>
      </w:r>
      <w:r w:rsidRPr="001F4E89">
        <w:rPr>
          <w:rFonts w:eastAsia="Aptos" w:cstheme="minorHAnsi"/>
        </w:rPr>
        <w:t>based on proposals developed in bargaining and the recommendations.</w:t>
      </w:r>
      <w:r>
        <w:rPr>
          <w:rFonts w:eastAsia="Aptos" w:cstheme="minorHAnsi"/>
        </w:rPr>
        <w:t xml:space="preserve"> </w:t>
      </w:r>
    </w:p>
    <w:p w14:paraId="03070CD8" w14:textId="01DDF9D3" w:rsidR="0029669D" w:rsidRPr="00B07528" w:rsidRDefault="00AC6436" w:rsidP="0029669D">
      <w:pPr>
        <w:spacing w:after="0"/>
        <w:rPr>
          <w:rFonts w:eastAsia="Aptos" w:cstheme="minorHAnsi"/>
        </w:rPr>
      </w:pPr>
      <w:r w:rsidRPr="00B07528">
        <w:rPr>
          <w:rFonts w:eastAsia="Aptos" w:cstheme="minorHAnsi"/>
        </w:rPr>
        <w:t xml:space="preserve">NZNO members </w:t>
      </w:r>
      <w:r w:rsidR="0033386F" w:rsidRPr="00B07528">
        <w:rPr>
          <w:rFonts w:eastAsia="Aptos" w:cstheme="minorHAnsi"/>
        </w:rPr>
        <w:t>voted not to accept the offer during a ballot which closed on 23 May</w:t>
      </w:r>
      <w:r w:rsidR="000443C1" w:rsidRPr="00B07528">
        <w:rPr>
          <w:rFonts w:eastAsia="Aptos" w:cstheme="minorHAnsi"/>
        </w:rPr>
        <w:t>.</w:t>
      </w:r>
      <w:r w:rsidR="009F02E1" w:rsidRPr="00B07528">
        <w:rPr>
          <w:rFonts w:eastAsia="Aptos" w:cstheme="minorHAnsi"/>
        </w:rPr>
        <w:t xml:space="preserve"> </w:t>
      </w:r>
    </w:p>
    <w:p w14:paraId="6ABF72A7" w14:textId="79141478" w:rsidR="005B0B0E" w:rsidRPr="00B07528" w:rsidRDefault="005B0B0E" w:rsidP="0029669D">
      <w:pPr>
        <w:spacing w:after="0"/>
        <w:rPr>
          <w:rFonts w:eastAsia="Aptos" w:cstheme="minorHAnsi"/>
        </w:rPr>
      </w:pPr>
      <w:r w:rsidRPr="00B07528">
        <w:rPr>
          <w:rFonts w:eastAsia="Aptos" w:cstheme="minorHAnsi"/>
        </w:rPr>
        <w:t xml:space="preserve">On 30 June, Health New Zealand made </w:t>
      </w:r>
      <w:r w:rsidR="002A7772" w:rsidRPr="00B07528">
        <w:rPr>
          <w:rFonts w:eastAsia="Aptos" w:cstheme="minorHAnsi"/>
        </w:rPr>
        <w:t xml:space="preserve">a new offer to the NZNO which will remain on the </w:t>
      </w:r>
      <w:r w:rsidR="009638CA" w:rsidRPr="00B07528">
        <w:rPr>
          <w:rFonts w:eastAsia="Aptos" w:cstheme="minorHAnsi"/>
        </w:rPr>
        <w:t>table for</w:t>
      </w:r>
      <w:r w:rsidR="00DB7CA0" w:rsidRPr="00B07528">
        <w:rPr>
          <w:rFonts w:eastAsia="Aptos" w:cstheme="minorHAnsi"/>
        </w:rPr>
        <w:t xml:space="preserve"> ratification </w:t>
      </w:r>
      <w:r w:rsidR="002A7772" w:rsidRPr="00B07528">
        <w:rPr>
          <w:rFonts w:eastAsia="Aptos" w:cstheme="minorHAnsi"/>
        </w:rPr>
        <w:t xml:space="preserve">until </w:t>
      </w:r>
      <w:r w:rsidR="00DB7CA0" w:rsidRPr="00B07528">
        <w:rPr>
          <w:rFonts w:eastAsia="Aptos" w:cstheme="minorHAnsi"/>
        </w:rPr>
        <w:t xml:space="preserve">31 July. </w:t>
      </w:r>
    </w:p>
    <w:p w14:paraId="45406454" w14:textId="6FA26433" w:rsidR="006A359E" w:rsidRPr="00B07528" w:rsidRDefault="00E43EE0" w:rsidP="006A359E">
      <w:pPr>
        <w:pStyle w:val="Heading1"/>
      </w:pPr>
      <w:r w:rsidRPr="00B07528">
        <w:t xml:space="preserve">How </w:t>
      </w:r>
      <w:r w:rsidR="43D3B8C6" w:rsidRPr="00B07528">
        <w:t>nurses w</w:t>
      </w:r>
      <w:r w:rsidR="00506DEB" w:rsidRPr="00B07528">
        <w:t xml:space="preserve">ill </w:t>
      </w:r>
      <w:r w:rsidRPr="00B07528">
        <w:t>benefit from the</w:t>
      </w:r>
      <w:r w:rsidR="006A359E" w:rsidRPr="00B07528">
        <w:t xml:space="preserve"> 30 June</w:t>
      </w:r>
      <w:r w:rsidR="000443C1" w:rsidRPr="00B07528">
        <w:t xml:space="preserve"> </w:t>
      </w:r>
      <w:r w:rsidRPr="00B07528">
        <w:t>offer</w:t>
      </w:r>
    </w:p>
    <w:p w14:paraId="3F354A69" w14:textId="7F37FF6A" w:rsidR="006A359E" w:rsidRPr="00B07528" w:rsidRDefault="006A359E" w:rsidP="00FB741A">
      <w:pPr>
        <w:pStyle w:val="Bulletpoint"/>
        <w:numPr>
          <w:ilvl w:val="0"/>
          <w:numId w:val="8"/>
        </w:numPr>
        <w:ind w:left="357" w:hanging="357"/>
      </w:pPr>
      <w:r w:rsidRPr="00B07528">
        <w:t>The key difference between the May and June offer</w:t>
      </w:r>
      <w:r w:rsidR="00614C3E" w:rsidRPr="00B07528">
        <w:t xml:space="preserve">s </w:t>
      </w:r>
      <w:r w:rsidR="006F690E" w:rsidRPr="00B07528">
        <w:t>is that</w:t>
      </w:r>
      <w:r w:rsidR="007575B1" w:rsidRPr="00B07528">
        <w:t xml:space="preserve"> registered</w:t>
      </w:r>
      <w:r w:rsidR="006F690E" w:rsidRPr="00B07528">
        <w:t xml:space="preserve"> nurses have been offered an additiona</w:t>
      </w:r>
      <w:r w:rsidR="00633EED" w:rsidRPr="00B07528">
        <w:t xml:space="preserve">l 1% </w:t>
      </w:r>
      <w:r w:rsidR="00B00D64" w:rsidRPr="00B07528">
        <w:t>pay increase in the first year.  Under the May offer</w:t>
      </w:r>
      <w:r w:rsidR="00BD3463" w:rsidRPr="00B07528">
        <w:t>,</w:t>
      </w:r>
      <w:r w:rsidR="00B00D64" w:rsidRPr="00B07528">
        <w:t xml:space="preserve"> </w:t>
      </w:r>
      <w:r w:rsidR="002F4A4C" w:rsidRPr="00B07528">
        <w:t>nurses would have receive</w:t>
      </w:r>
      <w:r w:rsidR="00CE2006" w:rsidRPr="00B07528">
        <w:t xml:space="preserve">d a 1% increase in April 2025 and a further 1% increase in April 2026.  </w:t>
      </w:r>
      <w:r w:rsidR="00463804" w:rsidRPr="00B07528">
        <w:t>Under the June offer, registered nurses would gain a 2%</w:t>
      </w:r>
      <w:r w:rsidR="00BD3463" w:rsidRPr="00B07528">
        <w:t xml:space="preserve"> </w:t>
      </w:r>
      <w:r w:rsidR="00463804" w:rsidRPr="00B07528">
        <w:t xml:space="preserve">increase </w:t>
      </w:r>
      <w:r w:rsidR="008655A4" w:rsidRPr="00B07528">
        <w:t xml:space="preserve">in June </w:t>
      </w:r>
      <w:r w:rsidR="00BD3463" w:rsidRPr="00B07528">
        <w:t xml:space="preserve">2025 and a further 1% in June 2026. They would also gain </w:t>
      </w:r>
      <w:r w:rsidR="002924A7" w:rsidRPr="00B07528">
        <w:t>a $3</w:t>
      </w:r>
      <w:r w:rsidR="003951B0" w:rsidRPr="00B07528">
        <w:t>25</w:t>
      </w:r>
      <w:r w:rsidR="002924A7" w:rsidRPr="00B07528">
        <w:t xml:space="preserve"> lump sum payment </w:t>
      </w:r>
      <w:r w:rsidR="00A02C47" w:rsidRPr="00B07528">
        <w:t xml:space="preserve">in </w:t>
      </w:r>
      <w:r w:rsidR="002924A7" w:rsidRPr="00B07528">
        <w:t xml:space="preserve">each </w:t>
      </w:r>
      <w:r w:rsidR="00A02C47" w:rsidRPr="00B07528">
        <w:t xml:space="preserve">of the two </w:t>
      </w:r>
      <w:r w:rsidR="002924A7" w:rsidRPr="00B07528">
        <w:t>year</w:t>
      </w:r>
      <w:r w:rsidR="00A02C47" w:rsidRPr="00B07528">
        <w:t xml:space="preserve">s.  </w:t>
      </w:r>
      <w:r w:rsidR="002924A7" w:rsidRPr="00B07528">
        <w:t xml:space="preserve">  </w:t>
      </w:r>
    </w:p>
    <w:p w14:paraId="31C35838" w14:textId="510CE335" w:rsidR="78E0BD78" w:rsidRPr="00B07528" w:rsidRDefault="003951B0" w:rsidP="00E96FA2">
      <w:pPr>
        <w:pStyle w:val="Bulletpoint"/>
        <w:numPr>
          <w:ilvl w:val="0"/>
          <w:numId w:val="8"/>
        </w:numPr>
        <w:ind w:left="357" w:hanging="357"/>
      </w:pPr>
      <w:r w:rsidRPr="00B07528">
        <w:t>Under the June offer, a</w:t>
      </w:r>
      <w:r w:rsidR="001104DD" w:rsidRPr="00B07528">
        <w:t xml:space="preserve"> new graduate nurse on Step 1 ($75,773) would get 2% from 2 June 2025 - an extra $1515 per year. When they progress</w:t>
      </w:r>
      <w:r w:rsidRPr="00B07528">
        <w:t xml:space="preserve"> </w:t>
      </w:r>
      <w:r w:rsidR="001104DD" w:rsidRPr="00B07528">
        <w:t>to Step 2 (usually the anniversary of their appointment to the role), their salary would increase to $83,317 – a total increase of $7544 or $145 per week. In June 2026 they would get an additional 1% increase, taking their salary to $84,150. That’s a total pay increase of $8,377, or 11 %, by the start</w:t>
      </w:r>
      <w:r w:rsidR="00506DEB" w:rsidRPr="00B07528">
        <w:t xml:space="preserve"> of</w:t>
      </w:r>
      <w:r w:rsidR="00E96FA2" w:rsidRPr="00B07528">
        <w:t xml:space="preserve"> </w:t>
      </w:r>
      <w:r w:rsidR="001104DD" w:rsidRPr="00B07528">
        <w:t>June 2026.</w:t>
      </w:r>
    </w:p>
    <w:p w14:paraId="1F0F6C84" w14:textId="4584C9B7" w:rsidR="00F90A98" w:rsidRPr="00B07528" w:rsidRDefault="00F90A98" w:rsidP="00F90A98">
      <w:pPr>
        <w:pStyle w:val="Bulletpoint"/>
        <w:numPr>
          <w:ilvl w:val="0"/>
          <w:numId w:val="8"/>
        </w:numPr>
        <w:ind w:left="357" w:hanging="357"/>
      </w:pPr>
      <w:r w:rsidRPr="00B07528">
        <w:t>Most nurses (72%) are on Step 7, the highest step.  A Step 7 RN ($106,739) would get a 2% increase in June 2025 - an extra $2135 per year or an extra $41.05 a week. They would get an additional 1% increase in June 2026 – giving them a total base pay increase of $</w:t>
      </w:r>
      <w:r w:rsidR="00686DAA" w:rsidRPr="00B07528">
        <w:t>3224</w:t>
      </w:r>
      <w:r w:rsidRPr="00B07528">
        <w:t xml:space="preserve">, or </w:t>
      </w:r>
      <w:r w:rsidR="00686DAA" w:rsidRPr="00B07528">
        <w:t>3</w:t>
      </w:r>
      <w:r w:rsidRPr="00B07528">
        <w:t>%.</w:t>
      </w:r>
    </w:p>
    <w:p w14:paraId="3CC8F1A6" w14:textId="29D3B039" w:rsidR="07BBA626" w:rsidRPr="00B07528" w:rsidRDefault="78E0BD78" w:rsidP="00FB741A">
      <w:pPr>
        <w:pStyle w:val="Bulletpoint"/>
        <w:numPr>
          <w:ilvl w:val="0"/>
          <w:numId w:val="8"/>
        </w:numPr>
        <w:ind w:left="357" w:hanging="357"/>
      </w:pPr>
      <w:r w:rsidRPr="00B07528">
        <w:t>The offer include</w:t>
      </w:r>
      <w:r w:rsidR="00847DB9" w:rsidRPr="00B07528">
        <w:t>s</w:t>
      </w:r>
      <w:r w:rsidRPr="00B07528">
        <w:t xml:space="preserve"> a $2,000 increase to step 5 for the Enrolled Nurses salary scale effective </w:t>
      </w:r>
      <w:r w:rsidR="003405A4" w:rsidRPr="00B07528">
        <w:t>from January</w:t>
      </w:r>
      <w:r w:rsidRPr="00B07528">
        <w:t xml:space="preserve"> 2026.</w:t>
      </w:r>
    </w:p>
    <w:p w14:paraId="7300A56B" w14:textId="77777777" w:rsidR="00E43EE0" w:rsidRPr="00E43EE0" w:rsidRDefault="00E43EE0" w:rsidP="00BD3541">
      <w:pPr>
        <w:pStyle w:val="Heading1"/>
      </w:pPr>
      <w:r w:rsidRPr="00E43EE0">
        <w:t xml:space="preserve">Further Information on pay and conditions </w:t>
      </w:r>
    </w:p>
    <w:p w14:paraId="7AD6F739" w14:textId="77777777" w:rsidR="00E43EE0" w:rsidRPr="00E43EE0" w:rsidRDefault="00E43EE0" w:rsidP="00120E64">
      <w:pPr>
        <w:pStyle w:val="Heading2"/>
      </w:pPr>
      <w:r w:rsidRPr="00120E64">
        <w:t xml:space="preserve">Breakdown of allowances / overtime / penal rates </w:t>
      </w:r>
    </w:p>
    <w:p w14:paraId="23D74191" w14:textId="77777777" w:rsidR="00E43EE0" w:rsidRPr="00E43EE0" w:rsidRDefault="00E43EE0" w:rsidP="00502BE4">
      <w:pPr>
        <w:pStyle w:val="Bulletpoint"/>
        <w:ind w:left="357" w:hanging="357"/>
      </w:pPr>
      <w:r w:rsidRPr="00E43EE0">
        <w:t>There are a range of additional allowances including but not limited to:</w:t>
      </w:r>
    </w:p>
    <w:p w14:paraId="4E8DB535" w14:textId="77777777" w:rsidR="00C52773" w:rsidRDefault="00325390" w:rsidP="00FB741A">
      <w:pPr>
        <w:pStyle w:val="Bulletpoint"/>
        <w:numPr>
          <w:ilvl w:val="0"/>
          <w:numId w:val="10"/>
        </w:numPr>
      </w:pPr>
      <w:r w:rsidRPr="00325390">
        <w:t>Overtime and penal payments for on-call, evening, night and weekend work, call back </w:t>
      </w:r>
    </w:p>
    <w:p w14:paraId="3FD6211F" w14:textId="77777777" w:rsidR="00C52773" w:rsidRDefault="00325390" w:rsidP="00FB741A">
      <w:pPr>
        <w:pStyle w:val="Bulletpoint"/>
        <w:numPr>
          <w:ilvl w:val="0"/>
          <w:numId w:val="10"/>
        </w:numPr>
      </w:pPr>
      <w:r w:rsidRPr="00C52773">
        <w:t>On-call allowance </w:t>
      </w:r>
    </w:p>
    <w:p w14:paraId="52C909FF" w14:textId="77777777" w:rsidR="00C52773" w:rsidRDefault="00325390" w:rsidP="00FB741A">
      <w:pPr>
        <w:pStyle w:val="Bulletpoint"/>
        <w:numPr>
          <w:ilvl w:val="0"/>
          <w:numId w:val="10"/>
        </w:numPr>
      </w:pPr>
      <w:r w:rsidRPr="00C52773">
        <w:t>Meal allowance  </w:t>
      </w:r>
    </w:p>
    <w:p w14:paraId="54774FC3" w14:textId="05B9D7DB" w:rsidR="00325390" w:rsidRPr="00C52773" w:rsidRDefault="00325390" w:rsidP="00FB741A">
      <w:pPr>
        <w:pStyle w:val="Bulletpoint"/>
        <w:numPr>
          <w:ilvl w:val="0"/>
          <w:numId w:val="10"/>
        </w:numPr>
      </w:pPr>
      <w:r w:rsidRPr="00C52773">
        <w:t>Higher duties allowance</w:t>
      </w:r>
      <w:r w:rsidR="00364E42">
        <w:t>.</w:t>
      </w:r>
      <w:r w:rsidRPr="00C52773">
        <w:t> </w:t>
      </w:r>
    </w:p>
    <w:p w14:paraId="003BC3A9" w14:textId="56131502" w:rsidR="00325390" w:rsidRPr="00325390" w:rsidRDefault="00325390" w:rsidP="00502BE4">
      <w:pPr>
        <w:pStyle w:val="Bulletpoint"/>
        <w:ind w:left="357" w:hanging="357"/>
      </w:pPr>
      <w:r w:rsidRPr="00325390">
        <w:t>These allowances are paid in addition to base salary. </w:t>
      </w:r>
    </w:p>
    <w:p w14:paraId="6D0D50D4" w14:textId="77777777" w:rsidR="00E43EE0" w:rsidRPr="00B01142" w:rsidRDefault="00E43EE0" w:rsidP="00B01142">
      <w:pPr>
        <w:pStyle w:val="Heading2"/>
      </w:pPr>
      <w:r w:rsidRPr="00B01142">
        <w:t>Leave</w:t>
      </w:r>
    </w:p>
    <w:p w14:paraId="521A433F" w14:textId="77777777" w:rsidR="00890413" w:rsidRPr="00890413" w:rsidRDefault="00890413" w:rsidP="00FB741A">
      <w:pPr>
        <w:pStyle w:val="Bulletpoint"/>
        <w:numPr>
          <w:ilvl w:val="0"/>
          <w:numId w:val="11"/>
        </w:numPr>
      </w:pPr>
      <w:r w:rsidRPr="00890413">
        <w:t>Across the 3 relevant CAs, employees are entitled to 4 weeks annual leave per year for the first 5 years of service.  After 5 years of continuous service, this increases to 5 weeks.   </w:t>
      </w:r>
    </w:p>
    <w:p w14:paraId="54929D61" w14:textId="77777777" w:rsidR="00890413" w:rsidRPr="00890413" w:rsidRDefault="00890413" w:rsidP="00FB741A">
      <w:pPr>
        <w:pStyle w:val="Bulletpoint"/>
        <w:numPr>
          <w:ilvl w:val="0"/>
          <w:numId w:val="11"/>
        </w:numPr>
      </w:pPr>
      <w:r w:rsidRPr="00890413">
        <w:t>10 days sick leave with ability to apply for a further 10 days of discretionary sick leave </w:t>
      </w:r>
    </w:p>
    <w:p w14:paraId="17AC75BF" w14:textId="77777777" w:rsidR="00890413" w:rsidRPr="00890413" w:rsidRDefault="00890413" w:rsidP="00FB741A">
      <w:pPr>
        <w:pStyle w:val="Bulletpoint"/>
        <w:numPr>
          <w:ilvl w:val="0"/>
          <w:numId w:val="11"/>
        </w:numPr>
      </w:pPr>
      <w:r w:rsidRPr="00890413">
        <w:t>Long service leave (1 week every 5 years) </w:t>
      </w:r>
    </w:p>
    <w:p w14:paraId="4E2DDC41" w14:textId="77777777" w:rsidR="00890413" w:rsidRPr="00890413" w:rsidRDefault="00890413" w:rsidP="00FB741A">
      <w:pPr>
        <w:pStyle w:val="Bulletpoint"/>
        <w:numPr>
          <w:ilvl w:val="0"/>
          <w:numId w:val="11"/>
        </w:numPr>
      </w:pPr>
      <w:r w:rsidRPr="00890413">
        <w:lastRenderedPageBreak/>
        <w:t>Up to 5 days shift leave for working outside of the hours 8am to 5pm </w:t>
      </w:r>
    </w:p>
    <w:p w14:paraId="4E8BFD28" w14:textId="3480FD3A" w:rsidR="00E43EE0" w:rsidRPr="00E05AF5" w:rsidRDefault="00E43EE0" w:rsidP="00E05AF5">
      <w:pPr>
        <w:pStyle w:val="Heading2"/>
      </w:pPr>
      <w:r w:rsidRPr="00E05AF5">
        <w:t>Other additional payments/benefits</w:t>
      </w:r>
    </w:p>
    <w:p w14:paraId="61049B4A" w14:textId="1AF8C8AA" w:rsidR="006213F8" w:rsidRPr="006213F8" w:rsidRDefault="00C30236" w:rsidP="00FB741A">
      <w:pPr>
        <w:pStyle w:val="Bulletpoint"/>
        <w:numPr>
          <w:ilvl w:val="0"/>
          <w:numId w:val="12"/>
        </w:numPr>
      </w:pPr>
      <w:r>
        <w:t xml:space="preserve">Around </w:t>
      </w:r>
      <w:r w:rsidR="006213F8" w:rsidRPr="006213F8">
        <w:t>30% of nurses choose to participate in the Professional Development Recognition Programme (PDRP).  These nurses are eligible for an allowance of $3,000 - $4,500 p.a., depending on level of assessed competence. </w:t>
      </w:r>
    </w:p>
    <w:p w14:paraId="08C6620B" w14:textId="77777777" w:rsidR="006213F8" w:rsidRPr="006213F8" w:rsidRDefault="006213F8" w:rsidP="00FB741A">
      <w:pPr>
        <w:pStyle w:val="Bulletpoint"/>
        <w:numPr>
          <w:ilvl w:val="0"/>
          <w:numId w:val="12"/>
        </w:numPr>
      </w:pPr>
      <w:r w:rsidRPr="006213F8">
        <w:t>Nurse Practitioners are eligible for a Professional Development Allowance of up to $6,000 p.a. </w:t>
      </w:r>
    </w:p>
    <w:p w14:paraId="7F90369B" w14:textId="4197C651" w:rsidR="006213F8" w:rsidRPr="006213F8" w:rsidRDefault="006213F8" w:rsidP="00FB741A">
      <w:pPr>
        <w:pStyle w:val="Bulletpoint"/>
        <w:numPr>
          <w:ilvl w:val="0"/>
          <w:numId w:val="12"/>
        </w:numPr>
      </w:pPr>
      <w:r w:rsidRPr="006213F8">
        <w:t>14 weeks top</w:t>
      </w:r>
      <w:r w:rsidR="0029669D">
        <w:t>-</w:t>
      </w:r>
      <w:r w:rsidRPr="006213F8">
        <w:t>up of wages for paid parental leave</w:t>
      </w:r>
      <w:r w:rsidR="009025D0">
        <w:t>.</w:t>
      </w:r>
    </w:p>
    <w:p w14:paraId="3F23CC30" w14:textId="77777777" w:rsidR="006213F8" w:rsidRPr="006213F8" w:rsidRDefault="006213F8" w:rsidP="006213F8"/>
    <w:p w14:paraId="1C96A48D" w14:textId="77777777" w:rsidR="006213F8" w:rsidRPr="006213F8" w:rsidRDefault="006213F8" w:rsidP="006213F8"/>
    <w:p w14:paraId="01080F6B" w14:textId="77777777" w:rsidR="006213F8" w:rsidRPr="006213F8" w:rsidRDefault="006213F8" w:rsidP="006213F8">
      <w:pPr>
        <w:spacing w:before="0" w:line="257" w:lineRule="auto"/>
      </w:pPr>
    </w:p>
    <w:p w14:paraId="2D408AD7" w14:textId="201B2E97" w:rsidR="006213F8" w:rsidRPr="006213F8" w:rsidRDefault="006213F8" w:rsidP="006213F8">
      <w:pPr>
        <w:tabs>
          <w:tab w:val="left" w:pos="2670"/>
        </w:tabs>
      </w:pPr>
      <w:r>
        <w:tab/>
      </w:r>
    </w:p>
    <w:sectPr w:rsidR="006213F8" w:rsidRPr="006213F8" w:rsidSect="009C2E6A">
      <w:headerReference w:type="default" r:id="rId12"/>
      <w:footerReference w:type="default" r:id="rId13"/>
      <w:headerReference w:type="first" r:id="rId14"/>
      <w:footerReference w:type="first" r:id="rId15"/>
      <w:type w:val="continuous"/>
      <w:pgSz w:w="11906" w:h="16838" w:code="9"/>
      <w:pgMar w:top="567" w:right="567" w:bottom="567" w:left="567" w:header="102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A1AE" w14:textId="77777777" w:rsidR="00502F56" w:rsidRDefault="00502F56" w:rsidP="00817A32">
      <w:pPr>
        <w:spacing w:before="0" w:after="0" w:line="240" w:lineRule="auto"/>
      </w:pPr>
      <w:r>
        <w:separator/>
      </w:r>
    </w:p>
  </w:endnote>
  <w:endnote w:type="continuationSeparator" w:id="0">
    <w:p w14:paraId="735919AD" w14:textId="77777777" w:rsidR="00502F56" w:rsidRDefault="00502F56" w:rsidP="00817A32">
      <w:pPr>
        <w:spacing w:before="0" w:after="0" w:line="240" w:lineRule="auto"/>
      </w:pPr>
      <w:r>
        <w:continuationSeparator/>
      </w:r>
    </w:p>
  </w:endnote>
  <w:endnote w:type="continuationNotice" w:id="1">
    <w:p w14:paraId="3FC77317" w14:textId="77777777" w:rsidR="00502F56" w:rsidRDefault="00502F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284C" w:themeColor="text2"/>
      </w:rPr>
      <w:id w:val="994370493"/>
      <w:docPartObj>
        <w:docPartGallery w:val="Page Numbers (Bottom of Page)"/>
        <w:docPartUnique/>
      </w:docPartObj>
    </w:sdtPr>
    <w:sdtEndPr/>
    <w:sdtContent>
      <w:p w14:paraId="0A5B0334" w14:textId="45F7EC37" w:rsidR="00532137" w:rsidRPr="00FE11FA" w:rsidRDefault="00FA696D" w:rsidP="00FA696D">
        <w:pPr>
          <w:tabs>
            <w:tab w:val="left" w:pos="9781"/>
          </w:tabs>
          <w:ind w:right="-1"/>
          <w:rPr>
            <w:color w:val="15284C" w:themeColor="text2"/>
          </w:rPr>
        </w:pPr>
        <w:r w:rsidRPr="00FA696D">
          <w:rPr>
            <w:color w:val="15284C" w:themeColor="text2"/>
          </w:rPr>
          <w:t xml:space="preserve">Health NZ </w:t>
        </w:r>
        <w:r w:rsidR="006213F8">
          <w:rPr>
            <w:color w:val="15284C" w:themeColor="text2"/>
          </w:rPr>
          <w:t>NZNO Nursing</w:t>
        </w:r>
        <w:r w:rsidRPr="00FA696D">
          <w:rPr>
            <w:color w:val="15284C" w:themeColor="text2"/>
          </w:rPr>
          <w:t xml:space="preserve"> Workforce</w:t>
        </w:r>
        <w:r>
          <w:rPr>
            <w:color w:val="15284C" w:themeColor="text2"/>
          </w:rPr>
          <w:t xml:space="preserve">       </w:t>
        </w:r>
        <w:r w:rsidR="00532137" w:rsidRPr="00FE11FA">
          <w:rPr>
            <w:color w:val="15284C" w:themeColor="text2"/>
          </w:rPr>
          <w:tab/>
        </w:r>
        <w:r w:rsidR="00532137" w:rsidRPr="00FE11FA">
          <w:rPr>
            <w:b/>
            <w:color w:val="15284C" w:themeColor="text2"/>
          </w:rPr>
          <w:t xml:space="preserve">Page | </w:t>
        </w:r>
        <w:r w:rsidR="00532137" w:rsidRPr="00FE11FA">
          <w:rPr>
            <w:b/>
            <w:color w:val="15284C" w:themeColor="text2"/>
          </w:rPr>
          <w:fldChar w:fldCharType="begin"/>
        </w:r>
        <w:r w:rsidR="00532137" w:rsidRPr="00FE11FA">
          <w:rPr>
            <w:b/>
            <w:color w:val="15284C" w:themeColor="text2"/>
          </w:rPr>
          <w:instrText xml:space="preserve"> PAGE   \* MERGEFORMAT </w:instrText>
        </w:r>
        <w:r w:rsidR="00532137" w:rsidRPr="00FE11FA">
          <w:rPr>
            <w:b/>
            <w:color w:val="15284C" w:themeColor="text2"/>
          </w:rPr>
          <w:fldChar w:fldCharType="separate"/>
        </w:r>
        <w:r w:rsidR="00532137" w:rsidRPr="00FE11FA">
          <w:rPr>
            <w:b/>
            <w:noProof/>
            <w:color w:val="15284C" w:themeColor="text2"/>
          </w:rPr>
          <w:t>11</w:t>
        </w:r>
        <w:r w:rsidR="00532137" w:rsidRPr="00FE11FA">
          <w:rPr>
            <w:b/>
            <w:noProof/>
            <w:color w:val="15284C" w:themeColor="text2"/>
          </w:rPr>
          <w:fldChar w:fldCharType="end"/>
        </w:r>
        <w:r w:rsidR="00532137" w:rsidRPr="00FE11FA">
          <w:rPr>
            <w:color w:val="15284C" w:themeColor="text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284C" w:themeColor="text2"/>
      </w:rPr>
      <w:id w:val="1124653286"/>
      <w:docPartObj>
        <w:docPartGallery w:val="Page Numbers (Bottom of Page)"/>
        <w:docPartUnique/>
      </w:docPartObj>
    </w:sdtPr>
    <w:sdtEndPr/>
    <w:sdtContent>
      <w:p w14:paraId="104AC09D" w14:textId="6B12CCD5" w:rsidR="0024046B" w:rsidRPr="00FE11FA" w:rsidRDefault="00FA696D" w:rsidP="00FA696D">
        <w:pPr>
          <w:tabs>
            <w:tab w:val="left" w:pos="9639"/>
          </w:tabs>
          <w:ind w:right="-1"/>
          <w:rPr>
            <w:color w:val="15284C" w:themeColor="text2"/>
          </w:rPr>
        </w:pPr>
        <w:r w:rsidRPr="00FA696D">
          <w:rPr>
            <w:color w:val="15284C" w:themeColor="text2"/>
          </w:rPr>
          <w:t xml:space="preserve">Health NZ </w:t>
        </w:r>
        <w:r w:rsidR="00890413">
          <w:rPr>
            <w:color w:val="15284C" w:themeColor="text2"/>
          </w:rPr>
          <w:t>NZNO Nursing</w:t>
        </w:r>
        <w:r w:rsidRPr="00FA696D">
          <w:rPr>
            <w:color w:val="15284C" w:themeColor="text2"/>
          </w:rPr>
          <w:t xml:space="preserve"> Workforce</w:t>
        </w:r>
        <w:r>
          <w:rPr>
            <w:color w:val="15284C" w:themeColor="text2"/>
          </w:rPr>
          <w:t xml:space="preserve">       </w:t>
        </w:r>
        <w:r w:rsidR="0024046B" w:rsidRPr="00FE11FA">
          <w:rPr>
            <w:color w:val="15284C" w:themeColor="text2"/>
          </w:rPr>
          <w:tab/>
        </w:r>
        <w:r w:rsidR="0024046B" w:rsidRPr="00FE11FA">
          <w:rPr>
            <w:b/>
            <w:color w:val="15284C" w:themeColor="text2"/>
          </w:rPr>
          <w:t xml:space="preserve">Page | </w:t>
        </w:r>
        <w:r w:rsidR="0024046B" w:rsidRPr="00FE11FA">
          <w:rPr>
            <w:b/>
            <w:color w:val="15284C" w:themeColor="text2"/>
          </w:rPr>
          <w:fldChar w:fldCharType="begin"/>
        </w:r>
        <w:r w:rsidR="0024046B" w:rsidRPr="00FE11FA">
          <w:rPr>
            <w:b/>
            <w:color w:val="15284C" w:themeColor="text2"/>
          </w:rPr>
          <w:instrText xml:space="preserve"> PAGE   \* MERGEFORMAT </w:instrText>
        </w:r>
        <w:r w:rsidR="0024046B" w:rsidRPr="00FE11FA">
          <w:rPr>
            <w:b/>
            <w:color w:val="15284C" w:themeColor="text2"/>
          </w:rPr>
          <w:fldChar w:fldCharType="separate"/>
        </w:r>
        <w:r w:rsidR="0024046B" w:rsidRPr="00FE11FA">
          <w:rPr>
            <w:b/>
            <w:color w:val="15284C" w:themeColor="text2"/>
          </w:rPr>
          <w:t>13</w:t>
        </w:r>
        <w:r w:rsidR="0024046B" w:rsidRPr="00FE11FA">
          <w:rPr>
            <w:b/>
            <w:noProof/>
            <w:color w:val="15284C"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3FEB" w14:textId="77777777" w:rsidR="00502F56" w:rsidRDefault="00502F56" w:rsidP="00817A32">
      <w:pPr>
        <w:spacing w:before="0" w:after="0" w:line="240" w:lineRule="auto"/>
      </w:pPr>
    </w:p>
  </w:footnote>
  <w:footnote w:type="continuationSeparator" w:id="0">
    <w:p w14:paraId="465DD3C1" w14:textId="77777777" w:rsidR="00502F56" w:rsidRDefault="00502F56" w:rsidP="00817A32">
      <w:pPr>
        <w:spacing w:before="0" w:after="0" w:line="240" w:lineRule="auto"/>
      </w:pPr>
      <w:r>
        <w:continuationSeparator/>
      </w:r>
    </w:p>
  </w:footnote>
  <w:footnote w:type="continuationNotice" w:id="1">
    <w:p w14:paraId="201E8685" w14:textId="77777777" w:rsidR="00502F56" w:rsidRDefault="00502F56">
      <w:pPr>
        <w:spacing w:before="0" w:after="0" w:line="240" w:lineRule="auto"/>
      </w:pPr>
    </w:p>
  </w:footnote>
  <w:footnote w:id="2">
    <w:p w14:paraId="4EF031D4" w14:textId="2F277270" w:rsidR="005E139F" w:rsidRDefault="005E139F">
      <w:pPr>
        <w:pStyle w:val="FootnoteText"/>
      </w:pPr>
      <w:r>
        <w:rPr>
          <w:rStyle w:val="FootnoteReference"/>
        </w:rPr>
        <w:footnoteRef/>
      </w:r>
      <w:r>
        <w:t xml:space="preserve"> </w:t>
      </w:r>
      <w:r w:rsidR="00CC0349">
        <w:t>March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7E2" w14:textId="77777777" w:rsidR="00532137" w:rsidRDefault="009B7962">
    <w:pPr>
      <w:pStyle w:val="Header"/>
    </w:pPr>
    <w:r>
      <w:rPr>
        <w:noProof/>
      </w:rPr>
      <w:drawing>
        <wp:anchor distT="0" distB="0" distL="114300" distR="114300" simplePos="0" relativeHeight="251658241" behindDoc="1" locked="0" layoutInCell="1" allowOverlap="1" wp14:anchorId="76961E8D" wp14:editId="781EF01F">
          <wp:simplePos x="0" y="0"/>
          <wp:positionH relativeFrom="margin">
            <wp:posOffset>-186690</wp:posOffset>
          </wp:positionH>
          <wp:positionV relativeFrom="page">
            <wp:posOffset>194195</wp:posOffset>
          </wp:positionV>
          <wp:extent cx="7200000" cy="540000"/>
          <wp:effectExtent l="0" t="0" r="1270" b="0"/>
          <wp:wrapNone/>
          <wp:docPr id="1487475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7527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EDED" w14:textId="77777777" w:rsidR="0024046B" w:rsidRPr="0021771E" w:rsidRDefault="00C85DED" w:rsidP="007862EC">
    <w:pPr>
      <w:pStyle w:val="Header"/>
      <w:tabs>
        <w:tab w:val="clear" w:pos="4513"/>
        <w:tab w:val="clear" w:pos="9026"/>
        <w:tab w:val="left" w:pos="1247"/>
      </w:tabs>
    </w:pPr>
    <w:r>
      <w:rPr>
        <w:noProof/>
      </w:rPr>
      <w:drawing>
        <wp:anchor distT="0" distB="0" distL="114300" distR="114300" simplePos="0" relativeHeight="251658240" behindDoc="1" locked="0" layoutInCell="1" allowOverlap="1" wp14:anchorId="55EEBA7D" wp14:editId="42753689">
          <wp:simplePos x="0" y="0"/>
          <wp:positionH relativeFrom="margin">
            <wp:posOffset>-142875</wp:posOffset>
          </wp:positionH>
          <wp:positionV relativeFrom="paragraph">
            <wp:posOffset>-432723</wp:posOffset>
          </wp:positionV>
          <wp:extent cx="2130552" cy="573024"/>
          <wp:effectExtent l="0" t="0" r="3175" b="0"/>
          <wp:wrapNone/>
          <wp:docPr id="1067381886" name="Picture 3" descr="Health New Zealand | Te Whatu Or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02492" name="Picture 3" descr="Health New Zealand | Te Whatu Ora logo&#10;"/>
                  <pic:cNvPicPr/>
                </pic:nvPicPr>
                <pic:blipFill>
                  <a:blip r:embed="rId1">
                    <a:extLst>
                      <a:ext uri="{28A0092B-C50C-407E-A947-70E740481C1C}">
                        <a14:useLocalDpi xmlns:a14="http://schemas.microsoft.com/office/drawing/2010/main" val="0"/>
                      </a:ext>
                    </a:extLst>
                  </a:blip>
                  <a:stretch>
                    <a:fillRect/>
                  </a:stretch>
                </pic:blipFill>
                <pic:spPr>
                  <a:xfrm>
                    <a:off x="0" y="0"/>
                    <a:ext cx="2130552" cy="573024"/>
                  </a:xfrm>
                  <a:prstGeom prst="rect">
                    <a:avLst/>
                  </a:prstGeom>
                </pic:spPr>
              </pic:pic>
            </a:graphicData>
          </a:graphic>
          <wp14:sizeRelH relativeFrom="page">
            <wp14:pctWidth>0</wp14:pctWidth>
          </wp14:sizeRelH>
          <wp14:sizeRelV relativeFrom="page">
            <wp14:pctHeight>0</wp14:pctHeight>
          </wp14:sizeRelV>
        </wp:anchor>
      </w:drawing>
    </w:r>
    <w:r w:rsidR="007862E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2F2EE9C"/>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5FA4A2C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2A87B3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968229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64A808E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AF4B90"/>
    <w:multiLevelType w:val="hybridMultilevel"/>
    <w:tmpl w:val="0A6AEA46"/>
    <w:lvl w:ilvl="0" w:tplc="534C0958">
      <w:start w:val="1"/>
      <w:numFmt w:val="bullet"/>
      <w:lvlText w:val=""/>
      <w:lvlJc w:val="left"/>
      <w:pPr>
        <w:ind w:left="360" w:hanging="360"/>
      </w:pPr>
      <w:rPr>
        <w:rFonts w:ascii="Symbol" w:hAnsi="Symbol" w:hint="default"/>
      </w:rPr>
    </w:lvl>
    <w:lvl w:ilvl="1" w:tplc="B6F2F93A">
      <w:start w:val="1"/>
      <w:numFmt w:val="bullet"/>
      <w:lvlText w:val="o"/>
      <w:lvlJc w:val="left"/>
      <w:pPr>
        <w:ind w:left="1080" w:hanging="360"/>
      </w:pPr>
      <w:rPr>
        <w:rFonts w:ascii="Courier New" w:hAnsi="Courier New" w:cs="Times New Roman" w:hint="default"/>
      </w:rPr>
    </w:lvl>
    <w:lvl w:ilvl="2" w:tplc="ABCEA7E8">
      <w:start w:val="1"/>
      <w:numFmt w:val="bullet"/>
      <w:lvlText w:val=""/>
      <w:lvlJc w:val="left"/>
      <w:pPr>
        <w:ind w:left="1800" w:hanging="360"/>
      </w:pPr>
      <w:rPr>
        <w:rFonts w:ascii="Wingdings" w:hAnsi="Wingdings" w:hint="default"/>
      </w:rPr>
    </w:lvl>
    <w:lvl w:ilvl="3" w:tplc="E36C52B0">
      <w:start w:val="1"/>
      <w:numFmt w:val="bullet"/>
      <w:lvlText w:val=""/>
      <w:lvlJc w:val="left"/>
      <w:pPr>
        <w:ind w:left="2520" w:hanging="360"/>
      </w:pPr>
      <w:rPr>
        <w:rFonts w:ascii="Symbol" w:hAnsi="Symbol" w:hint="default"/>
      </w:rPr>
    </w:lvl>
    <w:lvl w:ilvl="4" w:tplc="824C45F8">
      <w:start w:val="1"/>
      <w:numFmt w:val="bullet"/>
      <w:lvlText w:val="o"/>
      <w:lvlJc w:val="left"/>
      <w:pPr>
        <w:ind w:left="3240" w:hanging="360"/>
      </w:pPr>
      <w:rPr>
        <w:rFonts w:ascii="Courier New" w:hAnsi="Courier New" w:cs="Times New Roman" w:hint="default"/>
      </w:rPr>
    </w:lvl>
    <w:lvl w:ilvl="5" w:tplc="AECC6B30">
      <w:start w:val="1"/>
      <w:numFmt w:val="bullet"/>
      <w:lvlText w:val=""/>
      <w:lvlJc w:val="left"/>
      <w:pPr>
        <w:ind w:left="3960" w:hanging="360"/>
      </w:pPr>
      <w:rPr>
        <w:rFonts w:ascii="Wingdings" w:hAnsi="Wingdings" w:hint="default"/>
      </w:rPr>
    </w:lvl>
    <w:lvl w:ilvl="6" w:tplc="7B561FE8">
      <w:start w:val="1"/>
      <w:numFmt w:val="bullet"/>
      <w:lvlText w:val=""/>
      <w:lvlJc w:val="left"/>
      <w:pPr>
        <w:ind w:left="4680" w:hanging="360"/>
      </w:pPr>
      <w:rPr>
        <w:rFonts w:ascii="Symbol" w:hAnsi="Symbol" w:hint="default"/>
      </w:rPr>
    </w:lvl>
    <w:lvl w:ilvl="7" w:tplc="930CBE3E">
      <w:start w:val="1"/>
      <w:numFmt w:val="bullet"/>
      <w:lvlText w:val="o"/>
      <w:lvlJc w:val="left"/>
      <w:pPr>
        <w:ind w:left="5400" w:hanging="360"/>
      </w:pPr>
      <w:rPr>
        <w:rFonts w:ascii="Courier New" w:hAnsi="Courier New" w:cs="Times New Roman" w:hint="default"/>
      </w:rPr>
    </w:lvl>
    <w:lvl w:ilvl="8" w:tplc="0682FAEE">
      <w:start w:val="1"/>
      <w:numFmt w:val="bullet"/>
      <w:lvlText w:val=""/>
      <w:lvlJc w:val="left"/>
      <w:pPr>
        <w:ind w:left="6120" w:hanging="360"/>
      </w:pPr>
      <w:rPr>
        <w:rFonts w:ascii="Wingdings" w:hAnsi="Wingdings" w:hint="default"/>
      </w:rPr>
    </w:lvl>
  </w:abstractNum>
  <w:abstractNum w:abstractNumId="6" w15:restartNumberingAfterBreak="0">
    <w:nsid w:val="11F178B7"/>
    <w:multiLevelType w:val="hybridMultilevel"/>
    <w:tmpl w:val="893C384A"/>
    <w:lvl w:ilvl="0" w:tplc="F904C0F2">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8"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A33ADF"/>
    <w:multiLevelType w:val="hybridMultilevel"/>
    <w:tmpl w:val="D4D0D36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6B3205"/>
    <w:multiLevelType w:val="hybridMultilevel"/>
    <w:tmpl w:val="480EACDE"/>
    <w:lvl w:ilvl="0" w:tplc="8C22599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3FF259A"/>
    <w:multiLevelType w:val="hybridMultilevel"/>
    <w:tmpl w:val="686EA6DC"/>
    <w:lvl w:ilvl="0" w:tplc="C316B4F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6032D5B"/>
    <w:multiLevelType w:val="multilevel"/>
    <w:tmpl w:val="429259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72512F6"/>
    <w:multiLevelType w:val="hybridMultilevel"/>
    <w:tmpl w:val="36361B84"/>
    <w:lvl w:ilvl="0" w:tplc="8C22599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BB3DDF"/>
    <w:multiLevelType w:val="hybridMultilevel"/>
    <w:tmpl w:val="BF989C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3"/>
  </w:num>
  <w:num w:numId="6">
    <w:abstractNumId w:val="0"/>
  </w:num>
  <w:num w:numId="7">
    <w:abstractNumId w:val="7"/>
  </w:num>
  <w:num w:numId="8">
    <w:abstractNumId w:val="6"/>
  </w:num>
  <w:num w:numId="9">
    <w:abstractNumId w:val="13"/>
  </w:num>
  <w:num w:numId="10">
    <w:abstractNumId w:val="12"/>
  </w:num>
  <w:num w:numId="11">
    <w:abstractNumId w:val="14"/>
  </w:num>
  <w:num w:numId="12">
    <w:abstractNumId w:val="11"/>
  </w:num>
  <w:num w:numId="13">
    <w:abstractNumId w:val="5"/>
  </w:num>
  <w:num w:numId="14">
    <w:abstractNumId w:val="15"/>
  </w:num>
  <w:num w:numId="15">
    <w:abstractNumId w:val="10"/>
  </w:num>
  <w:num w:numId="16">
    <w:abstractNumId w:val="9"/>
  </w:num>
  <w:num w:numId="17">
    <w:abstractNumId w:val="10"/>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DczNDWwsDQ0NbVQ0lEKTi0uzszPAykwrAUAIPm0eSwAAAA="/>
  </w:docVars>
  <w:rsids>
    <w:rsidRoot w:val="007054A7"/>
    <w:rsid w:val="00002A03"/>
    <w:rsid w:val="00010164"/>
    <w:rsid w:val="00012D0F"/>
    <w:rsid w:val="00014BB0"/>
    <w:rsid w:val="00016212"/>
    <w:rsid w:val="00020970"/>
    <w:rsid w:val="0002438E"/>
    <w:rsid w:val="000443C1"/>
    <w:rsid w:val="00044E68"/>
    <w:rsid w:val="0006394C"/>
    <w:rsid w:val="00065884"/>
    <w:rsid w:val="00066786"/>
    <w:rsid w:val="000836EB"/>
    <w:rsid w:val="000A0561"/>
    <w:rsid w:val="000A1C6B"/>
    <w:rsid w:val="000A506B"/>
    <w:rsid w:val="000A5357"/>
    <w:rsid w:val="000A5BA3"/>
    <w:rsid w:val="000B4DE6"/>
    <w:rsid w:val="000C006E"/>
    <w:rsid w:val="000C6F67"/>
    <w:rsid w:val="000D0501"/>
    <w:rsid w:val="000D46EB"/>
    <w:rsid w:val="000D5F0E"/>
    <w:rsid w:val="001051A6"/>
    <w:rsid w:val="001104DD"/>
    <w:rsid w:val="001179E5"/>
    <w:rsid w:val="00120E64"/>
    <w:rsid w:val="0012265F"/>
    <w:rsid w:val="00124A55"/>
    <w:rsid w:val="00125D16"/>
    <w:rsid w:val="00127F6D"/>
    <w:rsid w:val="00131F59"/>
    <w:rsid w:val="00135F15"/>
    <w:rsid w:val="00136E73"/>
    <w:rsid w:val="00137FC2"/>
    <w:rsid w:val="00141184"/>
    <w:rsid w:val="00142735"/>
    <w:rsid w:val="00147D9F"/>
    <w:rsid w:val="00147F6C"/>
    <w:rsid w:val="001646CE"/>
    <w:rsid w:val="00184663"/>
    <w:rsid w:val="00184CAD"/>
    <w:rsid w:val="00197495"/>
    <w:rsid w:val="001A5F12"/>
    <w:rsid w:val="001A7A3D"/>
    <w:rsid w:val="001B3CD8"/>
    <w:rsid w:val="001B6BE9"/>
    <w:rsid w:val="001C37CA"/>
    <w:rsid w:val="001C4C86"/>
    <w:rsid w:val="001C6FD8"/>
    <w:rsid w:val="001D0CA1"/>
    <w:rsid w:val="001D1B87"/>
    <w:rsid w:val="001F0A17"/>
    <w:rsid w:val="001F173F"/>
    <w:rsid w:val="001F3843"/>
    <w:rsid w:val="001F4E89"/>
    <w:rsid w:val="001F79E4"/>
    <w:rsid w:val="001F7A90"/>
    <w:rsid w:val="001F7FFB"/>
    <w:rsid w:val="00201348"/>
    <w:rsid w:val="002030D9"/>
    <w:rsid w:val="002033DF"/>
    <w:rsid w:val="00206C24"/>
    <w:rsid w:val="00210D31"/>
    <w:rsid w:val="0021382D"/>
    <w:rsid w:val="002165B7"/>
    <w:rsid w:val="0021771E"/>
    <w:rsid w:val="00222274"/>
    <w:rsid w:val="00222723"/>
    <w:rsid w:val="00223271"/>
    <w:rsid w:val="002263B0"/>
    <w:rsid w:val="0024046B"/>
    <w:rsid w:val="00247027"/>
    <w:rsid w:val="0028024F"/>
    <w:rsid w:val="002808A3"/>
    <w:rsid w:val="002817AF"/>
    <w:rsid w:val="00287343"/>
    <w:rsid w:val="00290F1B"/>
    <w:rsid w:val="00291AD4"/>
    <w:rsid w:val="002924A7"/>
    <w:rsid w:val="002947F7"/>
    <w:rsid w:val="0029669D"/>
    <w:rsid w:val="00296ABA"/>
    <w:rsid w:val="002A7772"/>
    <w:rsid w:val="002B11F7"/>
    <w:rsid w:val="002B1D93"/>
    <w:rsid w:val="002B7B4B"/>
    <w:rsid w:val="002C28AE"/>
    <w:rsid w:val="002E1371"/>
    <w:rsid w:val="002E4992"/>
    <w:rsid w:val="002F0C9A"/>
    <w:rsid w:val="002F2DB8"/>
    <w:rsid w:val="002F3358"/>
    <w:rsid w:val="002F4A4C"/>
    <w:rsid w:val="002F7E03"/>
    <w:rsid w:val="0030141D"/>
    <w:rsid w:val="00310BDC"/>
    <w:rsid w:val="00325390"/>
    <w:rsid w:val="0032741F"/>
    <w:rsid w:val="00332DA5"/>
    <w:rsid w:val="0033386F"/>
    <w:rsid w:val="003405A4"/>
    <w:rsid w:val="00345BD0"/>
    <w:rsid w:val="00363B9E"/>
    <w:rsid w:val="0036498B"/>
    <w:rsid w:val="00364ACF"/>
    <w:rsid w:val="00364D1D"/>
    <w:rsid w:val="00364E42"/>
    <w:rsid w:val="003673DC"/>
    <w:rsid w:val="00373F81"/>
    <w:rsid w:val="00375BCD"/>
    <w:rsid w:val="0038144B"/>
    <w:rsid w:val="003852DA"/>
    <w:rsid w:val="003862C9"/>
    <w:rsid w:val="003951B0"/>
    <w:rsid w:val="003A3674"/>
    <w:rsid w:val="003A49F2"/>
    <w:rsid w:val="003A7E8A"/>
    <w:rsid w:val="003B2DB9"/>
    <w:rsid w:val="003B3BD0"/>
    <w:rsid w:val="003C547B"/>
    <w:rsid w:val="003D5647"/>
    <w:rsid w:val="003E5A74"/>
    <w:rsid w:val="003E75CD"/>
    <w:rsid w:val="003F02D1"/>
    <w:rsid w:val="00407875"/>
    <w:rsid w:val="004158FF"/>
    <w:rsid w:val="00422EF4"/>
    <w:rsid w:val="00426054"/>
    <w:rsid w:val="0042639D"/>
    <w:rsid w:val="00426961"/>
    <w:rsid w:val="00445089"/>
    <w:rsid w:val="00453753"/>
    <w:rsid w:val="00453C03"/>
    <w:rsid w:val="00453F2A"/>
    <w:rsid w:val="004544DB"/>
    <w:rsid w:val="00456BA5"/>
    <w:rsid w:val="00457D12"/>
    <w:rsid w:val="00463804"/>
    <w:rsid w:val="00464C71"/>
    <w:rsid w:val="00466CCF"/>
    <w:rsid w:val="004753F0"/>
    <w:rsid w:val="0049539E"/>
    <w:rsid w:val="004A0A6D"/>
    <w:rsid w:val="004A0DE1"/>
    <w:rsid w:val="004A146F"/>
    <w:rsid w:val="004A4A6A"/>
    <w:rsid w:val="004A69E2"/>
    <w:rsid w:val="004A7F1F"/>
    <w:rsid w:val="004B3F6D"/>
    <w:rsid w:val="004C2E5B"/>
    <w:rsid w:val="004C5ED9"/>
    <w:rsid w:val="004C7222"/>
    <w:rsid w:val="004D25D9"/>
    <w:rsid w:val="004D4867"/>
    <w:rsid w:val="004E2BDE"/>
    <w:rsid w:val="005011FD"/>
    <w:rsid w:val="00502BE4"/>
    <w:rsid w:val="00502F56"/>
    <w:rsid w:val="00503C8D"/>
    <w:rsid w:val="00506DEB"/>
    <w:rsid w:val="00515847"/>
    <w:rsid w:val="005179F8"/>
    <w:rsid w:val="005225D4"/>
    <w:rsid w:val="00532137"/>
    <w:rsid w:val="0053294F"/>
    <w:rsid w:val="00533781"/>
    <w:rsid w:val="00536C0A"/>
    <w:rsid w:val="00543E5B"/>
    <w:rsid w:val="00551F6D"/>
    <w:rsid w:val="005561E4"/>
    <w:rsid w:val="005631D0"/>
    <w:rsid w:val="00563F96"/>
    <w:rsid w:val="0056481E"/>
    <w:rsid w:val="00581CC0"/>
    <w:rsid w:val="00587AD0"/>
    <w:rsid w:val="005934E2"/>
    <w:rsid w:val="00593525"/>
    <w:rsid w:val="005938BD"/>
    <w:rsid w:val="005A1557"/>
    <w:rsid w:val="005B023C"/>
    <w:rsid w:val="005B0B0E"/>
    <w:rsid w:val="005B34EC"/>
    <w:rsid w:val="005B6397"/>
    <w:rsid w:val="005C52C9"/>
    <w:rsid w:val="005D188E"/>
    <w:rsid w:val="005D4666"/>
    <w:rsid w:val="005E139F"/>
    <w:rsid w:val="00600C89"/>
    <w:rsid w:val="006030F7"/>
    <w:rsid w:val="006074AD"/>
    <w:rsid w:val="00612C82"/>
    <w:rsid w:val="00614C3E"/>
    <w:rsid w:val="00616480"/>
    <w:rsid w:val="00620E37"/>
    <w:rsid w:val="006213F8"/>
    <w:rsid w:val="00630DE1"/>
    <w:rsid w:val="00633EED"/>
    <w:rsid w:val="00642901"/>
    <w:rsid w:val="00651A06"/>
    <w:rsid w:val="006521F0"/>
    <w:rsid w:val="00667A95"/>
    <w:rsid w:val="00674ACC"/>
    <w:rsid w:val="0067530B"/>
    <w:rsid w:val="00683B5D"/>
    <w:rsid w:val="00685CE9"/>
    <w:rsid w:val="00686DAA"/>
    <w:rsid w:val="00687AB6"/>
    <w:rsid w:val="006A08A8"/>
    <w:rsid w:val="006A359E"/>
    <w:rsid w:val="006B5545"/>
    <w:rsid w:val="006D0250"/>
    <w:rsid w:val="006E1AF8"/>
    <w:rsid w:val="006E5A44"/>
    <w:rsid w:val="006F532C"/>
    <w:rsid w:val="006F690E"/>
    <w:rsid w:val="006F7AAB"/>
    <w:rsid w:val="00702176"/>
    <w:rsid w:val="0070324C"/>
    <w:rsid w:val="00704937"/>
    <w:rsid w:val="007054A7"/>
    <w:rsid w:val="00715993"/>
    <w:rsid w:val="00716F6E"/>
    <w:rsid w:val="00727144"/>
    <w:rsid w:val="00736447"/>
    <w:rsid w:val="007505B2"/>
    <w:rsid w:val="007575B1"/>
    <w:rsid w:val="00761375"/>
    <w:rsid w:val="0076142A"/>
    <w:rsid w:val="00764633"/>
    <w:rsid w:val="00764E69"/>
    <w:rsid w:val="00771A32"/>
    <w:rsid w:val="007747D5"/>
    <w:rsid w:val="00775D42"/>
    <w:rsid w:val="00776BBB"/>
    <w:rsid w:val="007862EC"/>
    <w:rsid w:val="00794352"/>
    <w:rsid w:val="0079505E"/>
    <w:rsid w:val="007A1443"/>
    <w:rsid w:val="007A2B86"/>
    <w:rsid w:val="007A2E24"/>
    <w:rsid w:val="007B02AE"/>
    <w:rsid w:val="007B5BE1"/>
    <w:rsid w:val="007B75C4"/>
    <w:rsid w:val="007D30E6"/>
    <w:rsid w:val="007E513E"/>
    <w:rsid w:val="007E6A5A"/>
    <w:rsid w:val="007F7C5C"/>
    <w:rsid w:val="00803145"/>
    <w:rsid w:val="00807562"/>
    <w:rsid w:val="00817A32"/>
    <w:rsid w:val="00841B11"/>
    <w:rsid w:val="00842D56"/>
    <w:rsid w:val="00845859"/>
    <w:rsid w:val="00847DB9"/>
    <w:rsid w:val="00852A28"/>
    <w:rsid w:val="00863CBF"/>
    <w:rsid w:val="008655A4"/>
    <w:rsid w:val="00872302"/>
    <w:rsid w:val="00873F11"/>
    <w:rsid w:val="0087795F"/>
    <w:rsid w:val="00890413"/>
    <w:rsid w:val="008942D0"/>
    <w:rsid w:val="008A0F5F"/>
    <w:rsid w:val="008A64C4"/>
    <w:rsid w:val="008A6A97"/>
    <w:rsid w:val="008B0D86"/>
    <w:rsid w:val="008B1F36"/>
    <w:rsid w:val="008B42C2"/>
    <w:rsid w:val="008B4A45"/>
    <w:rsid w:val="008C6132"/>
    <w:rsid w:val="008D15C3"/>
    <w:rsid w:val="008D4746"/>
    <w:rsid w:val="008E5E0F"/>
    <w:rsid w:val="008F1CB4"/>
    <w:rsid w:val="008F24D2"/>
    <w:rsid w:val="008F4FAD"/>
    <w:rsid w:val="008F7791"/>
    <w:rsid w:val="00900553"/>
    <w:rsid w:val="00901720"/>
    <w:rsid w:val="009025D0"/>
    <w:rsid w:val="009110B1"/>
    <w:rsid w:val="00911F86"/>
    <w:rsid w:val="00916E89"/>
    <w:rsid w:val="009225D5"/>
    <w:rsid w:val="0092286A"/>
    <w:rsid w:val="00925489"/>
    <w:rsid w:val="00927BF3"/>
    <w:rsid w:val="00933BF9"/>
    <w:rsid w:val="0094243E"/>
    <w:rsid w:val="00950CB8"/>
    <w:rsid w:val="00961C8D"/>
    <w:rsid w:val="009638CA"/>
    <w:rsid w:val="0096609D"/>
    <w:rsid w:val="00981CC3"/>
    <w:rsid w:val="00983BA1"/>
    <w:rsid w:val="00991E7F"/>
    <w:rsid w:val="009A1806"/>
    <w:rsid w:val="009A1CB5"/>
    <w:rsid w:val="009B29AD"/>
    <w:rsid w:val="009B7962"/>
    <w:rsid w:val="009C0EDF"/>
    <w:rsid w:val="009C155A"/>
    <w:rsid w:val="009C27DC"/>
    <w:rsid w:val="009C2E6A"/>
    <w:rsid w:val="009C472B"/>
    <w:rsid w:val="009C5043"/>
    <w:rsid w:val="009E0119"/>
    <w:rsid w:val="009E2D3C"/>
    <w:rsid w:val="009F02E1"/>
    <w:rsid w:val="009F0350"/>
    <w:rsid w:val="009F0DA4"/>
    <w:rsid w:val="009F3247"/>
    <w:rsid w:val="009F37CD"/>
    <w:rsid w:val="00A0170F"/>
    <w:rsid w:val="00A02C47"/>
    <w:rsid w:val="00A06D04"/>
    <w:rsid w:val="00A11D60"/>
    <w:rsid w:val="00A1728D"/>
    <w:rsid w:val="00A20D2A"/>
    <w:rsid w:val="00A242FE"/>
    <w:rsid w:val="00A27020"/>
    <w:rsid w:val="00A273F0"/>
    <w:rsid w:val="00A32796"/>
    <w:rsid w:val="00A36662"/>
    <w:rsid w:val="00A37F33"/>
    <w:rsid w:val="00A4235A"/>
    <w:rsid w:val="00A45540"/>
    <w:rsid w:val="00A459D2"/>
    <w:rsid w:val="00A46EC0"/>
    <w:rsid w:val="00A54A3D"/>
    <w:rsid w:val="00A637A6"/>
    <w:rsid w:val="00A6513E"/>
    <w:rsid w:val="00A65BFD"/>
    <w:rsid w:val="00A702AF"/>
    <w:rsid w:val="00A7250F"/>
    <w:rsid w:val="00A72FCD"/>
    <w:rsid w:val="00A770F9"/>
    <w:rsid w:val="00A81C90"/>
    <w:rsid w:val="00A85317"/>
    <w:rsid w:val="00A9115C"/>
    <w:rsid w:val="00A92B72"/>
    <w:rsid w:val="00AA54E6"/>
    <w:rsid w:val="00AB16A4"/>
    <w:rsid w:val="00AB2167"/>
    <w:rsid w:val="00AC2F6F"/>
    <w:rsid w:val="00AC6436"/>
    <w:rsid w:val="00AC6E87"/>
    <w:rsid w:val="00AC744B"/>
    <w:rsid w:val="00AD1625"/>
    <w:rsid w:val="00AE10D7"/>
    <w:rsid w:val="00AF52B0"/>
    <w:rsid w:val="00B00D64"/>
    <w:rsid w:val="00B01142"/>
    <w:rsid w:val="00B015AE"/>
    <w:rsid w:val="00B07528"/>
    <w:rsid w:val="00B13E48"/>
    <w:rsid w:val="00B31E5F"/>
    <w:rsid w:val="00B34D94"/>
    <w:rsid w:val="00B51852"/>
    <w:rsid w:val="00B5683E"/>
    <w:rsid w:val="00B729E0"/>
    <w:rsid w:val="00B744F7"/>
    <w:rsid w:val="00B7504A"/>
    <w:rsid w:val="00B75F7F"/>
    <w:rsid w:val="00B77807"/>
    <w:rsid w:val="00B77BDD"/>
    <w:rsid w:val="00B885FB"/>
    <w:rsid w:val="00B9077C"/>
    <w:rsid w:val="00B96B41"/>
    <w:rsid w:val="00B975B0"/>
    <w:rsid w:val="00BA2EDD"/>
    <w:rsid w:val="00BC78C4"/>
    <w:rsid w:val="00BD0518"/>
    <w:rsid w:val="00BD0CFF"/>
    <w:rsid w:val="00BD3463"/>
    <w:rsid w:val="00BD3541"/>
    <w:rsid w:val="00BD38B9"/>
    <w:rsid w:val="00BD4785"/>
    <w:rsid w:val="00BE2501"/>
    <w:rsid w:val="00BE5854"/>
    <w:rsid w:val="00BE74CF"/>
    <w:rsid w:val="00BF0EE2"/>
    <w:rsid w:val="00C0037C"/>
    <w:rsid w:val="00C0313E"/>
    <w:rsid w:val="00C033FA"/>
    <w:rsid w:val="00C05445"/>
    <w:rsid w:val="00C0546E"/>
    <w:rsid w:val="00C179D5"/>
    <w:rsid w:val="00C2109C"/>
    <w:rsid w:val="00C30236"/>
    <w:rsid w:val="00C336FA"/>
    <w:rsid w:val="00C34696"/>
    <w:rsid w:val="00C43C0E"/>
    <w:rsid w:val="00C45956"/>
    <w:rsid w:val="00C50C59"/>
    <w:rsid w:val="00C52773"/>
    <w:rsid w:val="00C61415"/>
    <w:rsid w:val="00C7072A"/>
    <w:rsid w:val="00C753B6"/>
    <w:rsid w:val="00C85DED"/>
    <w:rsid w:val="00C9737D"/>
    <w:rsid w:val="00CA1757"/>
    <w:rsid w:val="00CA51B4"/>
    <w:rsid w:val="00CB4091"/>
    <w:rsid w:val="00CB6B93"/>
    <w:rsid w:val="00CB6D84"/>
    <w:rsid w:val="00CC0349"/>
    <w:rsid w:val="00CC1002"/>
    <w:rsid w:val="00CC1BB5"/>
    <w:rsid w:val="00CC3F1C"/>
    <w:rsid w:val="00CC594A"/>
    <w:rsid w:val="00CE2006"/>
    <w:rsid w:val="00CE664F"/>
    <w:rsid w:val="00D0703D"/>
    <w:rsid w:val="00D07334"/>
    <w:rsid w:val="00D10243"/>
    <w:rsid w:val="00D10A86"/>
    <w:rsid w:val="00D113C2"/>
    <w:rsid w:val="00D170F6"/>
    <w:rsid w:val="00D25DD8"/>
    <w:rsid w:val="00D372A7"/>
    <w:rsid w:val="00D432BC"/>
    <w:rsid w:val="00D479A1"/>
    <w:rsid w:val="00D54CDF"/>
    <w:rsid w:val="00D55DFB"/>
    <w:rsid w:val="00D563D6"/>
    <w:rsid w:val="00D6068F"/>
    <w:rsid w:val="00D71A41"/>
    <w:rsid w:val="00D74A1A"/>
    <w:rsid w:val="00D778EF"/>
    <w:rsid w:val="00D97384"/>
    <w:rsid w:val="00D97E20"/>
    <w:rsid w:val="00DA22C3"/>
    <w:rsid w:val="00DB7CA0"/>
    <w:rsid w:val="00DC02E5"/>
    <w:rsid w:val="00DD1385"/>
    <w:rsid w:val="00DF0DBB"/>
    <w:rsid w:val="00DF19E5"/>
    <w:rsid w:val="00DF5876"/>
    <w:rsid w:val="00DF7478"/>
    <w:rsid w:val="00E05AF5"/>
    <w:rsid w:val="00E104A0"/>
    <w:rsid w:val="00E12AAF"/>
    <w:rsid w:val="00E12C2B"/>
    <w:rsid w:val="00E2249E"/>
    <w:rsid w:val="00E260A4"/>
    <w:rsid w:val="00E33855"/>
    <w:rsid w:val="00E43D1E"/>
    <w:rsid w:val="00E43EE0"/>
    <w:rsid w:val="00E462D0"/>
    <w:rsid w:val="00E4726F"/>
    <w:rsid w:val="00E47C14"/>
    <w:rsid w:val="00E545AE"/>
    <w:rsid w:val="00E54CF4"/>
    <w:rsid w:val="00E65126"/>
    <w:rsid w:val="00E72234"/>
    <w:rsid w:val="00E72D30"/>
    <w:rsid w:val="00E83AE3"/>
    <w:rsid w:val="00E866BB"/>
    <w:rsid w:val="00E95858"/>
    <w:rsid w:val="00E96FA2"/>
    <w:rsid w:val="00EA0920"/>
    <w:rsid w:val="00EA2A96"/>
    <w:rsid w:val="00EA2D35"/>
    <w:rsid w:val="00EA4BC0"/>
    <w:rsid w:val="00EB464A"/>
    <w:rsid w:val="00EC335A"/>
    <w:rsid w:val="00EC4836"/>
    <w:rsid w:val="00EC595C"/>
    <w:rsid w:val="00EC6F40"/>
    <w:rsid w:val="00EC7BC1"/>
    <w:rsid w:val="00ED0E3D"/>
    <w:rsid w:val="00ED4008"/>
    <w:rsid w:val="00ED40B7"/>
    <w:rsid w:val="00EE4C91"/>
    <w:rsid w:val="00EE5A5C"/>
    <w:rsid w:val="00EE5E59"/>
    <w:rsid w:val="00EF54EE"/>
    <w:rsid w:val="00F028DE"/>
    <w:rsid w:val="00F10DE1"/>
    <w:rsid w:val="00F16C65"/>
    <w:rsid w:val="00F16E2C"/>
    <w:rsid w:val="00F217AA"/>
    <w:rsid w:val="00F228A8"/>
    <w:rsid w:val="00F27377"/>
    <w:rsid w:val="00F3015E"/>
    <w:rsid w:val="00F53D5A"/>
    <w:rsid w:val="00F55A39"/>
    <w:rsid w:val="00F6475F"/>
    <w:rsid w:val="00F82B0D"/>
    <w:rsid w:val="00F90A98"/>
    <w:rsid w:val="00F942AF"/>
    <w:rsid w:val="00FA4F9B"/>
    <w:rsid w:val="00FA696D"/>
    <w:rsid w:val="00FB01A9"/>
    <w:rsid w:val="00FB741A"/>
    <w:rsid w:val="00FC3478"/>
    <w:rsid w:val="00FC4B1F"/>
    <w:rsid w:val="00FC7F4B"/>
    <w:rsid w:val="00FD7484"/>
    <w:rsid w:val="00FE11FA"/>
    <w:rsid w:val="00FE1AA8"/>
    <w:rsid w:val="00FE2AFA"/>
    <w:rsid w:val="00FE5705"/>
    <w:rsid w:val="00FE5BB6"/>
    <w:rsid w:val="00FE6CE4"/>
    <w:rsid w:val="00FF2F2A"/>
    <w:rsid w:val="01475B99"/>
    <w:rsid w:val="035CC526"/>
    <w:rsid w:val="078777D1"/>
    <w:rsid w:val="07BBA626"/>
    <w:rsid w:val="0A8B309E"/>
    <w:rsid w:val="0CA5934C"/>
    <w:rsid w:val="0CB4994E"/>
    <w:rsid w:val="155A4BC1"/>
    <w:rsid w:val="215E5D24"/>
    <w:rsid w:val="227AD8D7"/>
    <w:rsid w:val="22EB6FC7"/>
    <w:rsid w:val="287F1451"/>
    <w:rsid w:val="2A20C086"/>
    <w:rsid w:val="2A434936"/>
    <w:rsid w:val="2B00D701"/>
    <w:rsid w:val="2C529791"/>
    <w:rsid w:val="349B6359"/>
    <w:rsid w:val="3E50EEBD"/>
    <w:rsid w:val="43D3B8C6"/>
    <w:rsid w:val="452C8025"/>
    <w:rsid w:val="47250BFF"/>
    <w:rsid w:val="475EABBC"/>
    <w:rsid w:val="4F393D5B"/>
    <w:rsid w:val="5233BD39"/>
    <w:rsid w:val="5498C11F"/>
    <w:rsid w:val="54A04F74"/>
    <w:rsid w:val="55EFE967"/>
    <w:rsid w:val="59525CAB"/>
    <w:rsid w:val="59A202A7"/>
    <w:rsid w:val="5A7E0B3B"/>
    <w:rsid w:val="60788DD1"/>
    <w:rsid w:val="60C2A23E"/>
    <w:rsid w:val="6A65D753"/>
    <w:rsid w:val="6BE52F07"/>
    <w:rsid w:val="6BFD9FCF"/>
    <w:rsid w:val="71F3D0ED"/>
    <w:rsid w:val="7298F300"/>
    <w:rsid w:val="76632C7A"/>
    <w:rsid w:val="78E0BD78"/>
    <w:rsid w:val="78F2F61B"/>
    <w:rsid w:val="7A1B01AE"/>
    <w:rsid w:val="7AFA6A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FB939"/>
  <w15:docId w15:val="{C8D0E752-4F43-47EE-99D3-D2F60C70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AF"/>
    <w:pPr>
      <w:spacing w:before="120" w:after="120" w:line="288" w:lineRule="auto"/>
    </w:pPr>
    <w:rPr>
      <w:sz w:val="24"/>
    </w:rPr>
  </w:style>
  <w:style w:type="paragraph" w:styleId="Heading1">
    <w:name w:val="heading 1"/>
    <w:basedOn w:val="Normal"/>
    <w:next w:val="Normal"/>
    <w:link w:val="Heading1Char"/>
    <w:uiPriority w:val="4"/>
    <w:qFormat/>
    <w:rsid w:val="00E95858"/>
    <w:pPr>
      <w:keepNext/>
      <w:keepLines/>
      <w:spacing w:before="240"/>
      <w:outlineLvl w:val="0"/>
    </w:pPr>
    <w:rPr>
      <w:rFonts w:asciiTheme="majorHAnsi" w:eastAsiaTheme="majorEastAsia" w:hAnsiTheme="majorHAnsi" w:cstheme="majorBidi"/>
      <w:color w:val="15284C" w:themeColor="text2"/>
      <w:sz w:val="30"/>
      <w:szCs w:val="32"/>
    </w:rPr>
  </w:style>
  <w:style w:type="paragraph" w:styleId="Heading2">
    <w:name w:val="heading 2"/>
    <w:basedOn w:val="Normal"/>
    <w:next w:val="Normal"/>
    <w:link w:val="Heading2Char"/>
    <w:uiPriority w:val="4"/>
    <w:qFormat/>
    <w:rsid w:val="00A20D2A"/>
    <w:pPr>
      <w:keepNext/>
      <w:keepLines/>
      <w:spacing w:before="240"/>
      <w:outlineLvl w:val="1"/>
    </w:pPr>
    <w:rPr>
      <w:rFonts w:asciiTheme="majorHAnsi" w:eastAsiaTheme="majorEastAsia" w:hAnsiTheme="majorHAnsi" w:cstheme="majorBidi"/>
      <w:b/>
      <w:color w:val="15284C"/>
      <w:szCs w:val="26"/>
    </w:rPr>
  </w:style>
  <w:style w:type="paragraph" w:styleId="Heading3">
    <w:name w:val="heading 3"/>
    <w:basedOn w:val="Normal"/>
    <w:next w:val="Normal"/>
    <w:link w:val="Heading3Char"/>
    <w:uiPriority w:val="4"/>
    <w:rsid w:val="00FE5705"/>
    <w:pPr>
      <w:keepNext/>
      <w:keepLines/>
      <w:spacing w:before="360"/>
      <w:outlineLvl w:val="2"/>
    </w:pPr>
    <w:rPr>
      <w:rFonts w:asciiTheme="majorHAnsi" w:eastAsiaTheme="majorEastAsia" w:hAnsiTheme="majorHAnsi" w:cstheme="majorBidi"/>
      <w:color w:val="15284C" w:themeColor="text2"/>
      <w:sz w:val="32"/>
      <w:szCs w:val="24"/>
    </w:rPr>
  </w:style>
  <w:style w:type="paragraph" w:styleId="Heading4">
    <w:name w:val="heading 4"/>
    <w:basedOn w:val="Normal"/>
    <w:next w:val="Normal"/>
    <w:link w:val="Heading4Char"/>
    <w:uiPriority w:val="4"/>
    <w:unhideWhenUsed/>
    <w:qFormat/>
    <w:rsid w:val="00AD1625"/>
    <w:pPr>
      <w:keepNext/>
      <w:keepLines/>
      <w:spacing w:before="40" w:after="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semiHidden/>
    <w:qFormat/>
    <w:rsid w:val="00794352"/>
    <w:pPr>
      <w:keepNext/>
      <w:keepLines/>
      <w:spacing w:before="40" w:after="0"/>
      <w:outlineLvl w:val="4"/>
    </w:pPr>
    <w:rPr>
      <w:rFonts w:asciiTheme="majorHAnsi" w:eastAsiaTheme="majorEastAsia" w:hAnsiTheme="majorHAnsi" w:cstheme="majorBidi"/>
      <w:color w:val="0960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99"/>
    <w:qFormat/>
    <w:rsid w:val="00E95858"/>
    <w:pPr>
      <w:spacing w:before="120" w:line="240" w:lineRule="auto"/>
    </w:pPr>
    <w:rPr>
      <w:rFonts w:ascii="Poppins SemiBold" w:hAnsi="Poppins SemiBold"/>
      <w:sz w:val="40"/>
      <w:szCs w:val="66"/>
    </w:rPr>
  </w:style>
  <w:style w:type="character" w:customStyle="1" w:styleId="TitleChar">
    <w:name w:val="Title Char"/>
    <w:basedOn w:val="DefaultParagraphFont"/>
    <w:link w:val="Title"/>
    <w:uiPriority w:val="99"/>
    <w:rsid w:val="00E95858"/>
    <w:rPr>
      <w:rFonts w:ascii="Poppins SemiBold" w:eastAsiaTheme="majorEastAsia" w:hAnsi="Poppins SemiBold" w:cstheme="majorBidi"/>
      <w:color w:val="15284C" w:themeColor="text2"/>
      <w:sz w:val="40"/>
      <w:szCs w:val="66"/>
    </w:rPr>
  </w:style>
  <w:style w:type="paragraph" w:styleId="Subtitle">
    <w:name w:val="Subtitle"/>
    <w:basedOn w:val="Heading1"/>
    <w:next w:val="Normal"/>
    <w:link w:val="SubtitleChar"/>
    <w:uiPriority w:val="99"/>
    <w:qFormat/>
    <w:rsid w:val="001D1B87"/>
    <w:pPr>
      <w:spacing w:before="120" w:line="240" w:lineRule="auto"/>
    </w:pPr>
    <w:rPr>
      <w:b/>
      <w:color w:val="0C818E" w:themeColor="accent1"/>
      <w:szCs w:val="40"/>
    </w:rPr>
  </w:style>
  <w:style w:type="character" w:customStyle="1" w:styleId="SubtitleChar">
    <w:name w:val="Subtitle Char"/>
    <w:basedOn w:val="DefaultParagraphFont"/>
    <w:link w:val="Subtitle"/>
    <w:uiPriority w:val="99"/>
    <w:rsid w:val="001D1B87"/>
    <w:rPr>
      <w:rFonts w:asciiTheme="majorHAnsi" w:eastAsiaTheme="majorEastAsia" w:hAnsiTheme="majorHAnsi" w:cstheme="majorBidi"/>
      <w:color w:val="0C818E" w:themeColor="accent1"/>
      <w:sz w:val="28"/>
      <w:szCs w:val="40"/>
    </w:rPr>
  </w:style>
  <w:style w:type="paragraph" w:styleId="Header">
    <w:name w:val="header"/>
    <w:basedOn w:val="Normal"/>
    <w:link w:val="HeaderChar"/>
    <w:uiPriority w:val="99"/>
    <w:semiHidden/>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E5B"/>
    <w:rPr>
      <w:sz w:val="24"/>
    </w:rPr>
  </w:style>
  <w:style w:type="character" w:customStyle="1" w:styleId="Heading1Char">
    <w:name w:val="Heading 1 Char"/>
    <w:basedOn w:val="DefaultParagraphFont"/>
    <w:link w:val="Heading1"/>
    <w:uiPriority w:val="4"/>
    <w:rsid w:val="00E95858"/>
    <w:rPr>
      <w:rFonts w:asciiTheme="majorHAnsi" w:eastAsiaTheme="majorEastAsia" w:hAnsiTheme="majorHAnsi" w:cstheme="majorBidi"/>
      <w:color w:val="15284C" w:themeColor="text2"/>
      <w:sz w:val="30"/>
      <w:szCs w:val="32"/>
    </w:rPr>
  </w:style>
  <w:style w:type="paragraph" w:customStyle="1" w:styleId="NumberedHeading1">
    <w:name w:val="Numbered Heading 1"/>
    <w:basedOn w:val="Heading1"/>
    <w:next w:val="Normal"/>
    <w:uiPriority w:val="5"/>
    <w:qFormat/>
    <w:rsid w:val="005938BD"/>
    <w:pPr>
      <w:numPr>
        <w:numId w:val="1"/>
      </w:numPr>
      <w:tabs>
        <w:tab w:val="left" w:pos="1021"/>
      </w:tabs>
      <w:ind w:left="1021" w:hanging="1021"/>
    </w:pPr>
  </w:style>
  <w:style w:type="character" w:customStyle="1" w:styleId="Heading2Char">
    <w:name w:val="Heading 2 Char"/>
    <w:basedOn w:val="DefaultParagraphFont"/>
    <w:link w:val="Heading2"/>
    <w:uiPriority w:val="4"/>
    <w:rsid w:val="00A20D2A"/>
    <w:rPr>
      <w:rFonts w:asciiTheme="majorHAnsi" w:eastAsiaTheme="majorEastAsia" w:hAnsiTheme="majorHAnsi" w:cstheme="majorBidi"/>
      <w:b/>
      <w:color w:val="15284C"/>
      <w:sz w:val="24"/>
      <w:szCs w:val="26"/>
    </w:rPr>
  </w:style>
  <w:style w:type="character" w:customStyle="1" w:styleId="Heading3Char">
    <w:name w:val="Heading 3 Char"/>
    <w:basedOn w:val="DefaultParagraphFont"/>
    <w:link w:val="Heading3"/>
    <w:uiPriority w:val="4"/>
    <w:rsid w:val="00FE5705"/>
    <w:rPr>
      <w:rFonts w:asciiTheme="majorHAnsi" w:eastAsiaTheme="majorEastAsia" w:hAnsiTheme="majorHAnsi" w:cstheme="majorBidi"/>
      <w:color w:val="15284C" w:themeColor="text2"/>
      <w:sz w:val="32"/>
      <w:szCs w:val="24"/>
    </w:rPr>
  </w:style>
  <w:style w:type="paragraph" w:customStyle="1" w:styleId="NumberedHeading2">
    <w:name w:val="Numbered Heading 2"/>
    <w:basedOn w:val="Heading2"/>
    <w:next w:val="Normal"/>
    <w:uiPriority w:val="5"/>
    <w:qFormat/>
    <w:rsid w:val="005938BD"/>
    <w:pPr>
      <w:numPr>
        <w:ilvl w:val="1"/>
        <w:numId w:val="1"/>
      </w:numPr>
      <w:tabs>
        <w:tab w:val="left" w:pos="1021"/>
      </w:tabs>
      <w:ind w:left="1021" w:hanging="1021"/>
    </w:pPr>
  </w:style>
  <w:style w:type="paragraph" w:customStyle="1" w:styleId="NumberedHeading3">
    <w:name w:val="Numbered Heading 3"/>
    <w:basedOn w:val="Heading3"/>
    <w:next w:val="Normal"/>
    <w:uiPriority w:val="5"/>
    <w:qFormat/>
    <w:rsid w:val="005938BD"/>
    <w:pPr>
      <w:numPr>
        <w:ilvl w:val="2"/>
        <w:numId w:val="1"/>
      </w:numPr>
      <w:tabs>
        <w:tab w:val="left" w:pos="1021"/>
      </w:tabs>
      <w:ind w:left="1021" w:hanging="1021"/>
    </w:pPr>
  </w:style>
  <w:style w:type="paragraph" w:styleId="TOCHeading">
    <w:name w:val="TOC Heading"/>
    <w:next w:val="Normal"/>
    <w:uiPriority w:val="39"/>
    <w:semiHidden/>
    <w:qFormat/>
    <w:rsid w:val="002E4992"/>
    <w:pPr>
      <w:spacing w:before="360"/>
    </w:pPr>
    <w:rPr>
      <w:rFonts w:asciiTheme="majorHAnsi" w:eastAsiaTheme="majorEastAsia" w:hAnsiTheme="majorHAnsi" w:cstheme="majorBidi"/>
      <w:b/>
      <w:color w:val="15284C" w:themeColor="text2"/>
      <w:sz w:val="68"/>
      <w:szCs w:val="32"/>
    </w:rPr>
  </w:style>
  <w:style w:type="paragraph" w:styleId="TOC1">
    <w:name w:val="toc 1"/>
    <w:basedOn w:val="Normal"/>
    <w:next w:val="Normal"/>
    <w:autoRedefine/>
    <w:uiPriority w:val="39"/>
    <w:rsid w:val="00630DE1"/>
    <w:pPr>
      <w:spacing w:before="300" w:after="100"/>
    </w:pPr>
    <w:rPr>
      <w:b/>
    </w:rPr>
  </w:style>
  <w:style w:type="paragraph" w:styleId="TOC2">
    <w:name w:val="toc 2"/>
    <w:basedOn w:val="Normal"/>
    <w:next w:val="Normal"/>
    <w:autoRedefine/>
    <w:uiPriority w:val="39"/>
    <w:rsid w:val="00630DE1"/>
    <w:pPr>
      <w:spacing w:after="100"/>
      <w:ind w:left="240"/>
    </w:pPr>
  </w:style>
  <w:style w:type="paragraph" w:styleId="TOC3">
    <w:name w:val="toc 3"/>
    <w:basedOn w:val="Normal"/>
    <w:next w:val="Normal"/>
    <w:autoRedefine/>
    <w:uiPriority w:val="39"/>
    <w:rsid w:val="00630DE1"/>
    <w:pPr>
      <w:spacing w:after="100"/>
      <w:ind w:left="480"/>
    </w:pPr>
  </w:style>
  <w:style w:type="character" w:styleId="Hyperlink">
    <w:name w:val="Hyperlink"/>
    <w:basedOn w:val="DefaultParagraphFont"/>
    <w:uiPriority w:val="99"/>
    <w:rsid w:val="00B75F7F"/>
    <w:rPr>
      <w:b/>
      <w:color w:val="auto"/>
      <w:u w:val="single"/>
    </w:rPr>
  </w:style>
  <w:style w:type="character" w:customStyle="1" w:styleId="UnresolvedMention1">
    <w:name w:val="Unresolved Mention1"/>
    <w:basedOn w:val="DefaultParagraphFont"/>
    <w:uiPriority w:val="99"/>
    <w:semiHidden/>
    <w:unhideWhenUsed/>
    <w:rsid w:val="00B75F7F"/>
    <w:rPr>
      <w:color w:val="605E5C"/>
      <w:shd w:val="clear" w:color="auto" w:fill="E1DFDD"/>
    </w:rPr>
  </w:style>
  <w:style w:type="table" w:styleId="TableGrid">
    <w:name w:val="Table Grid"/>
    <w:basedOn w:val="TableNormal"/>
    <w:uiPriority w:val="39"/>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6"/>
    <w:rsid w:val="00C033FA"/>
    <w:pPr>
      <w:numPr>
        <w:numId w:val="2"/>
      </w:numPr>
      <w:tabs>
        <w:tab w:val="clear" w:pos="360"/>
        <w:tab w:val="left" w:pos="425"/>
      </w:tabs>
      <w:ind w:left="425" w:hanging="425"/>
    </w:pPr>
  </w:style>
  <w:style w:type="paragraph" w:styleId="ListBullet2">
    <w:name w:val="List Bullet 2"/>
    <w:basedOn w:val="Normal"/>
    <w:uiPriority w:val="6"/>
    <w:rsid w:val="00C033FA"/>
    <w:pPr>
      <w:numPr>
        <w:numId w:val="3"/>
      </w:numPr>
      <w:tabs>
        <w:tab w:val="clear" w:pos="643"/>
        <w:tab w:val="left" w:pos="851"/>
      </w:tabs>
      <w:ind w:left="850" w:hanging="425"/>
    </w:pPr>
  </w:style>
  <w:style w:type="paragraph" w:styleId="ListBullet3">
    <w:name w:val="List Bullet 3"/>
    <w:basedOn w:val="Normal"/>
    <w:uiPriority w:val="6"/>
    <w:rsid w:val="005938BD"/>
    <w:pPr>
      <w:numPr>
        <w:numId w:val="4"/>
      </w:numPr>
      <w:tabs>
        <w:tab w:val="clear" w:pos="926"/>
        <w:tab w:val="left" w:pos="1276"/>
      </w:tabs>
      <w:ind w:left="1276" w:hanging="425"/>
    </w:pPr>
  </w:style>
  <w:style w:type="paragraph" w:styleId="ListNumber">
    <w:name w:val="List Number"/>
    <w:basedOn w:val="Normal"/>
    <w:uiPriority w:val="6"/>
    <w:rsid w:val="005938BD"/>
    <w:pPr>
      <w:numPr>
        <w:numId w:val="5"/>
      </w:numPr>
      <w:tabs>
        <w:tab w:val="clear" w:pos="360"/>
        <w:tab w:val="left" w:pos="425"/>
      </w:tabs>
      <w:ind w:left="425" w:hanging="425"/>
    </w:pPr>
  </w:style>
  <w:style w:type="paragraph" w:styleId="ListNumber2">
    <w:name w:val="List Number 2"/>
    <w:basedOn w:val="Normal"/>
    <w:uiPriority w:val="6"/>
    <w:rsid w:val="005938BD"/>
    <w:pPr>
      <w:numPr>
        <w:numId w:val="6"/>
      </w:numPr>
      <w:tabs>
        <w:tab w:val="left" w:pos="851"/>
      </w:tabs>
      <w:ind w:left="850" w:hanging="425"/>
    </w:pPr>
  </w:style>
  <w:style w:type="character" w:customStyle="1" w:styleId="Heading4Char">
    <w:name w:val="Heading 4 Char"/>
    <w:basedOn w:val="DefaultParagraphFont"/>
    <w:link w:val="Heading4"/>
    <w:uiPriority w:val="4"/>
    <w:rsid w:val="00AD1625"/>
    <w:rPr>
      <w:rFonts w:asciiTheme="majorHAnsi" w:eastAsiaTheme="majorEastAsia" w:hAnsiTheme="majorHAnsi" w:cstheme="majorBidi"/>
      <w:b/>
      <w:iCs/>
      <w:color w:val="000000" w:themeColor="text1"/>
      <w:sz w:val="24"/>
    </w:rPr>
  </w:style>
  <w:style w:type="paragraph" w:styleId="FootnoteText">
    <w:name w:val="footnote text"/>
    <w:basedOn w:val="Normal"/>
    <w:link w:val="FootnoteTextChar"/>
    <w:uiPriority w:val="99"/>
    <w:semiHidden/>
    <w:rsid w:val="004C2E5B"/>
    <w:pPr>
      <w:tabs>
        <w:tab w:val="left" w:pos="170"/>
      </w:tabs>
      <w:spacing w:before="0"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uiPriority w:val="99"/>
    <w:semiHidden/>
    <w:unhideWhenUsed/>
    <w:rsid w:val="004C2E5B"/>
    <w:rPr>
      <w:vertAlign w:val="superscript"/>
    </w:rPr>
  </w:style>
  <w:style w:type="table" w:customStyle="1" w:styleId="GridTable41">
    <w:name w:val="Grid Table 41"/>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911F86"/>
    <w:pPr>
      <w:spacing w:before="100" w:beforeAutospacing="1" w:after="100" w:afterAutospacing="1" w:line="240" w:lineRule="auto"/>
    </w:pPr>
    <w:rPr>
      <w:rFonts w:ascii="Arial" w:hAnsi="Arial"/>
      <w:sz w:val="24"/>
    </w:rPr>
    <w:tblPr>
      <w:tblBorders>
        <w:insideH w:val="single" w:sz="4" w:space="0" w:color="ADC2E8" w:themeColor="text2" w:themeTint="40"/>
        <w:insideV w:val="single" w:sz="4" w:space="0" w:color="ADC2E8" w:themeColor="text2" w:themeTint="40"/>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tcBorders>
          <w:top w:val="single" w:sz="12" w:space="0" w:color="003399" w:themeColor="accent3"/>
          <w:bottom w:val="single" w:sz="12" w:space="0" w:color="003399" w:themeColor="accent3"/>
        </w:tcBorders>
        <w:shd w:val="clear" w:color="auto" w:fill="F6F4EC" w:themeFill="background2"/>
      </w:tcPr>
    </w:tblStylePr>
    <w:tblStylePr w:type="lastRow">
      <w:rPr>
        <w:b/>
      </w:rPr>
    </w:tblStylePr>
    <w:tblStylePr w:type="firstCol">
      <w:rPr>
        <w:b/>
      </w:rPr>
    </w:tblStylePr>
    <w:tblStylePr w:type="lastCol">
      <w:rPr>
        <w:b/>
      </w:rPr>
    </w:tblStylePr>
  </w:style>
  <w:style w:type="table" w:customStyle="1" w:styleId="ListTable41">
    <w:name w:val="List Table 41"/>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6"/>
    <w:qFormat/>
    <w:rsid w:val="00C0313E"/>
    <w:pPr>
      <w:spacing w:before="0" w:after="0"/>
    </w:pPr>
  </w:style>
  <w:style w:type="paragraph" w:customStyle="1" w:styleId="Figure">
    <w:name w:val="Figure"/>
    <w:basedOn w:val="Normal"/>
    <w:uiPriority w:val="2"/>
    <w:qFormat/>
    <w:rsid w:val="00852A28"/>
    <w:rPr>
      <w:b/>
    </w:rPr>
  </w:style>
  <w:style w:type="paragraph" w:customStyle="1" w:styleId="Box">
    <w:name w:val="Box"/>
    <w:basedOn w:val="Normal"/>
    <w:uiPriority w:val="3"/>
    <w:qFormat/>
    <w:rsid w:val="00FB01A9"/>
    <w:pPr>
      <w:pBdr>
        <w:top w:val="single" w:sz="12" w:space="8" w:color="FFFFFF" w:themeColor="background1"/>
        <w:left w:val="single" w:sz="12" w:space="8" w:color="FFFFFF" w:themeColor="background1"/>
        <w:bottom w:val="single" w:sz="12" w:space="8" w:color="FFFFFF" w:themeColor="background1"/>
        <w:right w:val="single" w:sz="12" w:space="8" w:color="FFFFFF" w:themeColor="background1"/>
      </w:pBdr>
      <w:ind w:left="170" w:right="170"/>
    </w:pPr>
  </w:style>
  <w:style w:type="paragraph" w:customStyle="1" w:styleId="BoxBullet">
    <w:name w:val="Box Bullet"/>
    <w:basedOn w:val="Box"/>
    <w:uiPriority w:val="3"/>
    <w:qFormat/>
    <w:rsid w:val="00FB01A9"/>
    <w:pPr>
      <w:numPr>
        <w:numId w:val="7"/>
      </w:numPr>
      <w:ind w:left="527" w:hanging="357"/>
    </w:pPr>
  </w:style>
  <w:style w:type="paragraph" w:styleId="BalloonText">
    <w:name w:val="Balloon Text"/>
    <w:basedOn w:val="Normal"/>
    <w:link w:val="BalloonTextChar"/>
    <w:uiPriority w:val="99"/>
    <w:semiHidden/>
    <w:unhideWhenUsed/>
    <w:rsid w:val="00F217A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7AA"/>
    <w:rPr>
      <w:rFonts w:ascii="Tahoma" w:hAnsi="Tahoma" w:cs="Tahoma"/>
      <w:sz w:val="16"/>
      <w:szCs w:val="16"/>
    </w:rPr>
  </w:style>
  <w:style w:type="paragraph" w:customStyle="1" w:styleId="Dividerheading">
    <w:name w:val="Divider heading"/>
    <w:next w:val="Normal"/>
    <w:qFormat/>
    <w:rsid w:val="00201348"/>
    <w:pPr>
      <w:spacing w:before="60" w:after="0" w:line="240" w:lineRule="auto"/>
      <w:ind w:left="1134" w:right="1134"/>
    </w:pPr>
    <w:rPr>
      <w:rFonts w:ascii="Arial" w:eastAsia="Calibri" w:hAnsi="Arial"/>
      <w:b/>
      <w:color w:val="15284C" w:themeColor="text2"/>
      <w:sz w:val="110"/>
      <w:szCs w:val="24"/>
      <w14:ligatures w14:val="standardContextual"/>
    </w:rPr>
  </w:style>
  <w:style w:type="paragraph" w:customStyle="1" w:styleId="Section3heading1">
    <w:name w:val="Section 3 heading 1"/>
    <w:basedOn w:val="Heading1"/>
    <w:next w:val="Normal"/>
    <w:link w:val="Section3heading1Char"/>
    <w:uiPriority w:val="10"/>
    <w:rsid w:val="000C006E"/>
    <w:rPr>
      <w:color w:val="003399" w:themeColor="accent3"/>
    </w:rPr>
  </w:style>
  <w:style w:type="character" w:customStyle="1" w:styleId="Section3heading1Char">
    <w:name w:val="Section 3 heading 1 Char"/>
    <w:basedOn w:val="Section2Heading1Char"/>
    <w:link w:val="Section3heading1"/>
    <w:uiPriority w:val="10"/>
    <w:rsid w:val="008F24D2"/>
    <w:rPr>
      <w:rFonts w:asciiTheme="majorHAnsi" w:eastAsiaTheme="majorEastAsia" w:hAnsiTheme="majorHAnsi" w:cstheme="majorBidi"/>
      <w:b w:val="0"/>
      <w:color w:val="003399" w:themeColor="accent3"/>
      <w:sz w:val="52"/>
      <w:szCs w:val="32"/>
    </w:rPr>
  </w:style>
  <w:style w:type="paragraph" w:customStyle="1" w:styleId="Section3heading2">
    <w:name w:val="Section 3 heading 2"/>
    <w:basedOn w:val="Heading2"/>
    <w:next w:val="Normal"/>
    <w:uiPriority w:val="10"/>
    <w:rsid w:val="00873F11"/>
    <w:rPr>
      <w:color w:val="003399" w:themeColor="accent3"/>
    </w:rPr>
  </w:style>
  <w:style w:type="paragraph" w:customStyle="1" w:styleId="Section3heading3">
    <w:name w:val="Section 3 heading 3"/>
    <w:basedOn w:val="Heading3"/>
    <w:uiPriority w:val="10"/>
    <w:rsid w:val="000C006E"/>
    <w:rPr>
      <w:color w:val="003399" w:themeColor="accent3"/>
    </w:rPr>
  </w:style>
  <w:style w:type="paragraph" w:customStyle="1" w:styleId="Section4Heading1">
    <w:name w:val="Section 4 Heading 1"/>
    <w:basedOn w:val="Heading1"/>
    <w:next w:val="Normal"/>
    <w:uiPriority w:val="11"/>
    <w:rsid w:val="00065884"/>
    <w:rPr>
      <w:color w:val="4D2379" w:themeColor="accent4"/>
    </w:rPr>
  </w:style>
  <w:style w:type="paragraph" w:customStyle="1" w:styleId="Section4Heading2">
    <w:name w:val="Section 4 Heading 2"/>
    <w:basedOn w:val="Heading2"/>
    <w:next w:val="Normal"/>
    <w:uiPriority w:val="11"/>
    <w:rsid w:val="00065884"/>
    <w:rPr>
      <w:color w:val="4D2379" w:themeColor="accent4"/>
    </w:rPr>
  </w:style>
  <w:style w:type="paragraph" w:styleId="ListParagraph">
    <w:name w:val="List Paragraph"/>
    <w:basedOn w:val="Normal"/>
    <w:uiPriority w:val="34"/>
    <w:qFormat/>
    <w:rsid w:val="00A1728D"/>
    <w:pPr>
      <w:ind w:left="720"/>
      <w:contextualSpacing/>
    </w:pPr>
  </w:style>
  <w:style w:type="paragraph" w:customStyle="1" w:styleId="Section2Heading1">
    <w:name w:val="Section 2 Heading 1"/>
    <w:basedOn w:val="Heading1"/>
    <w:next w:val="Normal"/>
    <w:link w:val="Section2Heading1Char"/>
    <w:uiPriority w:val="9"/>
    <w:rsid w:val="006F532C"/>
    <w:rPr>
      <w:color w:val="0C818E" w:themeColor="accent1"/>
    </w:rPr>
  </w:style>
  <w:style w:type="character" w:customStyle="1" w:styleId="Section2Heading1Char">
    <w:name w:val="Section 2 Heading 1 Char"/>
    <w:basedOn w:val="Heading1Char"/>
    <w:link w:val="Section2Heading1"/>
    <w:uiPriority w:val="9"/>
    <w:rsid w:val="008F24D2"/>
    <w:rPr>
      <w:rFonts w:asciiTheme="majorHAnsi" w:eastAsiaTheme="majorEastAsia" w:hAnsiTheme="majorHAnsi" w:cstheme="majorBidi"/>
      <w:b w:val="0"/>
      <w:color w:val="0C818E" w:themeColor="accent1"/>
      <w:sz w:val="52"/>
      <w:szCs w:val="32"/>
    </w:rPr>
  </w:style>
  <w:style w:type="paragraph" w:customStyle="1" w:styleId="Section2Heading2">
    <w:name w:val="Section 2 Heading 2"/>
    <w:basedOn w:val="Heading2"/>
    <w:next w:val="Normal"/>
    <w:link w:val="Section2Heading2Char"/>
    <w:uiPriority w:val="9"/>
    <w:rsid w:val="006F532C"/>
    <w:rPr>
      <w:color w:val="0C818E" w:themeColor="accent1"/>
    </w:rPr>
  </w:style>
  <w:style w:type="character" w:customStyle="1" w:styleId="Section2Heading2Char">
    <w:name w:val="Section 2 Heading 2 Char"/>
    <w:basedOn w:val="Heading2Char"/>
    <w:link w:val="Section2Heading2"/>
    <w:uiPriority w:val="9"/>
    <w:rsid w:val="008F24D2"/>
    <w:rPr>
      <w:rFonts w:asciiTheme="majorHAnsi" w:eastAsiaTheme="majorEastAsia" w:hAnsiTheme="majorHAnsi" w:cstheme="majorBidi"/>
      <w:b/>
      <w:color w:val="0C818E" w:themeColor="accent1"/>
      <w:sz w:val="32"/>
      <w:szCs w:val="26"/>
    </w:rPr>
  </w:style>
  <w:style w:type="paragraph" w:customStyle="1" w:styleId="Section2heading3">
    <w:name w:val="Section 2 heading 3"/>
    <w:basedOn w:val="Heading3"/>
    <w:link w:val="Section2heading3Char"/>
    <w:uiPriority w:val="9"/>
    <w:rsid w:val="006F532C"/>
    <w:rPr>
      <w:color w:val="0C818E" w:themeColor="accent1"/>
    </w:rPr>
  </w:style>
  <w:style w:type="character" w:customStyle="1" w:styleId="Section2heading3Char">
    <w:name w:val="Section 2 heading 3 Char"/>
    <w:basedOn w:val="Heading3Char"/>
    <w:link w:val="Section2heading3"/>
    <w:uiPriority w:val="9"/>
    <w:rsid w:val="008F24D2"/>
    <w:rPr>
      <w:rFonts w:asciiTheme="majorHAnsi" w:eastAsiaTheme="majorEastAsia" w:hAnsiTheme="majorHAnsi" w:cstheme="majorBidi"/>
      <w:color w:val="0C818E" w:themeColor="accent1"/>
      <w:sz w:val="32"/>
      <w:szCs w:val="24"/>
    </w:rPr>
  </w:style>
  <w:style w:type="paragraph" w:customStyle="1" w:styleId="Section4Heading3">
    <w:name w:val="Section 4 Heading 3"/>
    <w:basedOn w:val="Heading3"/>
    <w:next w:val="Normal"/>
    <w:uiPriority w:val="11"/>
    <w:rsid w:val="00065884"/>
    <w:rPr>
      <w:color w:val="4D2379" w:themeColor="accent4"/>
    </w:rPr>
  </w:style>
  <w:style w:type="paragraph" w:customStyle="1" w:styleId="Section5Heading1">
    <w:name w:val="Section 5 Heading 1"/>
    <w:basedOn w:val="Heading1"/>
    <w:next w:val="Normal"/>
    <w:link w:val="Section5Heading1Char"/>
    <w:uiPriority w:val="12"/>
    <w:rsid w:val="0049539E"/>
    <w:rPr>
      <w:color w:val="006060" w:themeColor="accent5"/>
    </w:rPr>
  </w:style>
  <w:style w:type="character" w:customStyle="1" w:styleId="Section5Heading1Char">
    <w:name w:val="Section 5 Heading 1 Char"/>
    <w:basedOn w:val="Heading1Char"/>
    <w:link w:val="Section5Heading1"/>
    <w:uiPriority w:val="12"/>
    <w:rsid w:val="008F24D2"/>
    <w:rPr>
      <w:rFonts w:asciiTheme="majorHAnsi" w:eastAsiaTheme="majorEastAsia" w:hAnsiTheme="majorHAnsi" w:cstheme="majorBidi"/>
      <w:b w:val="0"/>
      <w:color w:val="006060" w:themeColor="accent5"/>
      <w:sz w:val="52"/>
      <w:szCs w:val="32"/>
    </w:rPr>
  </w:style>
  <w:style w:type="paragraph" w:customStyle="1" w:styleId="Section5Heading2">
    <w:name w:val="Section 5 Heading 2"/>
    <w:basedOn w:val="Heading2"/>
    <w:link w:val="Section5Heading2Char"/>
    <w:uiPriority w:val="12"/>
    <w:rsid w:val="0049539E"/>
    <w:rPr>
      <w:color w:val="006060" w:themeColor="accent5"/>
    </w:rPr>
  </w:style>
  <w:style w:type="character" w:customStyle="1" w:styleId="Section5Heading2Char">
    <w:name w:val="Section 5 Heading 2 Char"/>
    <w:basedOn w:val="Heading2Char"/>
    <w:link w:val="Section5Heading2"/>
    <w:uiPriority w:val="12"/>
    <w:rsid w:val="008F24D2"/>
    <w:rPr>
      <w:rFonts w:asciiTheme="majorHAnsi" w:eastAsiaTheme="majorEastAsia" w:hAnsiTheme="majorHAnsi" w:cstheme="majorBidi"/>
      <w:b/>
      <w:color w:val="006060" w:themeColor="accent5"/>
      <w:sz w:val="32"/>
      <w:szCs w:val="26"/>
    </w:rPr>
  </w:style>
  <w:style w:type="paragraph" w:customStyle="1" w:styleId="Section5Heading3">
    <w:name w:val="Section 5 Heading 3"/>
    <w:basedOn w:val="Heading3"/>
    <w:link w:val="Section5Heading3Char"/>
    <w:uiPriority w:val="12"/>
    <w:rsid w:val="0049539E"/>
    <w:rPr>
      <w:color w:val="006060" w:themeColor="accent5"/>
    </w:rPr>
  </w:style>
  <w:style w:type="character" w:customStyle="1" w:styleId="Section5Heading3Char">
    <w:name w:val="Section 5 Heading 3 Char"/>
    <w:basedOn w:val="Heading3Char"/>
    <w:link w:val="Section5Heading3"/>
    <w:uiPriority w:val="12"/>
    <w:rsid w:val="008F24D2"/>
    <w:rPr>
      <w:rFonts w:asciiTheme="majorHAnsi" w:eastAsiaTheme="majorEastAsia" w:hAnsiTheme="majorHAnsi" w:cstheme="majorBidi"/>
      <w:color w:val="006060" w:themeColor="accent5"/>
      <w:sz w:val="32"/>
      <w:szCs w:val="24"/>
    </w:rPr>
  </w:style>
  <w:style w:type="paragraph" w:customStyle="1" w:styleId="Section6Heading1">
    <w:name w:val="Section 6 Heading 1"/>
    <w:basedOn w:val="Heading1"/>
    <w:next w:val="Normal"/>
    <w:link w:val="Section6Heading1Char"/>
    <w:uiPriority w:val="13"/>
    <w:rsid w:val="0049539E"/>
    <w:rPr>
      <w:color w:val="660033" w:themeColor="accent6"/>
    </w:rPr>
  </w:style>
  <w:style w:type="character" w:customStyle="1" w:styleId="Section6Heading1Char">
    <w:name w:val="Section 6 Heading 1 Char"/>
    <w:basedOn w:val="Heading1Char"/>
    <w:link w:val="Section6Heading1"/>
    <w:uiPriority w:val="13"/>
    <w:rsid w:val="008F24D2"/>
    <w:rPr>
      <w:rFonts w:asciiTheme="majorHAnsi" w:eastAsiaTheme="majorEastAsia" w:hAnsiTheme="majorHAnsi" w:cstheme="majorBidi"/>
      <w:b w:val="0"/>
      <w:color w:val="660033" w:themeColor="accent6"/>
      <w:sz w:val="52"/>
      <w:szCs w:val="32"/>
    </w:rPr>
  </w:style>
  <w:style w:type="paragraph" w:customStyle="1" w:styleId="Section6Heading2">
    <w:name w:val="Section 6 Heading 2"/>
    <w:basedOn w:val="Heading2"/>
    <w:next w:val="Normal"/>
    <w:link w:val="Section6Heading2Char"/>
    <w:uiPriority w:val="13"/>
    <w:rsid w:val="0049539E"/>
    <w:rPr>
      <w:color w:val="660033" w:themeColor="accent6"/>
    </w:rPr>
  </w:style>
  <w:style w:type="character" w:customStyle="1" w:styleId="Section6Heading2Char">
    <w:name w:val="Section 6 Heading 2 Char"/>
    <w:basedOn w:val="Heading2Char"/>
    <w:link w:val="Section6Heading2"/>
    <w:uiPriority w:val="13"/>
    <w:rsid w:val="008F24D2"/>
    <w:rPr>
      <w:rFonts w:asciiTheme="majorHAnsi" w:eastAsiaTheme="majorEastAsia" w:hAnsiTheme="majorHAnsi" w:cstheme="majorBidi"/>
      <w:b/>
      <w:color w:val="660033" w:themeColor="accent6"/>
      <w:sz w:val="32"/>
      <w:szCs w:val="26"/>
    </w:rPr>
  </w:style>
  <w:style w:type="paragraph" w:customStyle="1" w:styleId="Section6Heading3">
    <w:name w:val="Section 6 Heading 3"/>
    <w:basedOn w:val="Heading3"/>
    <w:next w:val="Normal"/>
    <w:link w:val="Section6Heading3Char"/>
    <w:uiPriority w:val="13"/>
    <w:rsid w:val="0049539E"/>
    <w:rPr>
      <w:color w:val="660033" w:themeColor="accent6"/>
    </w:rPr>
  </w:style>
  <w:style w:type="character" w:customStyle="1" w:styleId="Section6Heading3Char">
    <w:name w:val="Section 6 Heading 3 Char"/>
    <w:basedOn w:val="Heading3Char"/>
    <w:link w:val="Section6Heading3"/>
    <w:uiPriority w:val="13"/>
    <w:rsid w:val="008F24D2"/>
    <w:rPr>
      <w:rFonts w:asciiTheme="majorHAnsi" w:eastAsiaTheme="majorEastAsia" w:hAnsiTheme="majorHAnsi" w:cstheme="majorBidi"/>
      <w:color w:val="660033" w:themeColor="accent6"/>
      <w:sz w:val="32"/>
      <w:szCs w:val="24"/>
    </w:rPr>
  </w:style>
  <w:style w:type="paragraph" w:customStyle="1" w:styleId="Bulletpoint">
    <w:name w:val="Bullet point"/>
    <w:basedOn w:val="Normal"/>
    <w:next w:val="Normal"/>
    <w:link w:val="BulletpointChar"/>
    <w:uiPriority w:val="1"/>
    <w:qFormat/>
    <w:rsid w:val="00E12AAF"/>
  </w:style>
  <w:style w:type="character" w:customStyle="1" w:styleId="BulletpointChar">
    <w:name w:val="Bullet point Char"/>
    <w:basedOn w:val="DefaultParagraphFont"/>
    <w:link w:val="Bulletpoint"/>
    <w:uiPriority w:val="1"/>
    <w:rsid w:val="00E12AAF"/>
    <w:rPr>
      <w:sz w:val="24"/>
    </w:rPr>
  </w:style>
  <w:style w:type="table" w:customStyle="1" w:styleId="HealthNewZealand">
    <w:name w:val="Health New Zealand"/>
    <w:basedOn w:val="TableNormal"/>
    <w:uiPriority w:val="99"/>
    <w:rsid w:val="00911F86"/>
    <w:pPr>
      <w:spacing w:after="0" w:line="240" w:lineRule="auto"/>
    </w:pPr>
    <w:tblPr/>
  </w:style>
  <w:style w:type="character" w:customStyle="1" w:styleId="Heading5Char">
    <w:name w:val="Heading 5 Char"/>
    <w:basedOn w:val="DefaultParagraphFont"/>
    <w:link w:val="Heading5"/>
    <w:uiPriority w:val="9"/>
    <w:semiHidden/>
    <w:rsid w:val="00794352"/>
    <w:rPr>
      <w:rFonts w:asciiTheme="majorHAnsi" w:eastAsiaTheme="majorEastAsia" w:hAnsiTheme="majorHAnsi" w:cstheme="majorBidi"/>
      <w:color w:val="09606A" w:themeColor="accent1" w:themeShade="BF"/>
      <w:sz w:val="24"/>
    </w:rPr>
  </w:style>
  <w:style w:type="paragraph" w:customStyle="1" w:styleId="Datenewsletterdocument">
    <w:name w:val="Date newsletter document"/>
    <w:basedOn w:val="Subtitle"/>
    <w:next w:val="Normal"/>
    <w:uiPriority w:val="99"/>
    <w:qFormat/>
    <w:rsid w:val="00794352"/>
    <w:pPr>
      <w:spacing w:after="840"/>
    </w:pPr>
    <w:rPr>
      <w:color w:val="FFFFFF" w:themeColor="background1"/>
    </w:rPr>
  </w:style>
  <w:style w:type="paragraph" w:customStyle="1" w:styleId="ADHBBodyText">
    <w:name w:val="ADHB Body Text"/>
    <w:basedOn w:val="Normal"/>
    <w:link w:val="ADHBBodyTextChar"/>
    <w:qFormat/>
    <w:rsid w:val="0094243E"/>
    <w:pPr>
      <w:spacing w:before="0" w:after="200" w:line="276" w:lineRule="auto"/>
    </w:pPr>
    <w:rPr>
      <w:szCs w:val="24"/>
    </w:rPr>
  </w:style>
  <w:style w:type="character" w:customStyle="1" w:styleId="ADHBBodyTextChar">
    <w:name w:val="ADHB Body Text Char"/>
    <w:basedOn w:val="DefaultParagraphFont"/>
    <w:link w:val="ADHBBodyText"/>
    <w:rsid w:val="0094243E"/>
    <w:rPr>
      <w:sz w:val="24"/>
      <w:szCs w:val="24"/>
    </w:rPr>
  </w:style>
  <w:style w:type="table" w:customStyle="1" w:styleId="TeWhatuOra1">
    <w:name w:val="Te Whatu Ora1"/>
    <w:basedOn w:val="TableNormal"/>
    <w:uiPriority w:val="99"/>
    <w:rsid w:val="00426961"/>
    <w:pPr>
      <w:spacing w:before="100" w:beforeAutospacing="1" w:after="100" w:afterAutospacing="1" w:line="240" w:lineRule="auto"/>
    </w:pPr>
    <w:rPr>
      <w:rFonts w:ascii="Arial" w:hAnsi="Arial"/>
      <w:sz w:val="24"/>
    </w:rPr>
    <w:tblPr>
      <w:tblBorders>
        <w:insideH w:val="single" w:sz="8" w:space="0" w:color="BFBFBF" w:themeColor="text1" w:themeTint="40"/>
        <w:insideV w:val="single" w:sz="8" w:space="0" w:color="BFBFBF" w:themeColor="text1" w:themeTint="40"/>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rPr>
        <w:cantSplit/>
        <w:tblHeader/>
      </w:trPr>
      <w:tcPr>
        <w:tcBorders>
          <w:top w:val="single" w:sz="12" w:space="0" w:color="003399" w:themeColor="accent3"/>
          <w:bottom w:val="single" w:sz="12" w:space="0" w:color="003399" w:themeColor="accent3"/>
        </w:tcBorders>
        <w:shd w:val="clear" w:color="auto" w:fill="F6F4EC" w:themeFill="background2"/>
      </w:tcPr>
    </w:tblStylePr>
    <w:tblStylePr w:type="lastRow">
      <w:rPr>
        <w:b/>
      </w:rPr>
    </w:tblStylePr>
    <w:tblStylePr w:type="firstCol">
      <w:rPr>
        <w:b/>
      </w:rPr>
    </w:tblStylePr>
    <w:tblStylePr w:type="lastCol">
      <w:rPr>
        <w:b/>
      </w:rPr>
    </w:tblStylePr>
  </w:style>
  <w:style w:type="character" w:styleId="CommentReference">
    <w:name w:val="annotation reference"/>
    <w:basedOn w:val="DefaultParagraphFont"/>
    <w:uiPriority w:val="99"/>
    <w:semiHidden/>
    <w:unhideWhenUsed/>
    <w:rsid w:val="00683B5D"/>
    <w:rPr>
      <w:sz w:val="16"/>
      <w:szCs w:val="16"/>
    </w:rPr>
  </w:style>
  <w:style w:type="paragraph" w:styleId="CommentText">
    <w:name w:val="annotation text"/>
    <w:basedOn w:val="Normal"/>
    <w:link w:val="CommentTextChar"/>
    <w:uiPriority w:val="99"/>
    <w:unhideWhenUsed/>
    <w:rsid w:val="00683B5D"/>
    <w:pPr>
      <w:spacing w:line="240" w:lineRule="auto"/>
    </w:pPr>
    <w:rPr>
      <w:sz w:val="20"/>
      <w:szCs w:val="20"/>
    </w:rPr>
  </w:style>
  <w:style w:type="character" w:customStyle="1" w:styleId="CommentTextChar">
    <w:name w:val="Comment Text Char"/>
    <w:basedOn w:val="DefaultParagraphFont"/>
    <w:link w:val="CommentText"/>
    <w:uiPriority w:val="99"/>
    <w:rsid w:val="00683B5D"/>
    <w:rPr>
      <w:sz w:val="20"/>
      <w:szCs w:val="20"/>
    </w:rPr>
  </w:style>
  <w:style w:type="paragraph" w:styleId="CommentSubject">
    <w:name w:val="annotation subject"/>
    <w:basedOn w:val="CommentText"/>
    <w:next w:val="CommentText"/>
    <w:link w:val="CommentSubjectChar"/>
    <w:uiPriority w:val="99"/>
    <w:semiHidden/>
    <w:unhideWhenUsed/>
    <w:rsid w:val="00683B5D"/>
    <w:rPr>
      <w:b/>
      <w:bCs/>
    </w:rPr>
  </w:style>
  <w:style w:type="character" w:customStyle="1" w:styleId="CommentSubjectChar">
    <w:name w:val="Comment Subject Char"/>
    <w:basedOn w:val="CommentTextChar"/>
    <w:link w:val="CommentSubject"/>
    <w:uiPriority w:val="99"/>
    <w:semiHidden/>
    <w:rsid w:val="00683B5D"/>
    <w:rPr>
      <w:b/>
      <w:bCs/>
      <w:sz w:val="20"/>
      <w:szCs w:val="20"/>
    </w:rPr>
  </w:style>
  <w:style w:type="paragraph" w:customStyle="1" w:styleId="paragraph">
    <w:name w:val="paragraph"/>
    <w:basedOn w:val="Normal"/>
    <w:rsid w:val="00325390"/>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325390"/>
  </w:style>
  <w:style w:type="character" w:customStyle="1" w:styleId="eop">
    <w:name w:val="eop"/>
    <w:basedOn w:val="DefaultParagraphFont"/>
    <w:rsid w:val="00325390"/>
  </w:style>
  <w:style w:type="paragraph" w:styleId="Revision">
    <w:name w:val="Revision"/>
    <w:hidden/>
    <w:uiPriority w:val="99"/>
    <w:semiHidden/>
    <w:rsid w:val="00C9737D"/>
    <w:pPr>
      <w:spacing w:after="0" w:line="240" w:lineRule="auto"/>
    </w:pPr>
    <w:rPr>
      <w:sz w:val="24"/>
    </w:rPr>
  </w:style>
  <w:style w:type="character" w:styleId="UnresolvedMention">
    <w:name w:val="Unresolved Mention"/>
    <w:basedOn w:val="DefaultParagraphFont"/>
    <w:uiPriority w:val="99"/>
    <w:semiHidden/>
    <w:unhideWhenUsed/>
    <w:rsid w:val="0029669D"/>
    <w:rPr>
      <w:color w:val="605E5C"/>
      <w:shd w:val="clear" w:color="auto" w:fill="E1DFDD"/>
    </w:rPr>
  </w:style>
  <w:style w:type="paragraph" w:styleId="NormalWeb">
    <w:name w:val="Normal (Web)"/>
    <w:basedOn w:val="Normal"/>
    <w:uiPriority w:val="99"/>
    <w:unhideWhenUsed/>
    <w:rsid w:val="001104DD"/>
    <w:pPr>
      <w:spacing w:before="100" w:beforeAutospacing="1" w:after="100" w:afterAutospacing="1" w:line="240" w:lineRule="auto"/>
    </w:pPr>
    <w:rPr>
      <w:rFonts w:ascii="Aptos" w:hAnsi="Aptos" w:cs="Aptos"/>
      <w:szCs w:val="24"/>
      <w:lang w:eastAsia="en-NZ"/>
    </w:rPr>
  </w:style>
  <w:style w:type="paragraph" w:customStyle="1" w:styleId="Letteredbullets">
    <w:name w:val="Lettered bullets"/>
    <w:basedOn w:val="Numberedbullets"/>
    <w:qFormat/>
    <w:rsid w:val="00D113C2"/>
    <w:pPr>
      <w:numPr>
        <w:ilvl w:val="1"/>
      </w:numPr>
      <w:tabs>
        <w:tab w:val="num" w:pos="360"/>
      </w:tabs>
      <w:ind w:left="360"/>
    </w:pPr>
    <w:rPr>
      <w:shd w:val="clear" w:color="auto" w:fill="auto"/>
      <w:lang w:val="en-NZ"/>
    </w:rPr>
  </w:style>
  <w:style w:type="paragraph" w:customStyle="1" w:styleId="Numberedbullets">
    <w:name w:val="Numbered bullets"/>
    <w:basedOn w:val="Normal"/>
    <w:link w:val="NumberedbulletsChar"/>
    <w:qFormat/>
    <w:rsid w:val="00D113C2"/>
    <w:pPr>
      <w:widowControl w:val="0"/>
      <w:numPr>
        <w:numId w:val="15"/>
      </w:numPr>
      <w:autoSpaceDE w:val="0"/>
      <w:autoSpaceDN w:val="0"/>
      <w:spacing w:before="0" w:after="160" w:line="259" w:lineRule="auto"/>
    </w:pPr>
    <w:rPr>
      <w:rFonts w:ascii="Arial" w:eastAsia="Arial" w:hAnsi="Arial" w:cs="Arial"/>
      <w:sz w:val="22"/>
      <w:shd w:val="clear" w:color="auto" w:fill="FFFFFF"/>
      <w:lang w:val="en-US"/>
    </w:rPr>
  </w:style>
  <w:style w:type="character" w:customStyle="1" w:styleId="NumberedbulletsChar">
    <w:name w:val="Numbered bullets Char"/>
    <w:basedOn w:val="DefaultParagraphFont"/>
    <w:link w:val="Numberedbullets"/>
    <w:rsid w:val="00D113C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5153">
      <w:bodyDiv w:val="1"/>
      <w:marLeft w:val="0"/>
      <w:marRight w:val="0"/>
      <w:marTop w:val="0"/>
      <w:marBottom w:val="0"/>
      <w:divBdr>
        <w:top w:val="none" w:sz="0" w:space="0" w:color="auto"/>
        <w:left w:val="none" w:sz="0" w:space="0" w:color="auto"/>
        <w:bottom w:val="none" w:sz="0" w:space="0" w:color="auto"/>
        <w:right w:val="none" w:sz="0" w:space="0" w:color="auto"/>
      </w:divBdr>
    </w:div>
    <w:div w:id="215630467">
      <w:bodyDiv w:val="1"/>
      <w:marLeft w:val="0"/>
      <w:marRight w:val="0"/>
      <w:marTop w:val="0"/>
      <w:marBottom w:val="0"/>
      <w:divBdr>
        <w:top w:val="none" w:sz="0" w:space="0" w:color="auto"/>
        <w:left w:val="none" w:sz="0" w:space="0" w:color="auto"/>
        <w:bottom w:val="none" w:sz="0" w:space="0" w:color="auto"/>
        <w:right w:val="none" w:sz="0" w:space="0" w:color="auto"/>
      </w:divBdr>
    </w:div>
    <w:div w:id="297495211">
      <w:bodyDiv w:val="1"/>
      <w:marLeft w:val="0"/>
      <w:marRight w:val="0"/>
      <w:marTop w:val="0"/>
      <w:marBottom w:val="0"/>
      <w:divBdr>
        <w:top w:val="none" w:sz="0" w:space="0" w:color="auto"/>
        <w:left w:val="none" w:sz="0" w:space="0" w:color="auto"/>
        <w:bottom w:val="none" w:sz="0" w:space="0" w:color="auto"/>
        <w:right w:val="none" w:sz="0" w:space="0" w:color="auto"/>
      </w:divBdr>
    </w:div>
    <w:div w:id="432432468">
      <w:bodyDiv w:val="1"/>
      <w:marLeft w:val="0"/>
      <w:marRight w:val="0"/>
      <w:marTop w:val="0"/>
      <w:marBottom w:val="0"/>
      <w:divBdr>
        <w:top w:val="none" w:sz="0" w:space="0" w:color="auto"/>
        <w:left w:val="none" w:sz="0" w:space="0" w:color="auto"/>
        <w:bottom w:val="none" w:sz="0" w:space="0" w:color="auto"/>
        <w:right w:val="none" w:sz="0" w:space="0" w:color="auto"/>
      </w:divBdr>
    </w:div>
    <w:div w:id="603608102">
      <w:bodyDiv w:val="1"/>
      <w:marLeft w:val="0"/>
      <w:marRight w:val="0"/>
      <w:marTop w:val="0"/>
      <w:marBottom w:val="0"/>
      <w:divBdr>
        <w:top w:val="none" w:sz="0" w:space="0" w:color="auto"/>
        <w:left w:val="none" w:sz="0" w:space="0" w:color="auto"/>
        <w:bottom w:val="none" w:sz="0" w:space="0" w:color="auto"/>
        <w:right w:val="none" w:sz="0" w:space="0" w:color="auto"/>
      </w:divBdr>
      <w:divsChild>
        <w:div w:id="666326827">
          <w:marLeft w:val="0"/>
          <w:marRight w:val="0"/>
          <w:marTop w:val="60"/>
          <w:marBottom w:val="60"/>
          <w:divBdr>
            <w:top w:val="none" w:sz="0" w:space="0" w:color="auto"/>
            <w:left w:val="none" w:sz="0" w:space="0" w:color="auto"/>
            <w:bottom w:val="none" w:sz="0" w:space="0" w:color="auto"/>
            <w:right w:val="none" w:sz="0" w:space="0" w:color="auto"/>
          </w:divBdr>
        </w:div>
      </w:divsChild>
    </w:div>
    <w:div w:id="1186749316">
      <w:bodyDiv w:val="1"/>
      <w:marLeft w:val="0"/>
      <w:marRight w:val="0"/>
      <w:marTop w:val="0"/>
      <w:marBottom w:val="0"/>
      <w:divBdr>
        <w:top w:val="none" w:sz="0" w:space="0" w:color="auto"/>
        <w:left w:val="none" w:sz="0" w:space="0" w:color="auto"/>
        <w:bottom w:val="none" w:sz="0" w:space="0" w:color="auto"/>
        <w:right w:val="none" w:sz="0" w:space="0" w:color="auto"/>
      </w:divBdr>
    </w:div>
    <w:div w:id="1268124022">
      <w:bodyDiv w:val="1"/>
      <w:marLeft w:val="0"/>
      <w:marRight w:val="0"/>
      <w:marTop w:val="0"/>
      <w:marBottom w:val="0"/>
      <w:divBdr>
        <w:top w:val="none" w:sz="0" w:space="0" w:color="auto"/>
        <w:left w:val="none" w:sz="0" w:space="0" w:color="auto"/>
        <w:bottom w:val="none" w:sz="0" w:space="0" w:color="auto"/>
        <w:right w:val="none" w:sz="0" w:space="0" w:color="auto"/>
      </w:divBdr>
    </w:div>
    <w:div w:id="1582791414">
      <w:bodyDiv w:val="1"/>
      <w:marLeft w:val="0"/>
      <w:marRight w:val="0"/>
      <w:marTop w:val="0"/>
      <w:marBottom w:val="0"/>
      <w:divBdr>
        <w:top w:val="none" w:sz="0" w:space="0" w:color="auto"/>
        <w:left w:val="none" w:sz="0" w:space="0" w:color="auto"/>
        <w:bottom w:val="none" w:sz="0" w:space="0" w:color="auto"/>
        <w:right w:val="none" w:sz="0" w:space="0" w:color="auto"/>
      </w:divBdr>
    </w:div>
    <w:div w:id="1819955938">
      <w:bodyDiv w:val="1"/>
      <w:marLeft w:val="0"/>
      <w:marRight w:val="0"/>
      <w:marTop w:val="0"/>
      <w:marBottom w:val="0"/>
      <w:divBdr>
        <w:top w:val="none" w:sz="0" w:space="0" w:color="auto"/>
        <w:left w:val="none" w:sz="0" w:space="0" w:color="auto"/>
        <w:bottom w:val="none" w:sz="0" w:space="0" w:color="auto"/>
        <w:right w:val="none" w:sz="0" w:space="0" w:color="auto"/>
      </w:divBdr>
    </w:div>
    <w:div w:id="19742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erminations.era.govt.nz/determination/view/203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HNZ">
      <a:dk1>
        <a:sysClr val="windowText" lastClr="000000"/>
      </a:dk1>
      <a:lt1>
        <a:sysClr val="window" lastClr="FFFFFF"/>
      </a:lt1>
      <a:dk2>
        <a:srgbClr val="15284C"/>
      </a:dk2>
      <a:lt2>
        <a:srgbClr val="F6F4EC"/>
      </a:lt2>
      <a:accent1>
        <a:srgbClr val="0C818E"/>
      </a:accent1>
      <a:accent2>
        <a:srgbClr val="28A1AC"/>
      </a:accent2>
      <a:accent3>
        <a:srgbClr val="003399"/>
      </a:accent3>
      <a:accent4>
        <a:srgbClr val="4D2379"/>
      </a:accent4>
      <a:accent5>
        <a:srgbClr val="006060"/>
      </a:accent5>
      <a:accent6>
        <a:srgbClr val="660033"/>
      </a:accent6>
      <a:hlink>
        <a:srgbClr val="0072BC"/>
      </a:hlink>
      <a:folHlink>
        <a:srgbClr val="0072B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7769-C04B-4B5A-AF0B-C841613E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Links>
    <vt:vector size="6" baseType="variant">
      <vt:variant>
        <vt:i4>3145759</vt:i4>
      </vt:variant>
      <vt:variant>
        <vt:i4>0</vt:i4>
      </vt:variant>
      <vt:variant>
        <vt:i4>0</vt:i4>
      </vt:variant>
      <vt:variant>
        <vt:i4>5</vt:i4>
      </vt:variant>
      <vt:variant>
        <vt:lpwstr>https://auc-word-edit.officeapps.live.com/we/wordeditorframe.aspx?ui=en-US&amp;rs=en-US&amp;wopisrc=https%3A%2F%2Fhauoraaotearoa.sharepoint.com%2Fsites%2F000152-BusinessPartners%2F_vti_bin%2Fwopi.ashx%2Ffiles%2F543282005f804d16a08b9099ba7caf9b&amp;wdorigin=TEAMS-MAGLEV.teamsSdk_ns.rwc&amp;wdexp=TEAMS-TREATMENT&amp;wdhostclicktime=1746074967026&amp;wdenableroaming=1&amp;mscc=1&amp;hid=A7C599A1-B052-5000-287D-B3C426C855FC.0&amp;uih=sharepointcom&amp;wdlcid=en-US&amp;jsapi=1&amp;jsapiver=v2&amp;corrid=d81732d5-4447-941d-76d5-895b0efd99fc&amp;usid=d81732d5-4447-941d-76d5-895b0efd99fc&amp;newsession=1&amp;sftc=1&amp;uihit=docaspx&amp;muv=1&amp;ats=PairwiseBroker&amp;cac=1&amp;sams=1&amp;mtf=1&amp;sfp=1&amp;sdp=1&amp;hch=1&amp;hwfh=1&amp;dchat=1&amp;sc=%7B%22pmo%22%3A%22https%3A%2F%2Fhauoraaotearoa.sharepoint.com%22%2C%22pmshare%22%3Atrue%7D&amp;ctp=LeastProtected&amp;rct=Normal&amp;afdflight=83&amp;csc=1&amp;instantedit=1&amp;wopicomplete=1&amp;wdredirectionreason=Unified_SingleFlush</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Berry</dc:creator>
  <cp:keywords/>
  <cp:lastModifiedBy>Therese Sutherland (ADHB)</cp:lastModifiedBy>
  <cp:revision>2</cp:revision>
  <dcterms:created xsi:type="dcterms:W3CDTF">2025-08-14T01:46:00Z</dcterms:created>
  <dcterms:modified xsi:type="dcterms:W3CDTF">2025-08-14T01:46:00Z</dcterms:modified>
</cp:coreProperties>
</file>