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0204" w:rsidRDefault="005632F0" w:rsidP="003F0204">
      <w:pPr>
        <w:rPr>
          <w:rFonts w:ascii="Lucida Sans Typewriter" w:hAnsi="Lucida Sans Typewriter"/>
          <w:sz w:val="36"/>
          <w:szCs w:val="36"/>
        </w:rPr>
      </w:pPr>
      <w:r>
        <w:rPr>
          <w:rFonts w:ascii="Lucida Sans Typewriter" w:hAnsi="Lucida Sans Typewriter"/>
          <w:sz w:val="36"/>
          <w:szCs w:val="36"/>
        </w:rPr>
        <w:t>Uppe</w:t>
      </w:r>
      <w:r w:rsidR="00FD4F1B">
        <w:rPr>
          <w:rFonts w:ascii="Lucida Sans Typewriter" w:hAnsi="Lucida Sans Typewriter"/>
          <w:sz w:val="36"/>
          <w:szCs w:val="36"/>
        </w:rPr>
        <w:t xml:space="preserve">r Limb Assessment &amp; Treatment </w:t>
      </w:r>
      <w:r>
        <w:rPr>
          <w:rFonts w:ascii="Lucida Sans Typewriter" w:hAnsi="Lucida Sans Typewriter"/>
          <w:sz w:val="36"/>
          <w:szCs w:val="36"/>
        </w:rPr>
        <w:t>Guides</w:t>
      </w:r>
    </w:p>
    <w:p w:rsidR="00CB6501" w:rsidRPr="00F83C99" w:rsidRDefault="005A3F29" w:rsidP="003F0204">
      <w:pPr>
        <w:rPr>
          <w:rFonts w:ascii="Lucida Sans Typewriter" w:hAnsi="Lucida Sans Typewriter"/>
          <w:sz w:val="28"/>
          <w:szCs w:val="28"/>
        </w:rPr>
      </w:pPr>
      <w:r w:rsidRPr="00F83C99">
        <w:rPr>
          <w:sz w:val="28"/>
          <w:szCs w:val="28"/>
        </w:rPr>
        <w:t>2</w:t>
      </w:r>
      <w:r w:rsidR="00151050" w:rsidRPr="00F83C99">
        <w:rPr>
          <w:sz w:val="28"/>
          <w:szCs w:val="28"/>
        </w:rPr>
        <w:t>:  Botulinum Toxin</w:t>
      </w:r>
    </w:p>
    <w:p w:rsidR="00CB6501" w:rsidRDefault="00CB6501" w:rsidP="00CB6501">
      <w:pPr>
        <w:pStyle w:val="Heading2"/>
      </w:pPr>
      <w:r>
        <w:t>Introduction / Background / Purpose</w:t>
      </w:r>
    </w:p>
    <w:p w:rsidR="00CB095A" w:rsidRPr="00CB095A" w:rsidRDefault="00CB095A" w:rsidP="005340F6">
      <w:pPr>
        <w:jc w:val="both"/>
        <w:rPr>
          <w:b/>
        </w:rPr>
      </w:pPr>
      <w:r w:rsidRPr="00CB095A">
        <w:rPr>
          <w:b/>
        </w:rPr>
        <w:t>Post Stroke Spasticity:</w:t>
      </w:r>
    </w:p>
    <w:p w:rsidR="00940BA2" w:rsidRDefault="008D5CD5" w:rsidP="00551A91">
      <w:pPr>
        <w:jc w:val="both"/>
      </w:pPr>
      <w:r>
        <w:t xml:space="preserve">Literature suggest that </w:t>
      </w:r>
      <w:r w:rsidR="006E4D78" w:rsidRPr="006E4D78">
        <w:t>20% to 40% of people who have experienced a</w:t>
      </w:r>
      <w:r w:rsidR="005340F6">
        <w:t xml:space="preserve"> stroke will develop spasticity</w:t>
      </w:r>
      <w:r w:rsidR="005340F6" w:rsidRPr="005340F6">
        <w:t xml:space="preserve"> </w:t>
      </w:r>
      <w:r w:rsidR="005340F6">
        <w:t>(</w:t>
      </w:r>
      <w:proofErr w:type="spellStart"/>
      <w:r w:rsidR="005340F6">
        <w:t>Zorowitz</w:t>
      </w:r>
      <w:proofErr w:type="spellEnd"/>
      <w:r w:rsidR="005340F6">
        <w:t xml:space="preserve">, Gillard &amp; </w:t>
      </w:r>
      <w:proofErr w:type="spellStart"/>
      <w:r w:rsidR="005340F6">
        <w:t>Brainin</w:t>
      </w:r>
      <w:proofErr w:type="spellEnd"/>
      <w:r w:rsidR="005340F6">
        <w:t xml:space="preserve">, </w:t>
      </w:r>
      <w:r w:rsidR="005340F6" w:rsidRPr="006E4D78">
        <w:t>2013)</w:t>
      </w:r>
      <w:r w:rsidR="00CB095A">
        <w:t xml:space="preserve">.  </w:t>
      </w:r>
      <w:r>
        <w:t>Spasticity</w:t>
      </w:r>
      <w:r w:rsidR="005A35DD">
        <w:t xml:space="preserve"> </w:t>
      </w:r>
      <w:r w:rsidR="005340F6">
        <w:t>can lead to pain, contractures and increased risk of pressure areas</w:t>
      </w:r>
      <w:r w:rsidR="00B756A2">
        <w:t>. Functionally, it can affect</w:t>
      </w:r>
      <w:r w:rsidR="005340F6">
        <w:t xml:space="preserve"> an individual’s mobility and activities of daily living such as dressing </w:t>
      </w:r>
      <w:r w:rsidR="00B756A2">
        <w:t xml:space="preserve">and </w:t>
      </w:r>
      <w:r w:rsidR="005340F6">
        <w:t xml:space="preserve">managing personal hygiene.  It can also impact on </w:t>
      </w:r>
      <w:r w:rsidR="00551A91">
        <w:t xml:space="preserve">quality of life and </w:t>
      </w:r>
      <w:r w:rsidR="00A34B76">
        <w:t>requirement</w:t>
      </w:r>
      <w:r w:rsidR="00940BA2" w:rsidRPr="00940BA2">
        <w:t xml:space="preserve"> for carer assistance </w:t>
      </w:r>
      <w:r w:rsidR="005A35DD">
        <w:t>(</w:t>
      </w:r>
      <w:r w:rsidR="005A35DD" w:rsidRPr="005A35DD">
        <w:t>Royal College of Physicians RCP, 2009</w:t>
      </w:r>
      <w:r w:rsidR="005A35DD">
        <w:t>).</w:t>
      </w:r>
    </w:p>
    <w:p w:rsidR="00CB095A" w:rsidRPr="00CB095A" w:rsidRDefault="00CB095A" w:rsidP="006E4D78">
      <w:pPr>
        <w:rPr>
          <w:b/>
        </w:rPr>
      </w:pPr>
      <w:r w:rsidRPr="00CB095A">
        <w:rPr>
          <w:b/>
        </w:rPr>
        <w:t>Spastic</w:t>
      </w:r>
      <w:r w:rsidR="008D5CD5">
        <w:rPr>
          <w:b/>
        </w:rPr>
        <w:t>ity Management using Botulinum Neurot</w:t>
      </w:r>
      <w:r w:rsidRPr="00CB095A">
        <w:rPr>
          <w:b/>
        </w:rPr>
        <w:t>oxin:</w:t>
      </w:r>
    </w:p>
    <w:p w:rsidR="00C16CF2" w:rsidRDefault="008D5CD5" w:rsidP="00B66732">
      <w:pPr>
        <w:jc w:val="both"/>
      </w:pPr>
      <w:r>
        <w:t xml:space="preserve">There is evidence for Botulinum Neurotoxin (BNT) </w:t>
      </w:r>
      <w:r w:rsidR="00B66732" w:rsidRPr="00A81107">
        <w:t xml:space="preserve">as an effective intervention for managing spasticity (RCP, 2009).  </w:t>
      </w:r>
      <w:r>
        <w:t xml:space="preserve">BNT </w:t>
      </w:r>
      <w:r w:rsidR="00B66732" w:rsidRPr="00940BA2">
        <w:t>works by altering the function of th</w:t>
      </w:r>
      <w:r w:rsidR="00B66732">
        <w:t>e n</w:t>
      </w:r>
      <w:r w:rsidR="005A35DD">
        <w:t xml:space="preserve">euromuscular junction, which weakens </w:t>
      </w:r>
      <w:r w:rsidR="00B66732" w:rsidRPr="00940BA2">
        <w:t>contraction of the injected muscles</w:t>
      </w:r>
      <w:r w:rsidR="00B66732">
        <w:t>.</w:t>
      </w:r>
      <w:r w:rsidR="00B66732" w:rsidRPr="00940BA2">
        <w:t xml:space="preserve"> </w:t>
      </w:r>
      <w:r w:rsidR="00B66732" w:rsidRPr="00B66732">
        <w:t xml:space="preserve">The clinical effect develops over four to seven days and alters </w:t>
      </w:r>
      <w:r w:rsidR="00A34B76" w:rsidRPr="00B66732">
        <w:t xml:space="preserve">neuromuscular </w:t>
      </w:r>
      <w:r w:rsidR="00B66732" w:rsidRPr="00B66732">
        <w:t>functio</w:t>
      </w:r>
      <w:r>
        <w:t xml:space="preserve">n for 12-16 weeks.  </w:t>
      </w:r>
      <w:r w:rsidR="00B66732" w:rsidRPr="00B66732">
        <w:t>Clinical weakness can be detecte</w:t>
      </w:r>
      <w:r w:rsidR="00B83977">
        <w:t xml:space="preserve">d in the injected muscle during this timeframe </w:t>
      </w:r>
      <w:r w:rsidR="00B66732" w:rsidRPr="00B66732">
        <w:t>(Shaw et al, 2011).</w:t>
      </w:r>
      <w:r w:rsidR="00C16CF2">
        <w:t xml:space="preserve">  Botulinum Toxin is marketed by </w:t>
      </w:r>
      <w:r w:rsidR="00FD4F1B">
        <w:t xml:space="preserve">two companies in New Zealand - </w:t>
      </w:r>
      <w:r w:rsidR="00C16CF2">
        <w:t xml:space="preserve">Botox or </w:t>
      </w:r>
      <w:proofErr w:type="spellStart"/>
      <w:r w:rsidR="00C16CF2">
        <w:t>Dysport</w:t>
      </w:r>
      <w:proofErr w:type="spellEnd"/>
      <w:r w:rsidR="00C16CF2">
        <w:t xml:space="preserve">. </w:t>
      </w:r>
    </w:p>
    <w:p w:rsidR="00B66732" w:rsidRPr="005632F0" w:rsidRDefault="00B66732" w:rsidP="00B66732">
      <w:pPr>
        <w:jc w:val="both"/>
        <w:rPr>
          <w:i/>
        </w:rPr>
      </w:pPr>
      <w:r w:rsidRPr="005632F0">
        <w:rPr>
          <w:i/>
        </w:rPr>
        <w:t>The</w:t>
      </w:r>
      <w:r w:rsidRPr="002D4A5A">
        <w:rPr>
          <w:b/>
          <w:i/>
        </w:rPr>
        <w:t xml:space="preserve"> </w:t>
      </w:r>
      <w:r w:rsidR="008D5CD5" w:rsidRPr="002D4A5A">
        <w:rPr>
          <w:b/>
          <w:i/>
        </w:rPr>
        <w:t>‘</w:t>
      </w:r>
      <w:r w:rsidRPr="002D4A5A">
        <w:rPr>
          <w:b/>
          <w:i/>
        </w:rPr>
        <w:t>Spasticity in Adults: Management using Botulinum Toxin National Guidelines</w:t>
      </w:r>
      <w:r w:rsidR="008D5CD5" w:rsidRPr="002D4A5A">
        <w:rPr>
          <w:b/>
          <w:i/>
        </w:rPr>
        <w:t xml:space="preserve">’ </w:t>
      </w:r>
      <w:r w:rsidRPr="005632F0">
        <w:rPr>
          <w:i/>
        </w:rPr>
        <w:t xml:space="preserve">were published by the Royal College of Physicians (RCP) in 2009.  These are a useful resource for more in </w:t>
      </w:r>
      <w:r w:rsidR="008A4FB6" w:rsidRPr="005632F0">
        <w:rPr>
          <w:i/>
        </w:rPr>
        <w:t>depth</w:t>
      </w:r>
      <w:r w:rsidR="008D5CD5" w:rsidRPr="005632F0">
        <w:rPr>
          <w:i/>
        </w:rPr>
        <w:t xml:space="preserve"> information on BNT </w:t>
      </w:r>
      <w:r w:rsidRPr="005632F0">
        <w:rPr>
          <w:i/>
        </w:rPr>
        <w:t>for spasticity.</w:t>
      </w:r>
    </w:p>
    <w:p w:rsidR="00681B6E" w:rsidRDefault="006E4D78" w:rsidP="003F0204">
      <w:pPr>
        <w:spacing w:after="0"/>
      </w:pPr>
      <w:r>
        <w:t>The primary goals of mana</w:t>
      </w:r>
      <w:r w:rsidR="00A56E18">
        <w:t>ging post-stroke spasticity include</w:t>
      </w:r>
      <w:r w:rsidR="00681B6E">
        <w:t>:</w:t>
      </w:r>
    </w:p>
    <w:p w:rsidR="00681B6E" w:rsidRDefault="00681B6E" w:rsidP="003F0204">
      <w:pPr>
        <w:pStyle w:val="ListParagraph"/>
        <w:numPr>
          <w:ilvl w:val="0"/>
          <w:numId w:val="1"/>
        </w:numPr>
        <w:spacing w:after="0"/>
      </w:pPr>
      <w:r>
        <w:t>To reduce disability</w:t>
      </w:r>
      <w:r w:rsidR="006E4D78">
        <w:t xml:space="preserve"> </w:t>
      </w:r>
    </w:p>
    <w:p w:rsidR="00681B6E" w:rsidRDefault="00681B6E" w:rsidP="003F0204">
      <w:pPr>
        <w:pStyle w:val="ListParagraph"/>
        <w:numPr>
          <w:ilvl w:val="0"/>
          <w:numId w:val="1"/>
        </w:numPr>
        <w:spacing w:after="0"/>
      </w:pPr>
      <w:r>
        <w:t>T</w:t>
      </w:r>
      <w:r w:rsidR="006E4D78">
        <w:t xml:space="preserve">o </w:t>
      </w:r>
      <w:r>
        <w:t>avoid progression of impairment</w:t>
      </w:r>
      <w:r w:rsidR="006E4D78">
        <w:t xml:space="preserve"> </w:t>
      </w:r>
    </w:p>
    <w:p w:rsidR="00681B6E" w:rsidRDefault="00681B6E" w:rsidP="003F0204">
      <w:pPr>
        <w:pStyle w:val="ListParagraph"/>
        <w:numPr>
          <w:ilvl w:val="0"/>
          <w:numId w:val="1"/>
        </w:numPr>
        <w:spacing w:after="0"/>
      </w:pPr>
      <w:r>
        <w:t>T</w:t>
      </w:r>
      <w:r w:rsidR="006E4D78">
        <w:t xml:space="preserve">o </w:t>
      </w:r>
      <w:r>
        <w:t>provide relief from symptoms</w:t>
      </w:r>
      <w:r w:rsidR="006E4D78">
        <w:t xml:space="preserve"> </w:t>
      </w:r>
    </w:p>
    <w:p w:rsidR="00681B6E" w:rsidRDefault="00681B6E" w:rsidP="003F0204">
      <w:pPr>
        <w:pStyle w:val="ListParagraph"/>
        <w:numPr>
          <w:ilvl w:val="0"/>
          <w:numId w:val="1"/>
        </w:numPr>
        <w:spacing w:after="0"/>
      </w:pPr>
      <w:r>
        <w:t>T</w:t>
      </w:r>
      <w:r w:rsidR="006E4D78">
        <w:t>o improve quality of life of the pati</w:t>
      </w:r>
      <w:r w:rsidR="005632F0">
        <w:t>ent as well as their caregivers.</w:t>
      </w:r>
    </w:p>
    <w:p w:rsidR="00A81107" w:rsidRDefault="006E4D78" w:rsidP="003F0204">
      <w:pPr>
        <w:spacing w:after="0"/>
        <w:ind w:left="360"/>
      </w:pPr>
      <w:r>
        <w:t>(RCP, 2009; Barnes &amp; Johnson, 2008).</w:t>
      </w:r>
    </w:p>
    <w:p w:rsidR="00CB6501" w:rsidRDefault="00CB6501" w:rsidP="00CB6501">
      <w:pPr>
        <w:pStyle w:val="Heading2"/>
      </w:pPr>
      <w:r>
        <w:t>Competencies required</w:t>
      </w:r>
    </w:p>
    <w:p w:rsidR="00CB6501" w:rsidRDefault="008A4FB6" w:rsidP="00CB6501">
      <w:r>
        <w:t xml:space="preserve">Botulinum Toxin </w:t>
      </w:r>
      <w:r w:rsidR="003A0782">
        <w:t>is a registered medication and can only be administered by a medical doctor in New Zealand.</w:t>
      </w:r>
    </w:p>
    <w:p w:rsidR="00CB6501" w:rsidRDefault="003A0782" w:rsidP="00EF2ED0">
      <w:pPr>
        <w:jc w:val="both"/>
      </w:pPr>
      <w:r>
        <w:t xml:space="preserve">Assessment for </w:t>
      </w:r>
      <w:r w:rsidR="00EF2ED0">
        <w:t xml:space="preserve">Botulinum Toxin intervention and </w:t>
      </w:r>
      <w:r w:rsidR="00E5364D">
        <w:t xml:space="preserve">provision of </w:t>
      </w:r>
      <w:r w:rsidR="00EF2ED0">
        <w:t>follow-up therapy is undertaken by an Occupational Therapist or Physiotherapist.</w:t>
      </w:r>
    </w:p>
    <w:p w:rsidR="00CB6501" w:rsidRDefault="00CB6501" w:rsidP="00CB6501">
      <w:pPr>
        <w:pStyle w:val="Heading2"/>
      </w:pPr>
      <w:r>
        <w:t>Equipment required</w:t>
      </w:r>
    </w:p>
    <w:p w:rsidR="00CB6501" w:rsidRDefault="006A1282" w:rsidP="00CB6501">
      <w:r>
        <w:t>See ‘Intervention’ below</w:t>
      </w:r>
      <w:r w:rsidR="003F0204">
        <w:t>.</w:t>
      </w:r>
    </w:p>
    <w:p w:rsidR="008D5CD5" w:rsidRDefault="00CB6501" w:rsidP="006A1282">
      <w:pPr>
        <w:pStyle w:val="Heading2"/>
      </w:pPr>
      <w:r>
        <w:t>Procedure</w:t>
      </w:r>
    </w:p>
    <w:p w:rsidR="00BE64DF" w:rsidRPr="00F01BD0" w:rsidRDefault="00BE64DF" w:rsidP="003F0204">
      <w:pPr>
        <w:spacing w:after="0"/>
        <w:rPr>
          <w:b/>
        </w:rPr>
      </w:pPr>
      <w:r w:rsidRPr="00F01BD0">
        <w:rPr>
          <w:b/>
        </w:rPr>
        <w:t>Key points for effective spasticity management us</w:t>
      </w:r>
      <w:r w:rsidR="002D4A5A" w:rsidRPr="00F01BD0">
        <w:rPr>
          <w:b/>
        </w:rPr>
        <w:t>ing Botulinum Neurotoxin</w:t>
      </w:r>
      <w:r w:rsidRPr="00F01BD0">
        <w:rPr>
          <w:b/>
        </w:rPr>
        <w:t>:</w:t>
      </w:r>
    </w:p>
    <w:p w:rsidR="00BE64DF" w:rsidRDefault="00BE64DF" w:rsidP="003F0204">
      <w:pPr>
        <w:pStyle w:val="ListParagraph"/>
        <w:numPr>
          <w:ilvl w:val="0"/>
          <w:numId w:val="8"/>
        </w:numPr>
        <w:spacing w:after="0" w:line="240" w:lineRule="auto"/>
      </w:pPr>
      <w:r>
        <w:lastRenderedPageBreak/>
        <w:t xml:space="preserve">Appropriate patient selection </w:t>
      </w:r>
    </w:p>
    <w:p w:rsidR="00BE64DF" w:rsidRDefault="00BE64DF" w:rsidP="003F0204">
      <w:pPr>
        <w:pStyle w:val="ListParagraph"/>
        <w:numPr>
          <w:ilvl w:val="0"/>
          <w:numId w:val="8"/>
        </w:numPr>
        <w:spacing w:after="0" w:line="240" w:lineRule="auto"/>
      </w:pPr>
      <w:r>
        <w:t>Development of clear goals for intervention</w:t>
      </w:r>
    </w:p>
    <w:p w:rsidR="00876FB4" w:rsidRDefault="00876FB4" w:rsidP="003F0204">
      <w:pPr>
        <w:pStyle w:val="ListParagraph"/>
        <w:numPr>
          <w:ilvl w:val="0"/>
          <w:numId w:val="8"/>
        </w:numPr>
        <w:spacing w:after="0" w:line="240" w:lineRule="auto"/>
      </w:pPr>
      <w:r>
        <w:t>Provision of information on treatment and consent</w:t>
      </w:r>
    </w:p>
    <w:p w:rsidR="00876FB4" w:rsidRDefault="00876FB4" w:rsidP="003F0204">
      <w:pPr>
        <w:pStyle w:val="ListParagraph"/>
        <w:numPr>
          <w:ilvl w:val="0"/>
          <w:numId w:val="8"/>
        </w:numPr>
        <w:spacing w:after="0" w:line="240" w:lineRule="auto"/>
      </w:pPr>
      <w:r>
        <w:t>Muscle selection agreed between treating clinician and ID</w:t>
      </w:r>
      <w:r w:rsidR="006A1282">
        <w:t>T</w:t>
      </w:r>
    </w:p>
    <w:p w:rsidR="00BE64DF" w:rsidRDefault="00BE64DF" w:rsidP="003F0204">
      <w:pPr>
        <w:pStyle w:val="ListParagraph"/>
        <w:numPr>
          <w:ilvl w:val="0"/>
          <w:numId w:val="8"/>
        </w:numPr>
        <w:spacing w:after="0" w:line="240" w:lineRule="auto"/>
      </w:pPr>
      <w:r>
        <w:t xml:space="preserve">Appropriate follow-up therapy </w:t>
      </w:r>
    </w:p>
    <w:p w:rsidR="00BE64DF" w:rsidRDefault="00BE64DF" w:rsidP="003F0204">
      <w:pPr>
        <w:pStyle w:val="ListParagraph"/>
        <w:numPr>
          <w:ilvl w:val="0"/>
          <w:numId w:val="8"/>
        </w:numPr>
        <w:spacing w:after="0" w:line="240" w:lineRule="auto"/>
      </w:pPr>
      <w:r>
        <w:t>A collaborative interdisciplinary approach</w:t>
      </w:r>
      <w:r w:rsidR="003F0204">
        <w:t>.</w:t>
      </w:r>
    </w:p>
    <w:p w:rsidR="008D5CD5" w:rsidRPr="00BE64DF" w:rsidRDefault="008D5CD5" w:rsidP="008D5CD5">
      <w:pPr>
        <w:spacing w:after="0" w:line="240" w:lineRule="auto"/>
      </w:pPr>
    </w:p>
    <w:p w:rsidR="00EF2ED0" w:rsidRPr="00F01BD0" w:rsidRDefault="00EF2ED0" w:rsidP="00CB6501">
      <w:pPr>
        <w:rPr>
          <w:b/>
        </w:rPr>
      </w:pPr>
      <w:r w:rsidRPr="00F01BD0">
        <w:rPr>
          <w:b/>
        </w:rPr>
        <w:t>Patient Selection</w:t>
      </w:r>
    </w:p>
    <w:p w:rsidR="00EF2ED0" w:rsidRDefault="00E40053" w:rsidP="003F0204">
      <w:pPr>
        <w:spacing w:after="0" w:line="240" w:lineRule="auto"/>
      </w:pPr>
      <w:r>
        <w:t>P</w:t>
      </w:r>
      <w:r w:rsidR="00EF2ED0" w:rsidRPr="00EF2ED0">
        <w:t>atients should be selected on the basis of:</w:t>
      </w:r>
    </w:p>
    <w:p w:rsidR="009F46D7" w:rsidRDefault="009F46D7" w:rsidP="003F0204">
      <w:pPr>
        <w:pStyle w:val="ListParagraph"/>
        <w:numPr>
          <w:ilvl w:val="0"/>
          <w:numId w:val="5"/>
        </w:numPr>
        <w:spacing w:after="0" w:line="240" w:lineRule="auto"/>
      </w:pPr>
      <w:r>
        <w:t>Problem attributed to focal or multi-focal UL spasticity, rather than fixed contracture</w:t>
      </w:r>
    </w:p>
    <w:p w:rsidR="009F46D7" w:rsidRDefault="009F46D7" w:rsidP="003F0204">
      <w:pPr>
        <w:pStyle w:val="ListParagraph"/>
        <w:numPr>
          <w:ilvl w:val="0"/>
          <w:numId w:val="5"/>
        </w:numPr>
        <w:spacing w:after="0" w:line="240" w:lineRule="auto"/>
      </w:pPr>
      <w:r>
        <w:t>Provocative factors for spasticity have been excluded or treated</w:t>
      </w:r>
    </w:p>
    <w:p w:rsidR="009F46D7" w:rsidRDefault="009F46D7" w:rsidP="003F0204">
      <w:pPr>
        <w:pStyle w:val="ListParagraph"/>
        <w:numPr>
          <w:ilvl w:val="0"/>
          <w:numId w:val="5"/>
        </w:numPr>
        <w:spacing w:after="0" w:line="240" w:lineRule="auto"/>
      </w:pPr>
      <w:r>
        <w:t>Condit</w:t>
      </w:r>
      <w:r w:rsidR="002D4A5A">
        <w:t xml:space="preserve">ion likely to respond to BNT </w:t>
      </w:r>
      <w:r>
        <w:t>injection</w:t>
      </w:r>
    </w:p>
    <w:p w:rsidR="009F46D7" w:rsidRDefault="002D4A5A" w:rsidP="003F0204">
      <w:pPr>
        <w:pStyle w:val="ListParagraph"/>
        <w:numPr>
          <w:ilvl w:val="0"/>
          <w:numId w:val="5"/>
        </w:numPr>
        <w:spacing w:after="0" w:line="240" w:lineRule="auto"/>
      </w:pPr>
      <w:r>
        <w:t xml:space="preserve">No contraindications to BNT </w:t>
      </w:r>
      <w:r w:rsidR="009F46D7">
        <w:t>injection</w:t>
      </w:r>
    </w:p>
    <w:p w:rsidR="009F46D7" w:rsidRDefault="009F46D7" w:rsidP="003F0204">
      <w:pPr>
        <w:pStyle w:val="ListParagraph"/>
        <w:numPr>
          <w:ilvl w:val="0"/>
          <w:numId w:val="5"/>
        </w:numPr>
        <w:spacing w:after="0" w:line="240" w:lineRule="auto"/>
      </w:pPr>
      <w:r>
        <w:t>Goals of treatment have been determined, with patient input</w:t>
      </w:r>
    </w:p>
    <w:p w:rsidR="009F46D7" w:rsidRDefault="009F46D7" w:rsidP="003F0204">
      <w:pPr>
        <w:pStyle w:val="ListParagraph"/>
        <w:numPr>
          <w:ilvl w:val="0"/>
          <w:numId w:val="5"/>
        </w:numPr>
        <w:spacing w:after="0" w:line="240" w:lineRule="auto"/>
      </w:pPr>
      <w:r>
        <w:t>Arrangements in place for implementation of appropriate physical treatment strategies and monitoring</w:t>
      </w:r>
    </w:p>
    <w:p w:rsidR="009F46D7" w:rsidRDefault="009F46D7" w:rsidP="003F0204">
      <w:pPr>
        <w:pStyle w:val="ListParagraph"/>
        <w:numPr>
          <w:ilvl w:val="0"/>
          <w:numId w:val="5"/>
        </w:numPr>
        <w:spacing w:after="0" w:line="240" w:lineRule="auto"/>
      </w:pPr>
      <w:r>
        <w:t>Appropriate outcome measures identified</w:t>
      </w:r>
    </w:p>
    <w:p w:rsidR="009F46D7" w:rsidRPr="00EF2ED0" w:rsidRDefault="009F46D7" w:rsidP="003F0204">
      <w:pPr>
        <w:pStyle w:val="ListParagraph"/>
        <w:numPr>
          <w:ilvl w:val="0"/>
          <w:numId w:val="5"/>
        </w:numPr>
        <w:spacing w:after="0" w:line="240" w:lineRule="auto"/>
      </w:pPr>
      <w:r>
        <w:t>Informed consent for treatment from patient, or family assents on their behalf</w:t>
      </w:r>
      <w:r w:rsidR="003F0204">
        <w:t>.</w:t>
      </w:r>
    </w:p>
    <w:p w:rsidR="008D5CD5" w:rsidRPr="003F0204" w:rsidRDefault="009F46D7" w:rsidP="003F0204">
      <w:pPr>
        <w:spacing w:after="0" w:line="240" w:lineRule="auto"/>
      </w:pPr>
      <w:r>
        <w:t xml:space="preserve"> </w:t>
      </w:r>
      <w:r w:rsidR="00E40053">
        <w:t>(RCP, 2009)</w:t>
      </w:r>
    </w:p>
    <w:p w:rsidR="003F0204" w:rsidRDefault="003F0204" w:rsidP="00E751E3">
      <w:pPr>
        <w:jc w:val="both"/>
        <w:rPr>
          <w:b/>
          <w:u w:val="single"/>
        </w:rPr>
      </w:pPr>
    </w:p>
    <w:p w:rsidR="003F0204" w:rsidRPr="00F01BD0" w:rsidRDefault="00601065" w:rsidP="003F0204">
      <w:pPr>
        <w:jc w:val="both"/>
        <w:rPr>
          <w:b/>
        </w:rPr>
      </w:pPr>
      <w:r w:rsidRPr="00F01BD0">
        <w:rPr>
          <w:b/>
        </w:rPr>
        <w:t>Assessment:</w:t>
      </w:r>
    </w:p>
    <w:p w:rsidR="003F0204" w:rsidRPr="003F0204" w:rsidRDefault="006672AE" w:rsidP="003F0204">
      <w:pPr>
        <w:spacing w:after="0"/>
        <w:jc w:val="both"/>
        <w:rPr>
          <w:b/>
          <w:u w:val="single"/>
        </w:rPr>
      </w:pPr>
      <w:r>
        <w:t>E</w:t>
      </w:r>
      <w:r w:rsidR="004F4D06" w:rsidRPr="004F4D06">
        <w:t xml:space="preserve">valuation of the impact of interventions should include measurement at the </w:t>
      </w:r>
      <w:r>
        <w:t xml:space="preserve">ICF </w:t>
      </w:r>
      <w:r w:rsidR="004F4D06" w:rsidRPr="004F4D06">
        <w:t>levels of</w:t>
      </w:r>
      <w:r>
        <w:t xml:space="preserve"> Impairm</w:t>
      </w:r>
      <w:r w:rsidR="00DF5D67">
        <w:t>ent, Activity and P</w:t>
      </w:r>
      <w:r>
        <w:t>articipation (RCP, 2009).</w:t>
      </w:r>
      <w:r w:rsidR="00E751E3">
        <w:t xml:space="preserve">  These should be completed pre- and post-intervention.</w:t>
      </w:r>
    </w:p>
    <w:p w:rsidR="006672AE" w:rsidRDefault="006672AE" w:rsidP="003F0204">
      <w:pPr>
        <w:spacing w:after="0"/>
        <w:jc w:val="both"/>
      </w:pPr>
      <w:r>
        <w:t>Th</w:t>
      </w:r>
      <w:r w:rsidR="00601065">
        <w:t>e f</w:t>
      </w:r>
      <w:r w:rsidR="00AF6833">
        <w:t>ollowing outcome measures can</w:t>
      </w:r>
      <w:r>
        <w:t xml:space="preserve"> be considered:</w:t>
      </w:r>
    </w:p>
    <w:tbl>
      <w:tblPr>
        <w:tblStyle w:val="TableGrid"/>
        <w:tblW w:w="0" w:type="auto"/>
        <w:tblLook w:val="04A0" w:firstRow="1" w:lastRow="0" w:firstColumn="1" w:lastColumn="0" w:noHBand="0" w:noVBand="1"/>
      </w:tblPr>
      <w:tblGrid>
        <w:gridCol w:w="4508"/>
        <w:gridCol w:w="4508"/>
      </w:tblGrid>
      <w:tr w:rsidR="006672AE" w:rsidTr="006672AE">
        <w:tc>
          <w:tcPr>
            <w:tcW w:w="4508" w:type="dxa"/>
          </w:tcPr>
          <w:p w:rsidR="006672AE" w:rsidRPr="00B83EA2" w:rsidRDefault="006672AE" w:rsidP="00B83EA2">
            <w:pPr>
              <w:jc w:val="center"/>
              <w:rPr>
                <w:b/>
              </w:rPr>
            </w:pPr>
            <w:r w:rsidRPr="00B83EA2">
              <w:rPr>
                <w:b/>
              </w:rPr>
              <w:t>ICF Level</w:t>
            </w:r>
          </w:p>
        </w:tc>
        <w:tc>
          <w:tcPr>
            <w:tcW w:w="4508" w:type="dxa"/>
          </w:tcPr>
          <w:p w:rsidR="006672AE" w:rsidRPr="00B83EA2" w:rsidRDefault="006672AE" w:rsidP="00B83EA2">
            <w:pPr>
              <w:jc w:val="center"/>
              <w:rPr>
                <w:b/>
              </w:rPr>
            </w:pPr>
            <w:r w:rsidRPr="00B83EA2">
              <w:rPr>
                <w:b/>
              </w:rPr>
              <w:t>Outcome Measure</w:t>
            </w:r>
          </w:p>
        </w:tc>
      </w:tr>
      <w:tr w:rsidR="006672AE" w:rsidTr="006672AE">
        <w:tc>
          <w:tcPr>
            <w:tcW w:w="4508" w:type="dxa"/>
          </w:tcPr>
          <w:p w:rsidR="006672AE" w:rsidRPr="00601065" w:rsidRDefault="00B924F8" w:rsidP="00CB6501">
            <w:pPr>
              <w:rPr>
                <w:b/>
              </w:rPr>
            </w:pPr>
            <w:r w:rsidRPr="00601065">
              <w:rPr>
                <w:b/>
              </w:rPr>
              <w:t>Impairment</w:t>
            </w:r>
          </w:p>
        </w:tc>
        <w:tc>
          <w:tcPr>
            <w:tcW w:w="4508" w:type="dxa"/>
          </w:tcPr>
          <w:p w:rsidR="006672AE" w:rsidRDefault="00B924F8" w:rsidP="00CB6501">
            <w:r>
              <w:t>Tardieu</w:t>
            </w:r>
            <w:r w:rsidR="0085189E">
              <w:t xml:space="preserve"> Scale</w:t>
            </w:r>
          </w:p>
          <w:p w:rsidR="00B924F8" w:rsidRDefault="00B924F8" w:rsidP="00CB6501">
            <w:r>
              <w:t>Modified Ashworth Scale</w:t>
            </w:r>
          </w:p>
          <w:p w:rsidR="00B924F8" w:rsidRDefault="00B924F8" w:rsidP="00CB6501">
            <w:r>
              <w:t>Range of motion</w:t>
            </w:r>
            <w:r w:rsidR="0085189E">
              <w:t xml:space="preserve"> measurements</w:t>
            </w:r>
          </w:p>
          <w:p w:rsidR="00D524BB" w:rsidRDefault="00D524BB" w:rsidP="00CB6501">
            <w:r>
              <w:t xml:space="preserve">Pain </w:t>
            </w:r>
            <w:r w:rsidR="0085189E">
              <w:t xml:space="preserve">rating </w:t>
            </w:r>
            <w:r>
              <w:t>(V</w:t>
            </w:r>
            <w:r w:rsidR="0085189E">
              <w:t xml:space="preserve">isual </w:t>
            </w:r>
            <w:r>
              <w:t>A</w:t>
            </w:r>
            <w:r w:rsidR="0085189E">
              <w:t xml:space="preserve">nalogue </w:t>
            </w:r>
            <w:r>
              <w:t>S</w:t>
            </w:r>
            <w:r w:rsidR="0085189E">
              <w:t>cale</w:t>
            </w:r>
            <w:r>
              <w:t>)</w:t>
            </w:r>
          </w:p>
          <w:p w:rsidR="00D524BB" w:rsidRDefault="00D524BB" w:rsidP="00CB6501">
            <w:r>
              <w:t>Spasm frequency count</w:t>
            </w:r>
          </w:p>
          <w:p w:rsidR="00D524BB" w:rsidRDefault="00D524BB" w:rsidP="00CB6501">
            <w:r>
              <w:t>Photos of joint position</w:t>
            </w:r>
          </w:p>
        </w:tc>
      </w:tr>
      <w:tr w:rsidR="006672AE" w:rsidTr="006672AE">
        <w:tc>
          <w:tcPr>
            <w:tcW w:w="4508" w:type="dxa"/>
          </w:tcPr>
          <w:p w:rsidR="006672AE" w:rsidRPr="00601065" w:rsidRDefault="00B924F8" w:rsidP="00CB6501">
            <w:pPr>
              <w:rPr>
                <w:b/>
              </w:rPr>
            </w:pPr>
            <w:r w:rsidRPr="00601065">
              <w:rPr>
                <w:b/>
              </w:rPr>
              <w:t xml:space="preserve">Activity </w:t>
            </w:r>
          </w:p>
          <w:p w:rsidR="00B924F8" w:rsidRDefault="00B924F8" w:rsidP="00CB6501">
            <w:r>
              <w:t>(Consider both active and passive)</w:t>
            </w:r>
          </w:p>
        </w:tc>
        <w:tc>
          <w:tcPr>
            <w:tcW w:w="4508" w:type="dxa"/>
          </w:tcPr>
          <w:p w:rsidR="00D524BB" w:rsidRPr="00601065" w:rsidRDefault="00D524BB" w:rsidP="00CB6501">
            <w:pPr>
              <w:rPr>
                <w:b/>
              </w:rPr>
            </w:pPr>
            <w:r w:rsidRPr="00601065">
              <w:rPr>
                <w:b/>
              </w:rPr>
              <w:t>Active:</w:t>
            </w:r>
          </w:p>
          <w:p w:rsidR="00D524BB" w:rsidRDefault="00D524BB" w:rsidP="00CB6501">
            <w:r>
              <w:t>Canadian Outcome Performance Measure (COPM)</w:t>
            </w:r>
          </w:p>
          <w:p w:rsidR="00D524BB" w:rsidRDefault="00D524BB" w:rsidP="00CB6501">
            <w:r>
              <w:t>Goal Attainment Scaling (GAS)</w:t>
            </w:r>
          </w:p>
          <w:p w:rsidR="00D524BB" w:rsidRDefault="00D524BB" w:rsidP="00CB6501">
            <w:r>
              <w:t>Arm Activity Scale (</w:t>
            </w:r>
            <w:proofErr w:type="spellStart"/>
            <w:r>
              <w:t>ArmA</w:t>
            </w:r>
            <w:proofErr w:type="spellEnd"/>
            <w:r>
              <w:t>)</w:t>
            </w:r>
          </w:p>
          <w:p w:rsidR="0085189E" w:rsidRDefault="0085189E" w:rsidP="00CB6501">
            <w:r>
              <w:t>UL Motor Assessment Scale</w:t>
            </w:r>
          </w:p>
          <w:p w:rsidR="0085189E" w:rsidRDefault="0085189E" w:rsidP="00CB6501">
            <w:r>
              <w:t>Photos/videos</w:t>
            </w:r>
          </w:p>
          <w:p w:rsidR="00D524BB" w:rsidRPr="00601065" w:rsidRDefault="00D524BB" w:rsidP="00CB6501">
            <w:pPr>
              <w:rPr>
                <w:b/>
              </w:rPr>
            </w:pPr>
            <w:r w:rsidRPr="00601065">
              <w:rPr>
                <w:b/>
              </w:rPr>
              <w:t>Passive:</w:t>
            </w:r>
          </w:p>
          <w:p w:rsidR="006672AE" w:rsidRDefault="00D524BB" w:rsidP="00CB6501">
            <w:r>
              <w:t>Arm Activity Scale (</w:t>
            </w:r>
            <w:proofErr w:type="spellStart"/>
            <w:r w:rsidR="00B924F8">
              <w:t>ArMA</w:t>
            </w:r>
            <w:proofErr w:type="spellEnd"/>
            <w:r>
              <w:t>)</w:t>
            </w:r>
          </w:p>
          <w:p w:rsidR="00B924F8" w:rsidRDefault="00D524BB" w:rsidP="00CB6501">
            <w:r w:rsidRPr="00D524BB">
              <w:t>Leeds Adult Spasticity Impact Scale (LASIS)</w:t>
            </w:r>
          </w:p>
          <w:p w:rsidR="00D524BB" w:rsidRDefault="00D524BB" w:rsidP="00CB6501">
            <w:r>
              <w:t>Carer rating of ease of care (VAS)</w:t>
            </w:r>
          </w:p>
        </w:tc>
      </w:tr>
      <w:tr w:rsidR="006672AE" w:rsidTr="006672AE">
        <w:tc>
          <w:tcPr>
            <w:tcW w:w="4508" w:type="dxa"/>
          </w:tcPr>
          <w:p w:rsidR="006672AE" w:rsidRPr="00601065" w:rsidRDefault="00B924F8" w:rsidP="00CB6501">
            <w:pPr>
              <w:rPr>
                <w:b/>
              </w:rPr>
            </w:pPr>
            <w:r w:rsidRPr="00601065">
              <w:rPr>
                <w:b/>
              </w:rPr>
              <w:t>Participation</w:t>
            </w:r>
          </w:p>
        </w:tc>
        <w:tc>
          <w:tcPr>
            <w:tcW w:w="4508" w:type="dxa"/>
          </w:tcPr>
          <w:p w:rsidR="006672AE" w:rsidRDefault="0085189E" w:rsidP="00CB6501">
            <w:r w:rsidRPr="0085189E">
              <w:t>Stroke Specific Quality of Life Scale (SS-</w:t>
            </w:r>
            <w:proofErr w:type="spellStart"/>
            <w:r w:rsidRPr="0085189E">
              <w:t>QoL</w:t>
            </w:r>
            <w:proofErr w:type="spellEnd"/>
            <w:r w:rsidRPr="0085189E">
              <w:t>)</w:t>
            </w:r>
          </w:p>
          <w:p w:rsidR="0085189E" w:rsidRDefault="0085189E" w:rsidP="00CB6501">
            <w:r>
              <w:t>Self-rated body image</w:t>
            </w:r>
          </w:p>
          <w:p w:rsidR="0085189E" w:rsidRDefault="0085189E" w:rsidP="00CB6501">
            <w:r>
              <w:t>Photos/videos</w:t>
            </w:r>
          </w:p>
        </w:tc>
      </w:tr>
    </w:tbl>
    <w:p w:rsidR="006672AE" w:rsidRDefault="006672AE" w:rsidP="00CB6501">
      <w:bookmarkStart w:id="0" w:name="_GoBack"/>
      <w:bookmarkEnd w:id="0"/>
    </w:p>
    <w:p w:rsidR="00BE64DF" w:rsidRPr="00F01BD0" w:rsidRDefault="00BE64DF" w:rsidP="006672AE">
      <w:pPr>
        <w:spacing w:after="0"/>
        <w:rPr>
          <w:b/>
        </w:rPr>
      </w:pPr>
      <w:r w:rsidRPr="00F01BD0">
        <w:rPr>
          <w:b/>
        </w:rPr>
        <w:lastRenderedPageBreak/>
        <w:t>Intervention:</w:t>
      </w:r>
    </w:p>
    <w:p w:rsidR="00BE64DF" w:rsidRDefault="00BE64DF" w:rsidP="006A1282">
      <w:pPr>
        <w:pStyle w:val="ListParagraph"/>
        <w:numPr>
          <w:ilvl w:val="0"/>
          <w:numId w:val="11"/>
        </w:numPr>
        <w:spacing w:after="0"/>
        <w:jc w:val="both"/>
      </w:pPr>
      <w:r>
        <w:t xml:space="preserve">Unopened vials of Botox® and </w:t>
      </w:r>
      <w:proofErr w:type="spellStart"/>
      <w:r>
        <w:t>Dysport</w:t>
      </w:r>
      <w:proofErr w:type="spellEnd"/>
      <w:r>
        <w:t xml:space="preserve">® should be stored at temperatures between 2–8°C. </w:t>
      </w:r>
    </w:p>
    <w:p w:rsidR="00BE64DF" w:rsidRDefault="006A1282" w:rsidP="006A1282">
      <w:pPr>
        <w:pStyle w:val="ListParagraph"/>
        <w:numPr>
          <w:ilvl w:val="0"/>
          <w:numId w:val="11"/>
        </w:numPr>
        <w:spacing w:after="0"/>
        <w:jc w:val="both"/>
      </w:pPr>
      <w:r>
        <w:t>Once r</w:t>
      </w:r>
      <w:r w:rsidR="00BE64DF">
        <w:t xml:space="preserve">econstituted, </w:t>
      </w:r>
      <w:proofErr w:type="spellStart"/>
      <w:r w:rsidR="00BE64DF">
        <w:t>Dysport</w:t>
      </w:r>
      <w:proofErr w:type="spellEnd"/>
      <w:r w:rsidR="00BE64DF">
        <w:t>® is stable for up to eight hours in a refrigerator at 2–8°C and Botox® may</w:t>
      </w:r>
      <w:r>
        <w:t xml:space="preserve"> </w:t>
      </w:r>
      <w:r w:rsidR="00BE64DF">
        <w:t>be stored in a refrigerator at 2–8°C for up to 24 hours</w:t>
      </w:r>
      <w:r w:rsidR="00876FB4">
        <w:t>.</w:t>
      </w:r>
    </w:p>
    <w:p w:rsidR="006A1282" w:rsidRPr="006A1282" w:rsidRDefault="00876FB4" w:rsidP="006A1282">
      <w:pPr>
        <w:pStyle w:val="ListParagraph"/>
        <w:numPr>
          <w:ilvl w:val="0"/>
          <w:numId w:val="11"/>
        </w:numPr>
        <w:autoSpaceDE w:val="0"/>
        <w:autoSpaceDN w:val="0"/>
        <w:adjustRightInd w:val="0"/>
        <w:spacing w:after="0"/>
        <w:jc w:val="both"/>
        <w:rPr>
          <w:rFonts w:cs="Minion-Regular"/>
        </w:rPr>
      </w:pPr>
      <w:r w:rsidRPr="006A1282">
        <w:rPr>
          <w:rFonts w:cs="Minion-Regular"/>
        </w:rPr>
        <w:t>The planning and siting of the injections should be undertaken by the clinician in consultation</w:t>
      </w:r>
      <w:r w:rsidR="006A1282">
        <w:rPr>
          <w:rFonts w:cs="Minion-Regular"/>
        </w:rPr>
        <w:t xml:space="preserve"> </w:t>
      </w:r>
      <w:r w:rsidRPr="006A1282">
        <w:rPr>
          <w:rFonts w:cs="Minion-Regular"/>
        </w:rPr>
        <w:t xml:space="preserve">with the MDT. </w:t>
      </w:r>
    </w:p>
    <w:p w:rsidR="00876FB4" w:rsidRPr="006A1282" w:rsidRDefault="00876FB4" w:rsidP="006A1282">
      <w:pPr>
        <w:pStyle w:val="ListParagraph"/>
        <w:numPr>
          <w:ilvl w:val="0"/>
          <w:numId w:val="11"/>
        </w:numPr>
        <w:autoSpaceDE w:val="0"/>
        <w:autoSpaceDN w:val="0"/>
        <w:adjustRightInd w:val="0"/>
        <w:spacing w:after="0"/>
        <w:jc w:val="both"/>
        <w:rPr>
          <w:rFonts w:cs="Minion-Regular"/>
        </w:rPr>
      </w:pPr>
      <w:r w:rsidRPr="006A1282">
        <w:rPr>
          <w:rFonts w:cs="Minion-Regular"/>
        </w:rPr>
        <w:t>Larger superficial muscles may be identified with knowledge of surface anatomy.</w:t>
      </w:r>
    </w:p>
    <w:p w:rsidR="00876FB4" w:rsidRPr="006A1282" w:rsidRDefault="00876FB4" w:rsidP="006A1282">
      <w:pPr>
        <w:pStyle w:val="ListParagraph"/>
        <w:numPr>
          <w:ilvl w:val="0"/>
          <w:numId w:val="11"/>
        </w:numPr>
        <w:autoSpaceDE w:val="0"/>
        <w:autoSpaceDN w:val="0"/>
        <w:adjustRightInd w:val="0"/>
        <w:spacing w:after="0"/>
        <w:jc w:val="both"/>
        <w:rPr>
          <w:rFonts w:cs="Minion-Regular"/>
        </w:rPr>
      </w:pPr>
      <w:r w:rsidRPr="006A1282">
        <w:rPr>
          <w:rFonts w:cs="Minion-Regular"/>
        </w:rPr>
        <w:t>Smaller, less accessible muscles may require additional techniques to ensure correct placement</w:t>
      </w:r>
      <w:r w:rsidR="006A1282">
        <w:rPr>
          <w:rFonts w:cs="Minion-Regular"/>
        </w:rPr>
        <w:t xml:space="preserve"> </w:t>
      </w:r>
      <w:r w:rsidRPr="006A1282">
        <w:rPr>
          <w:rFonts w:cs="Minion-Regular"/>
        </w:rPr>
        <w:t>of the inje</w:t>
      </w:r>
      <w:r w:rsidR="006A1282" w:rsidRPr="006A1282">
        <w:rPr>
          <w:rFonts w:cs="Minion-Regular"/>
        </w:rPr>
        <w:t>ction, including</w:t>
      </w:r>
      <w:r w:rsidRPr="006A1282">
        <w:rPr>
          <w:rFonts w:cs="Minion-Regular"/>
        </w:rPr>
        <w:t>:</w:t>
      </w:r>
    </w:p>
    <w:p w:rsidR="006A1282" w:rsidRDefault="006A1282" w:rsidP="006A1282">
      <w:pPr>
        <w:pStyle w:val="ListParagraph"/>
        <w:numPr>
          <w:ilvl w:val="1"/>
          <w:numId w:val="11"/>
        </w:numPr>
        <w:autoSpaceDE w:val="0"/>
        <w:autoSpaceDN w:val="0"/>
        <w:adjustRightInd w:val="0"/>
        <w:spacing w:after="0"/>
        <w:jc w:val="both"/>
        <w:rPr>
          <w:rFonts w:cs="Minion-Regular"/>
        </w:rPr>
      </w:pPr>
      <w:r>
        <w:rPr>
          <w:rFonts w:cs="Minion-Regular"/>
        </w:rPr>
        <w:t xml:space="preserve">EMG </w:t>
      </w:r>
      <w:r w:rsidR="00876FB4" w:rsidRPr="006A1282">
        <w:rPr>
          <w:rFonts w:cs="Minion-Regular"/>
        </w:rPr>
        <w:t>to confir</w:t>
      </w:r>
      <w:r>
        <w:rPr>
          <w:rFonts w:cs="Minion-Regular"/>
        </w:rPr>
        <w:t xml:space="preserve">m placement within the muscle </w:t>
      </w:r>
    </w:p>
    <w:p w:rsidR="006A1282" w:rsidRDefault="006A1282" w:rsidP="006A1282">
      <w:pPr>
        <w:pStyle w:val="ListParagraph"/>
        <w:numPr>
          <w:ilvl w:val="1"/>
          <w:numId w:val="11"/>
        </w:numPr>
        <w:autoSpaceDE w:val="0"/>
        <w:autoSpaceDN w:val="0"/>
        <w:adjustRightInd w:val="0"/>
        <w:spacing w:after="0"/>
        <w:jc w:val="both"/>
        <w:rPr>
          <w:rFonts w:cs="Minion-Regular"/>
        </w:rPr>
      </w:pPr>
      <w:r>
        <w:rPr>
          <w:rFonts w:cs="Minion-Regular"/>
        </w:rPr>
        <w:t>N</w:t>
      </w:r>
      <w:r w:rsidR="00876FB4" w:rsidRPr="006A1282">
        <w:rPr>
          <w:rFonts w:cs="Minion-Regular"/>
        </w:rPr>
        <w:t>erve or muscle stimulation may be usefu</w:t>
      </w:r>
      <w:r>
        <w:rPr>
          <w:rFonts w:cs="Minion-Regular"/>
        </w:rPr>
        <w:t>l to confirm placement</w:t>
      </w:r>
    </w:p>
    <w:p w:rsidR="00876FB4" w:rsidRPr="006A1282" w:rsidRDefault="006A1282" w:rsidP="006A1282">
      <w:pPr>
        <w:pStyle w:val="ListParagraph"/>
        <w:numPr>
          <w:ilvl w:val="1"/>
          <w:numId w:val="11"/>
        </w:numPr>
        <w:autoSpaceDE w:val="0"/>
        <w:autoSpaceDN w:val="0"/>
        <w:adjustRightInd w:val="0"/>
        <w:spacing w:after="0"/>
        <w:jc w:val="both"/>
        <w:rPr>
          <w:rFonts w:cs="Minion-Regular"/>
        </w:rPr>
      </w:pPr>
      <w:r>
        <w:rPr>
          <w:rFonts w:cs="Minion-Regular"/>
        </w:rPr>
        <w:t>I</w:t>
      </w:r>
      <w:r w:rsidR="00876FB4" w:rsidRPr="006A1282">
        <w:rPr>
          <w:rFonts w:cs="Minion-Regular"/>
        </w:rPr>
        <w:t>maging, such as u</w:t>
      </w:r>
      <w:r>
        <w:rPr>
          <w:rFonts w:cs="Minion-Regular"/>
        </w:rPr>
        <w:t xml:space="preserve">ltrasound </w:t>
      </w:r>
    </w:p>
    <w:p w:rsidR="00BE64DF" w:rsidRPr="006A1282" w:rsidRDefault="00876FB4" w:rsidP="006A1282">
      <w:pPr>
        <w:pStyle w:val="ListParagraph"/>
        <w:numPr>
          <w:ilvl w:val="0"/>
          <w:numId w:val="12"/>
        </w:numPr>
        <w:autoSpaceDE w:val="0"/>
        <w:autoSpaceDN w:val="0"/>
        <w:adjustRightInd w:val="0"/>
        <w:spacing w:after="0"/>
        <w:jc w:val="both"/>
        <w:rPr>
          <w:rFonts w:cs="Minion-Regular"/>
        </w:rPr>
      </w:pPr>
      <w:r w:rsidRPr="006A1282">
        <w:rPr>
          <w:rFonts w:cs="Minion-Regular"/>
        </w:rPr>
        <w:t>The best sites for injection are theoretically the nerve end-plate zones deep in the muscle bulk.</w:t>
      </w:r>
      <w:r w:rsidR="006A1282">
        <w:rPr>
          <w:rFonts w:cs="Minion-Regular"/>
        </w:rPr>
        <w:t xml:space="preserve">  </w:t>
      </w:r>
      <w:r w:rsidRPr="006A1282">
        <w:rPr>
          <w:rFonts w:cs="Minion-Regular"/>
        </w:rPr>
        <w:t>Small and moderate-sized muscles will usually respond to BT injected simply into the belly of the</w:t>
      </w:r>
      <w:r w:rsidR="006A1282">
        <w:rPr>
          <w:rFonts w:cs="Minion-Regular"/>
        </w:rPr>
        <w:t xml:space="preserve"> </w:t>
      </w:r>
      <w:r w:rsidRPr="006A1282">
        <w:rPr>
          <w:rFonts w:cs="Minion-Regular"/>
        </w:rPr>
        <w:t>muscle.</w:t>
      </w:r>
    </w:p>
    <w:p w:rsidR="00876FB4" w:rsidRPr="006A1282" w:rsidRDefault="00876FB4" w:rsidP="006A1282">
      <w:pPr>
        <w:pStyle w:val="ListParagraph"/>
        <w:numPr>
          <w:ilvl w:val="0"/>
          <w:numId w:val="10"/>
        </w:numPr>
        <w:autoSpaceDE w:val="0"/>
        <w:autoSpaceDN w:val="0"/>
        <w:adjustRightInd w:val="0"/>
        <w:spacing w:after="0"/>
        <w:rPr>
          <w:rFonts w:cs="Minion-Regular"/>
        </w:rPr>
      </w:pPr>
      <w:r w:rsidRPr="006A1282">
        <w:rPr>
          <w:rFonts w:cs="Minion-Regular"/>
        </w:rPr>
        <w:t>It is important to document the dose and dilution, the type, and the location of BT, and the</w:t>
      </w:r>
    </w:p>
    <w:p w:rsidR="00876FB4" w:rsidRPr="006A1282" w:rsidRDefault="00876FB4" w:rsidP="006A1282">
      <w:pPr>
        <w:spacing w:after="0"/>
        <w:rPr>
          <w:b/>
          <w:u w:val="single"/>
        </w:rPr>
      </w:pPr>
      <w:proofErr w:type="gramStart"/>
      <w:r w:rsidRPr="006A1282">
        <w:rPr>
          <w:rFonts w:cs="Minion-Regular"/>
        </w:rPr>
        <w:t>number</w:t>
      </w:r>
      <w:proofErr w:type="gramEnd"/>
      <w:r w:rsidRPr="006A1282">
        <w:rPr>
          <w:rFonts w:cs="Minion-Regular"/>
        </w:rPr>
        <w:t xml:space="preserve"> of injection sites per muscle.</w:t>
      </w:r>
    </w:p>
    <w:p w:rsidR="00BE64DF" w:rsidRDefault="00BE64DF" w:rsidP="006A1282">
      <w:pPr>
        <w:spacing w:after="0"/>
        <w:rPr>
          <w:b/>
          <w:u w:val="single"/>
        </w:rPr>
      </w:pPr>
    </w:p>
    <w:p w:rsidR="00601065" w:rsidRPr="00F01BD0" w:rsidRDefault="00601065" w:rsidP="006672AE">
      <w:pPr>
        <w:spacing w:after="0"/>
        <w:rPr>
          <w:b/>
        </w:rPr>
      </w:pPr>
      <w:r w:rsidRPr="00F01BD0">
        <w:rPr>
          <w:b/>
        </w:rPr>
        <w:t>Post-Intervention follow-up:</w:t>
      </w:r>
    </w:p>
    <w:p w:rsidR="004F4D06" w:rsidRDefault="00876FB4" w:rsidP="006672AE">
      <w:pPr>
        <w:spacing w:after="0"/>
      </w:pPr>
      <w:r>
        <w:t xml:space="preserve">The </w:t>
      </w:r>
      <w:r w:rsidR="004F4D06">
        <w:t>RCP</w:t>
      </w:r>
      <w:r>
        <w:t xml:space="preserve"> Guidelines (</w:t>
      </w:r>
      <w:r w:rsidR="004F4D06">
        <w:t>2009) recommend BNT intervention is followed by:</w:t>
      </w:r>
    </w:p>
    <w:p w:rsidR="004F4D06" w:rsidRDefault="004F4D06" w:rsidP="002D4A5A">
      <w:pPr>
        <w:pStyle w:val="ListParagraph"/>
        <w:numPr>
          <w:ilvl w:val="0"/>
          <w:numId w:val="14"/>
        </w:numPr>
        <w:spacing w:after="0"/>
      </w:pPr>
      <w:r>
        <w:t>A therapy review 7-14 days post-treatment</w:t>
      </w:r>
    </w:p>
    <w:p w:rsidR="004F4D06" w:rsidRDefault="004F4D06" w:rsidP="002D4A5A">
      <w:pPr>
        <w:pStyle w:val="ListParagraph"/>
        <w:numPr>
          <w:ilvl w:val="0"/>
          <w:numId w:val="14"/>
        </w:numPr>
        <w:spacing w:after="0"/>
      </w:pPr>
      <w:r>
        <w:t>A review at 4-6 weeks to assess effect</w:t>
      </w:r>
    </w:p>
    <w:p w:rsidR="00CB6501" w:rsidRDefault="004F4D06" w:rsidP="002D4A5A">
      <w:pPr>
        <w:pStyle w:val="ListParagraph"/>
        <w:numPr>
          <w:ilvl w:val="0"/>
          <w:numId w:val="14"/>
        </w:numPr>
        <w:spacing w:after="0"/>
      </w:pPr>
      <w:r>
        <w:t>A review at 3-4 months to plan for future management</w:t>
      </w:r>
    </w:p>
    <w:p w:rsidR="00601065" w:rsidRDefault="00601065" w:rsidP="002D4A5A">
      <w:pPr>
        <w:spacing w:after="0"/>
      </w:pPr>
    </w:p>
    <w:p w:rsidR="00601065" w:rsidRDefault="00601065" w:rsidP="002D4A5A">
      <w:pPr>
        <w:spacing w:after="0"/>
      </w:pPr>
      <w:r w:rsidRPr="001211A8">
        <w:t>Thera</w:t>
      </w:r>
      <w:r w:rsidR="00876FB4" w:rsidRPr="001211A8">
        <w:t xml:space="preserve">py following BNT </w:t>
      </w:r>
      <w:r w:rsidR="009D16AF" w:rsidRPr="001211A8">
        <w:t xml:space="preserve">Intervention can </w:t>
      </w:r>
      <w:r w:rsidRPr="001211A8">
        <w:t>include:</w:t>
      </w:r>
    </w:p>
    <w:p w:rsidR="009D16AF" w:rsidRPr="009D16AF" w:rsidRDefault="009D16AF" w:rsidP="002D4A5A">
      <w:pPr>
        <w:pStyle w:val="ListParagraph"/>
        <w:numPr>
          <w:ilvl w:val="0"/>
          <w:numId w:val="16"/>
        </w:numPr>
        <w:autoSpaceDE w:val="0"/>
        <w:autoSpaceDN w:val="0"/>
        <w:adjustRightInd w:val="0"/>
        <w:spacing w:after="0"/>
        <w:jc w:val="both"/>
        <w:rPr>
          <w:rFonts w:cs="Minion-Regular"/>
        </w:rPr>
      </w:pPr>
      <w:r w:rsidRPr="009D16AF">
        <w:rPr>
          <w:rFonts w:cs="Minion-Regular"/>
        </w:rPr>
        <w:t xml:space="preserve">Orthotics/splinting </w:t>
      </w:r>
    </w:p>
    <w:p w:rsidR="009D16AF" w:rsidRPr="009D16AF" w:rsidRDefault="009D16AF" w:rsidP="002D4A5A">
      <w:pPr>
        <w:pStyle w:val="ListParagraph"/>
        <w:autoSpaceDE w:val="0"/>
        <w:autoSpaceDN w:val="0"/>
        <w:adjustRightInd w:val="0"/>
        <w:spacing w:after="0"/>
        <w:jc w:val="both"/>
        <w:rPr>
          <w:rFonts w:cs="Minion-Regular"/>
        </w:rPr>
      </w:pPr>
      <w:r w:rsidRPr="009D16AF">
        <w:rPr>
          <w:rFonts w:cs="Minion-Regular"/>
        </w:rPr>
        <w:t>Ensure there is a system to review the orthotics/splinting provision, provide new orthoses</w:t>
      </w:r>
    </w:p>
    <w:p w:rsidR="009D16AF" w:rsidRPr="009D16AF" w:rsidRDefault="009D16AF" w:rsidP="002D4A5A">
      <w:pPr>
        <w:pStyle w:val="ListParagraph"/>
        <w:autoSpaceDE w:val="0"/>
        <w:autoSpaceDN w:val="0"/>
        <w:adjustRightInd w:val="0"/>
        <w:spacing w:after="0"/>
        <w:jc w:val="both"/>
        <w:rPr>
          <w:rFonts w:cs="Minion-Regular"/>
        </w:rPr>
      </w:pPr>
      <w:proofErr w:type="gramStart"/>
      <w:r w:rsidRPr="009D16AF">
        <w:rPr>
          <w:rFonts w:cs="Minion-Regular"/>
        </w:rPr>
        <w:t>as</w:t>
      </w:r>
      <w:proofErr w:type="gramEnd"/>
      <w:r w:rsidRPr="009D16AF">
        <w:rPr>
          <w:rFonts w:cs="Minion-Regular"/>
        </w:rPr>
        <w:t xml:space="preserve"> required and assess patient compliance</w:t>
      </w:r>
    </w:p>
    <w:p w:rsidR="009D16AF" w:rsidRPr="009D16AF" w:rsidRDefault="001211A8" w:rsidP="002D4A5A">
      <w:pPr>
        <w:pStyle w:val="ListParagraph"/>
        <w:numPr>
          <w:ilvl w:val="0"/>
          <w:numId w:val="16"/>
        </w:numPr>
        <w:autoSpaceDE w:val="0"/>
        <w:autoSpaceDN w:val="0"/>
        <w:adjustRightInd w:val="0"/>
        <w:spacing w:after="0"/>
        <w:jc w:val="both"/>
        <w:rPr>
          <w:rFonts w:cs="Minion-Regular"/>
        </w:rPr>
      </w:pPr>
      <w:r>
        <w:rPr>
          <w:rFonts w:cs="Minion-Regular"/>
        </w:rPr>
        <w:t>P</w:t>
      </w:r>
      <w:r w:rsidR="009D16AF" w:rsidRPr="009D16AF">
        <w:rPr>
          <w:rFonts w:cs="Minion-Regular"/>
        </w:rPr>
        <w:t>rovide patient education on stretching regimes and guidance on participating in</w:t>
      </w:r>
    </w:p>
    <w:p w:rsidR="009D16AF" w:rsidRPr="009D16AF" w:rsidRDefault="009D16AF" w:rsidP="002D4A5A">
      <w:pPr>
        <w:pStyle w:val="ListParagraph"/>
        <w:autoSpaceDE w:val="0"/>
        <w:autoSpaceDN w:val="0"/>
        <w:adjustRightInd w:val="0"/>
        <w:spacing w:after="0"/>
        <w:jc w:val="both"/>
        <w:rPr>
          <w:rFonts w:cs="Minion-Regular"/>
        </w:rPr>
      </w:pPr>
      <w:proofErr w:type="gramStart"/>
      <w:r w:rsidRPr="009D16AF">
        <w:rPr>
          <w:rFonts w:cs="Minion-Regular"/>
        </w:rPr>
        <w:t>activities</w:t>
      </w:r>
      <w:proofErr w:type="gramEnd"/>
    </w:p>
    <w:p w:rsidR="009D16AF" w:rsidRPr="001211A8" w:rsidRDefault="001211A8" w:rsidP="002D4A5A">
      <w:pPr>
        <w:pStyle w:val="ListParagraph"/>
        <w:numPr>
          <w:ilvl w:val="0"/>
          <w:numId w:val="16"/>
        </w:numPr>
        <w:autoSpaceDE w:val="0"/>
        <w:autoSpaceDN w:val="0"/>
        <w:adjustRightInd w:val="0"/>
        <w:spacing w:after="0"/>
        <w:jc w:val="both"/>
        <w:rPr>
          <w:rFonts w:cs="Minion-Regular"/>
        </w:rPr>
      </w:pPr>
      <w:r>
        <w:rPr>
          <w:rFonts w:cs="Minion-Regular"/>
        </w:rPr>
        <w:t>P</w:t>
      </w:r>
      <w:r w:rsidR="009D16AF" w:rsidRPr="009D16AF">
        <w:rPr>
          <w:rFonts w:cs="Minion-Regular"/>
        </w:rPr>
        <w:t xml:space="preserve">rovide therapy to increase muscle strength of </w:t>
      </w:r>
      <w:r>
        <w:rPr>
          <w:rFonts w:cs="Minion-Regular"/>
        </w:rPr>
        <w:t>the opposing muscle groups</w:t>
      </w:r>
    </w:p>
    <w:p w:rsidR="009D16AF" w:rsidRPr="009D16AF" w:rsidRDefault="001211A8" w:rsidP="002D4A5A">
      <w:pPr>
        <w:pStyle w:val="ListParagraph"/>
        <w:numPr>
          <w:ilvl w:val="0"/>
          <w:numId w:val="16"/>
        </w:numPr>
        <w:autoSpaceDE w:val="0"/>
        <w:autoSpaceDN w:val="0"/>
        <w:adjustRightInd w:val="0"/>
        <w:spacing w:after="0"/>
        <w:jc w:val="both"/>
        <w:rPr>
          <w:rFonts w:cs="Minion-Regular"/>
        </w:rPr>
      </w:pPr>
      <w:r>
        <w:rPr>
          <w:rFonts w:cs="Minion-Regular"/>
        </w:rPr>
        <w:t>C</w:t>
      </w:r>
      <w:r w:rsidR="009D16AF" w:rsidRPr="009D16AF">
        <w:rPr>
          <w:rFonts w:cs="Minion-Regular"/>
        </w:rPr>
        <w:t>onsider other treatments that may enhance the effects of BT such as constraint therapy</w:t>
      </w:r>
    </w:p>
    <w:p w:rsidR="009D16AF" w:rsidRPr="009D16AF" w:rsidRDefault="009D16AF" w:rsidP="002D4A5A">
      <w:pPr>
        <w:pStyle w:val="ListParagraph"/>
        <w:autoSpaceDE w:val="0"/>
        <w:autoSpaceDN w:val="0"/>
        <w:adjustRightInd w:val="0"/>
        <w:spacing w:after="0"/>
        <w:jc w:val="both"/>
        <w:rPr>
          <w:rFonts w:cs="Minion-Regular"/>
        </w:rPr>
      </w:pPr>
      <w:proofErr w:type="gramStart"/>
      <w:r w:rsidRPr="009D16AF">
        <w:rPr>
          <w:rFonts w:cs="Minion-Regular"/>
        </w:rPr>
        <w:t>or</w:t>
      </w:r>
      <w:proofErr w:type="gramEnd"/>
      <w:r w:rsidRPr="009D16AF">
        <w:rPr>
          <w:rFonts w:cs="Minion-Regular"/>
        </w:rPr>
        <w:t xml:space="preserve"> electrical stimulation as appropriate</w:t>
      </w:r>
    </w:p>
    <w:p w:rsidR="001211A8" w:rsidRPr="009D16AF" w:rsidRDefault="001211A8" w:rsidP="002D4A5A">
      <w:pPr>
        <w:pStyle w:val="ListParagraph"/>
        <w:numPr>
          <w:ilvl w:val="0"/>
          <w:numId w:val="16"/>
        </w:numPr>
        <w:autoSpaceDE w:val="0"/>
        <w:autoSpaceDN w:val="0"/>
        <w:adjustRightInd w:val="0"/>
        <w:spacing w:after="0"/>
        <w:jc w:val="both"/>
        <w:rPr>
          <w:rFonts w:cs="Minion-Regular"/>
        </w:rPr>
      </w:pPr>
      <w:r>
        <w:rPr>
          <w:rFonts w:cs="Minion-Regular"/>
        </w:rPr>
        <w:t>F</w:t>
      </w:r>
      <w:r w:rsidRPr="009D16AF">
        <w:rPr>
          <w:rFonts w:cs="Minion-Regular"/>
        </w:rPr>
        <w:t xml:space="preserve">unctional electrical stimulation of the </w:t>
      </w:r>
      <w:r w:rsidRPr="009D16AF">
        <w:rPr>
          <w:rFonts w:cs="Minion-Italic"/>
          <w:i/>
          <w:iCs/>
        </w:rPr>
        <w:t xml:space="preserve">antagonist muscle </w:t>
      </w:r>
      <w:r w:rsidRPr="009D16AF">
        <w:rPr>
          <w:rFonts w:cs="Minion-Regular"/>
        </w:rPr>
        <w:t>may help to build up muscle</w:t>
      </w:r>
    </w:p>
    <w:p w:rsidR="001211A8" w:rsidRPr="009D16AF" w:rsidRDefault="001211A8" w:rsidP="002D4A5A">
      <w:pPr>
        <w:pStyle w:val="ListParagraph"/>
        <w:spacing w:after="0"/>
        <w:jc w:val="both"/>
        <w:rPr>
          <w:rFonts w:cs="Minion-Regular"/>
        </w:rPr>
      </w:pPr>
      <w:proofErr w:type="gramStart"/>
      <w:r w:rsidRPr="009D16AF">
        <w:rPr>
          <w:rFonts w:cs="Minion-Regular"/>
        </w:rPr>
        <w:t>strength</w:t>
      </w:r>
      <w:proofErr w:type="gramEnd"/>
      <w:r w:rsidRPr="009D16AF">
        <w:rPr>
          <w:rFonts w:cs="Minion-Regular"/>
        </w:rPr>
        <w:t xml:space="preserve"> and so enhance functional benefits </w:t>
      </w:r>
    </w:p>
    <w:p w:rsidR="009D16AF" w:rsidRPr="009D16AF" w:rsidRDefault="009D16AF" w:rsidP="002D4A5A">
      <w:pPr>
        <w:pStyle w:val="ListParagraph"/>
        <w:numPr>
          <w:ilvl w:val="0"/>
          <w:numId w:val="16"/>
        </w:numPr>
        <w:autoSpaceDE w:val="0"/>
        <w:autoSpaceDN w:val="0"/>
        <w:adjustRightInd w:val="0"/>
        <w:spacing w:after="0"/>
        <w:jc w:val="both"/>
        <w:rPr>
          <w:rFonts w:cs="Minion-Regular"/>
        </w:rPr>
      </w:pPr>
      <w:r w:rsidRPr="009D16AF">
        <w:rPr>
          <w:rFonts w:cs="Minion-Regular"/>
        </w:rPr>
        <w:t>active NMJs take up BT more avidly than NMJs at rest, and there is some evidence that</w:t>
      </w:r>
    </w:p>
    <w:p w:rsidR="009D16AF" w:rsidRPr="009D16AF" w:rsidRDefault="009D16AF" w:rsidP="002D4A5A">
      <w:pPr>
        <w:pStyle w:val="ListParagraph"/>
        <w:autoSpaceDE w:val="0"/>
        <w:autoSpaceDN w:val="0"/>
        <w:adjustRightInd w:val="0"/>
        <w:spacing w:after="0"/>
        <w:jc w:val="both"/>
        <w:rPr>
          <w:rFonts w:cs="Minion-Regular"/>
        </w:rPr>
      </w:pPr>
      <w:proofErr w:type="gramStart"/>
      <w:r w:rsidRPr="009D16AF">
        <w:rPr>
          <w:rFonts w:cs="Minion-Regular"/>
        </w:rPr>
        <w:t>electrical</w:t>
      </w:r>
      <w:proofErr w:type="gramEnd"/>
      <w:r w:rsidRPr="009D16AF">
        <w:rPr>
          <w:rFonts w:cs="Minion-Regular"/>
        </w:rPr>
        <w:t xml:space="preserve"> stimulation of the </w:t>
      </w:r>
      <w:r w:rsidRPr="009D16AF">
        <w:rPr>
          <w:rFonts w:cs="Minion-Italic"/>
          <w:i/>
          <w:iCs/>
        </w:rPr>
        <w:t xml:space="preserve">injected muscle </w:t>
      </w:r>
      <w:r w:rsidRPr="009D16AF">
        <w:rPr>
          <w:rFonts w:cs="Minion-Regular"/>
        </w:rPr>
        <w:t>may enhance the anti-spastic effects of BT</w:t>
      </w:r>
    </w:p>
    <w:p w:rsidR="009D16AF" w:rsidRPr="009D16AF" w:rsidRDefault="009D16AF" w:rsidP="002D4A5A">
      <w:pPr>
        <w:pStyle w:val="ListParagraph"/>
        <w:autoSpaceDE w:val="0"/>
        <w:autoSpaceDN w:val="0"/>
        <w:adjustRightInd w:val="0"/>
        <w:spacing w:after="0"/>
        <w:jc w:val="both"/>
        <w:rPr>
          <w:rFonts w:cs="Minion-Regular"/>
        </w:rPr>
      </w:pPr>
      <w:r w:rsidRPr="009D16AF">
        <w:rPr>
          <w:rFonts w:cs="Minion-Regular"/>
        </w:rPr>
        <w:t xml:space="preserve">(Hesse </w:t>
      </w:r>
      <w:r w:rsidRPr="009D16AF">
        <w:rPr>
          <w:rFonts w:cs="Minion-Italic"/>
          <w:i/>
          <w:iCs/>
        </w:rPr>
        <w:t xml:space="preserve">et al </w:t>
      </w:r>
      <w:r w:rsidRPr="009D16AF">
        <w:rPr>
          <w:rFonts w:cs="Minion-Regular"/>
        </w:rPr>
        <w:t>1998). However, it is necessary to stimulate the motor point or the nerve to</w:t>
      </w:r>
    </w:p>
    <w:p w:rsidR="009D16AF" w:rsidRPr="009D16AF" w:rsidRDefault="009D16AF" w:rsidP="002D4A5A">
      <w:pPr>
        <w:pStyle w:val="ListParagraph"/>
        <w:autoSpaceDE w:val="0"/>
        <w:autoSpaceDN w:val="0"/>
        <w:adjustRightInd w:val="0"/>
        <w:spacing w:after="0"/>
        <w:jc w:val="both"/>
        <w:rPr>
          <w:rFonts w:cs="Minion-Regular"/>
        </w:rPr>
      </w:pPr>
      <w:proofErr w:type="gramStart"/>
      <w:r w:rsidRPr="009D16AF">
        <w:rPr>
          <w:rFonts w:cs="Minion-Regular"/>
        </w:rPr>
        <w:t>the</w:t>
      </w:r>
      <w:proofErr w:type="gramEnd"/>
      <w:r w:rsidRPr="009D16AF">
        <w:rPr>
          <w:rFonts w:cs="Minion-Regular"/>
        </w:rPr>
        <w:t xml:space="preserve"> muscle, in order to activate the NMJs to achieve this effect</w:t>
      </w:r>
    </w:p>
    <w:p w:rsidR="009D16AF" w:rsidRPr="009D16AF" w:rsidRDefault="001211A8" w:rsidP="002D4A5A">
      <w:pPr>
        <w:spacing w:after="0"/>
        <w:jc w:val="both"/>
      </w:pPr>
      <w:r>
        <w:rPr>
          <w:rFonts w:cs="Minion-Regular"/>
        </w:rPr>
        <w:t xml:space="preserve"> </w:t>
      </w:r>
      <w:r w:rsidR="009D16AF">
        <w:rPr>
          <w:rFonts w:cs="Minion-Regular"/>
        </w:rPr>
        <w:t>(RCP, 2009)</w:t>
      </w:r>
    </w:p>
    <w:p w:rsidR="00601065" w:rsidRDefault="00601065" w:rsidP="002D4A5A">
      <w:pPr>
        <w:spacing w:after="0"/>
      </w:pPr>
    </w:p>
    <w:p w:rsidR="00CB6501" w:rsidRDefault="00CB6501" w:rsidP="00CB6501">
      <w:pPr>
        <w:pStyle w:val="Heading2"/>
      </w:pPr>
      <w:r>
        <w:lastRenderedPageBreak/>
        <w:t>Inclusion / Exclusion Criteria</w:t>
      </w:r>
    </w:p>
    <w:p w:rsidR="00876FB4" w:rsidRPr="006A1282" w:rsidRDefault="00876FB4" w:rsidP="006A1282">
      <w:pPr>
        <w:autoSpaceDE w:val="0"/>
        <w:autoSpaceDN w:val="0"/>
        <w:adjustRightInd w:val="0"/>
        <w:spacing w:after="0"/>
        <w:jc w:val="both"/>
        <w:rPr>
          <w:rFonts w:cs="Minion-Regular"/>
        </w:rPr>
      </w:pPr>
      <w:r w:rsidRPr="006A1282">
        <w:rPr>
          <w:rFonts w:cs="Minion-Regular"/>
        </w:rPr>
        <w:t>For a full list of contraindications and special warnings and precautions for the use of BT,</w:t>
      </w:r>
    </w:p>
    <w:p w:rsidR="00CB6501" w:rsidRDefault="00876FB4" w:rsidP="006A1282">
      <w:pPr>
        <w:jc w:val="both"/>
      </w:pPr>
      <w:proofErr w:type="gramStart"/>
      <w:r w:rsidRPr="006A1282">
        <w:rPr>
          <w:rFonts w:cs="Minion-Regular"/>
        </w:rPr>
        <w:t>clinicians</w:t>
      </w:r>
      <w:proofErr w:type="gramEnd"/>
      <w:r w:rsidRPr="006A1282">
        <w:rPr>
          <w:rFonts w:cs="Minion-Regular"/>
        </w:rPr>
        <w:t xml:space="preserve"> should refer to the product SPC at www.emc.medicines.org.uk.</w:t>
      </w:r>
    </w:p>
    <w:p w:rsidR="00CB6501" w:rsidRDefault="00CB6501" w:rsidP="00CB6501">
      <w:pPr>
        <w:pStyle w:val="Heading2"/>
      </w:pPr>
      <w:r>
        <w:t>Precautions</w:t>
      </w:r>
    </w:p>
    <w:p w:rsidR="00BE64DF" w:rsidRDefault="00BE64DF" w:rsidP="00BE64DF">
      <w:pPr>
        <w:spacing w:after="0"/>
        <w:jc w:val="both"/>
      </w:pPr>
      <w:r>
        <w:t xml:space="preserve">The maximum recommended dose in limb spasticity is 1,000U </w:t>
      </w:r>
      <w:proofErr w:type="spellStart"/>
      <w:r>
        <w:t>Dysport</w:t>
      </w:r>
      <w:proofErr w:type="spellEnd"/>
      <w:r>
        <w:t>® or 360U Botox® in a</w:t>
      </w:r>
    </w:p>
    <w:p w:rsidR="00BE64DF" w:rsidRDefault="00BE64DF" w:rsidP="006A1282">
      <w:pPr>
        <w:spacing w:after="0"/>
        <w:jc w:val="both"/>
      </w:pPr>
      <w:proofErr w:type="gramStart"/>
      <w:r>
        <w:t>single</w:t>
      </w:r>
      <w:proofErr w:type="gramEnd"/>
      <w:r>
        <w:t xml:space="preserve"> adult injection session. Larger doses carry increasing risk of systemic adverse effects.</w:t>
      </w:r>
    </w:p>
    <w:p w:rsidR="003A53F3" w:rsidRDefault="00BE64DF" w:rsidP="006A1282">
      <w:r w:rsidRPr="00BE64DF">
        <w:t>Serious adverse events are rare, but mild and transient adverse ef</w:t>
      </w:r>
      <w:r w:rsidR="006A1282">
        <w:t xml:space="preserve">fects may occur.  </w:t>
      </w:r>
    </w:p>
    <w:p w:rsidR="006A1282" w:rsidRDefault="006A1282" w:rsidP="006A1282">
      <w:r>
        <w:t>A</w:t>
      </w:r>
      <w:r w:rsidR="00BE64DF" w:rsidRPr="00BE64DF">
        <w:t>dverse</w:t>
      </w:r>
      <w:r>
        <w:t xml:space="preserve"> </w:t>
      </w:r>
      <w:r w:rsidR="00BE64DF" w:rsidRPr="00BE64DF">
        <w:t>events may include:</w:t>
      </w:r>
    </w:p>
    <w:p w:rsidR="006A1282" w:rsidRDefault="00BE64DF" w:rsidP="00EF31EB">
      <w:pPr>
        <w:pStyle w:val="ListParagraph"/>
        <w:numPr>
          <w:ilvl w:val="0"/>
          <w:numId w:val="10"/>
        </w:numPr>
        <w:spacing w:line="240" w:lineRule="auto"/>
      </w:pPr>
      <w:r w:rsidRPr="00EF31EB">
        <w:rPr>
          <w:i/>
          <w:iCs/>
        </w:rPr>
        <w:t xml:space="preserve">local muscle weakness </w:t>
      </w:r>
      <w:r w:rsidRPr="00BE64DF">
        <w:t>from</w:t>
      </w:r>
      <w:r w:rsidR="003A53F3">
        <w:t xml:space="preserve"> toxin spread to nearby muscles</w:t>
      </w:r>
      <w:r w:rsidRPr="00BE64DF">
        <w:t xml:space="preserve"> </w:t>
      </w:r>
    </w:p>
    <w:p w:rsidR="00BE64DF" w:rsidRPr="00BE64DF" w:rsidRDefault="00BE64DF" w:rsidP="00EF31EB">
      <w:pPr>
        <w:pStyle w:val="ListParagraph"/>
        <w:numPr>
          <w:ilvl w:val="0"/>
          <w:numId w:val="10"/>
        </w:numPr>
        <w:spacing w:line="240" w:lineRule="auto"/>
      </w:pPr>
      <w:r w:rsidRPr="00EF31EB">
        <w:rPr>
          <w:i/>
          <w:iCs/>
        </w:rPr>
        <w:t xml:space="preserve">dysphagia </w:t>
      </w:r>
      <w:r w:rsidRPr="00BE64DF">
        <w:t>occurs mainly when high doses are used around the neck or proximal upper</w:t>
      </w:r>
    </w:p>
    <w:p w:rsidR="006A1282" w:rsidRDefault="003A53F3" w:rsidP="00EF31EB">
      <w:pPr>
        <w:pStyle w:val="ListParagraph"/>
        <w:numPr>
          <w:ilvl w:val="0"/>
          <w:numId w:val="10"/>
        </w:numPr>
        <w:spacing w:line="240" w:lineRule="auto"/>
      </w:pPr>
      <w:r>
        <w:t>limb</w:t>
      </w:r>
      <w:r w:rsidR="00BE64DF" w:rsidRPr="00BE64DF">
        <w:t xml:space="preserve"> </w:t>
      </w:r>
    </w:p>
    <w:p w:rsidR="00BE64DF" w:rsidRPr="00BE64DF" w:rsidRDefault="00BE64DF" w:rsidP="00EF31EB">
      <w:pPr>
        <w:pStyle w:val="ListParagraph"/>
        <w:numPr>
          <w:ilvl w:val="0"/>
          <w:numId w:val="10"/>
        </w:numPr>
        <w:spacing w:line="240" w:lineRule="auto"/>
      </w:pPr>
      <w:r w:rsidRPr="00EF31EB">
        <w:rPr>
          <w:i/>
          <w:iCs/>
        </w:rPr>
        <w:t xml:space="preserve">respiratory failure </w:t>
      </w:r>
      <w:r w:rsidRPr="00BE64DF">
        <w:t>has not been reported in adults, although there have been isolated case</w:t>
      </w:r>
    </w:p>
    <w:p w:rsidR="006A1282" w:rsidRDefault="00BE64DF" w:rsidP="00EF31EB">
      <w:pPr>
        <w:pStyle w:val="ListParagraph"/>
        <w:numPr>
          <w:ilvl w:val="0"/>
          <w:numId w:val="10"/>
        </w:numPr>
      </w:pPr>
      <w:r w:rsidRPr="00BE64DF">
        <w:t>reports in children with cerebral pa</w:t>
      </w:r>
      <w:r w:rsidR="003A53F3">
        <w:t>lsy</w:t>
      </w:r>
      <w:r w:rsidRPr="00BE64DF">
        <w:t xml:space="preserve"> </w:t>
      </w:r>
    </w:p>
    <w:p w:rsidR="006A1282" w:rsidRDefault="00BE64DF" w:rsidP="00EF31EB">
      <w:pPr>
        <w:pStyle w:val="ListParagraph"/>
        <w:numPr>
          <w:ilvl w:val="0"/>
          <w:numId w:val="10"/>
        </w:numPr>
      </w:pPr>
      <w:r w:rsidRPr="00EF31EB">
        <w:rPr>
          <w:i/>
          <w:iCs/>
        </w:rPr>
        <w:t>autonomic dysfunction</w:t>
      </w:r>
      <w:r w:rsidRPr="00BE64DF">
        <w:t>, if it occurs,</w:t>
      </w:r>
      <w:r w:rsidR="003A53F3">
        <w:t xml:space="preserve"> is almost always sub-clinical</w:t>
      </w:r>
    </w:p>
    <w:p w:rsidR="006A1282" w:rsidRDefault="00BE64DF" w:rsidP="00EF31EB">
      <w:pPr>
        <w:pStyle w:val="ListParagraph"/>
        <w:numPr>
          <w:ilvl w:val="0"/>
          <w:numId w:val="10"/>
        </w:numPr>
      </w:pPr>
      <w:r w:rsidRPr="00EF31EB">
        <w:rPr>
          <w:i/>
          <w:iCs/>
        </w:rPr>
        <w:t xml:space="preserve">‘flu-like’ symptoms </w:t>
      </w:r>
      <w:r w:rsidRPr="00BE64DF">
        <w:t>for up to a week, at some point in the month after injection, but are</w:t>
      </w:r>
      <w:r w:rsidR="006A1282">
        <w:t xml:space="preserve"> </w:t>
      </w:r>
      <w:r w:rsidRPr="00BE64DF">
        <w:t>transient and mild</w:t>
      </w:r>
    </w:p>
    <w:p w:rsidR="00EF31EB" w:rsidRDefault="00EF31EB" w:rsidP="00EF31EB">
      <w:pPr>
        <w:pStyle w:val="ListParagraph"/>
        <w:numPr>
          <w:ilvl w:val="0"/>
          <w:numId w:val="10"/>
        </w:numPr>
      </w:pPr>
      <w:r w:rsidRPr="00EF31EB">
        <w:rPr>
          <w:i/>
          <w:iCs/>
        </w:rPr>
        <w:t>R</w:t>
      </w:r>
      <w:r w:rsidR="00BE64DF" w:rsidRPr="00EF31EB">
        <w:rPr>
          <w:i/>
          <w:iCs/>
        </w:rPr>
        <w:t>ash</w:t>
      </w:r>
    </w:p>
    <w:p w:rsidR="00EF31EB" w:rsidRDefault="00BE64DF" w:rsidP="00EF31EB">
      <w:pPr>
        <w:pStyle w:val="ListParagraph"/>
        <w:numPr>
          <w:ilvl w:val="0"/>
          <w:numId w:val="10"/>
        </w:numPr>
      </w:pPr>
      <w:r w:rsidRPr="00EF31EB">
        <w:rPr>
          <w:i/>
          <w:iCs/>
        </w:rPr>
        <w:t xml:space="preserve">brachial neuritis </w:t>
      </w:r>
      <w:r w:rsidRPr="00BE64DF">
        <w:t>(very rare) following local injections</w:t>
      </w:r>
      <w:r w:rsidR="003A53F3">
        <w:t>, or</w:t>
      </w:r>
    </w:p>
    <w:p w:rsidR="00BE64DF" w:rsidRDefault="00BE64DF" w:rsidP="00EF31EB">
      <w:pPr>
        <w:pStyle w:val="ListParagraph"/>
        <w:numPr>
          <w:ilvl w:val="0"/>
          <w:numId w:val="10"/>
        </w:numPr>
      </w:pPr>
      <w:proofErr w:type="gramStart"/>
      <w:r w:rsidRPr="00EF31EB">
        <w:rPr>
          <w:i/>
          <w:iCs/>
        </w:rPr>
        <w:t>altered</w:t>
      </w:r>
      <w:proofErr w:type="gramEnd"/>
      <w:r w:rsidRPr="00EF31EB">
        <w:rPr>
          <w:i/>
          <w:iCs/>
        </w:rPr>
        <w:t xml:space="preserve"> taste.</w:t>
      </w:r>
    </w:p>
    <w:p w:rsidR="00CB6501" w:rsidRPr="00CB6501" w:rsidRDefault="00CB6501" w:rsidP="00CB6501">
      <w:pPr>
        <w:pStyle w:val="Heading2"/>
      </w:pPr>
      <w:r>
        <w:t>Evidence</w:t>
      </w:r>
    </w:p>
    <w:p w:rsidR="00C567C6" w:rsidRDefault="00EF31EB" w:rsidP="00664DA1">
      <w:pPr>
        <w:jc w:val="both"/>
      </w:pPr>
      <w:r>
        <w:t>T</w:t>
      </w:r>
      <w:r w:rsidR="00C567C6" w:rsidRPr="00C567C6">
        <w:t xml:space="preserve">here is now a substantial amount of evidence reporting the effectiveness of BNT in reducing spasticity </w:t>
      </w:r>
      <w:r w:rsidR="002D4A5A">
        <w:t xml:space="preserve">at the level of impairment </w:t>
      </w:r>
      <w:r>
        <w:t xml:space="preserve">(Baker and Pereira, </w:t>
      </w:r>
      <w:r w:rsidR="00C567C6" w:rsidRPr="00C567C6">
        <w:t>2013)</w:t>
      </w:r>
      <w:r w:rsidR="002D4A5A">
        <w:t>.</w:t>
      </w:r>
    </w:p>
    <w:p w:rsidR="00CB6501" w:rsidRDefault="00AF6833" w:rsidP="00664DA1">
      <w:pPr>
        <w:jc w:val="both"/>
      </w:pPr>
      <w:r w:rsidRPr="00AF6833">
        <w:t xml:space="preserve">Evidence for the effectiveness of Botulinum Neurotoxin for improving active functional use of the hemiplegic upper limb remains inconclusive. </w:t>
      </w:r>
      <w:r w:rsidR="002D4A5A">
        <w:t xml:space="preserve">  </w:t>
      </w:r>
      <w:r w:rsidRPr="00AF6833">
        <w:t>There is increasing literature supporting a positive effect on passive upper limb function (for example the ease of washing the hand or axilla or dressing a limb) (Shaw et al, 2011).</w:t>
      </w:r>
    </w:p>
    <w:p w:rsidR="00C567C6" w:rsidRDefault="00C567C6" w:rsidP="00664DA1">
      <w:pPr>
        <w:jc w:val="both"/>
      </w:pPr>
      <w:r w:rsidRPr="00C567C6">
        <w:t xml:space="preserve">Although evidence is conflicting regarding the use of BNT for pain, </w:t>
      </w:r>
      <w:r>
        <w:t>mainly due to low quality trials (</w:t>
      </w:r>
      <w:r w:rsidRPr="00C567C6">
        <w:t>Singh &amp; Fitzgerald (2010)</w:t>
      </w:r>
    </w:p>
    <w:p w:rsidR="00C567C6" w:rsidRDefault="00C567C6" w:rsidP="00664DA1">
      <w:pPr>
        <w:jc w:val="both"/>
      </w:pPr>
      <w:r w:rsidRPr="00C567C6">
        <w:t xml:space="preserve">Doan et al (2012) report that for people experiencing post-stroke ULS, the level of caregiver burden is significantly related to levels of disability in the areas of hygiene and dressing.  There is research to suggest that BNT can decrease this care </w:t>
      </w:r>
      <w:r w:rsidR="00E0541E">
        <w:t>burden (Lam et al., 2012; Bhakta</w:t>
      </w:r>
      <w:r w:rsidRPr="00C567C6">
        <w:t xml:space="preserve"> et al., 2000).</w:t>
      </w:r>
    </w:p>
    <w:p w:rsidR="00C567C6" w:rsidRDefault="002D4A5A" w:rsidP="002D4A5A">
      <w:pPr>
        <w:jc w:val="both"/>
      </w:pPr>
      <w:r w:rsidRPr="00C567C6">
        <w:t xml:space="preserve">The majority of studies reviewing BNT use for ULS have focussed on patients more than three months post-stroke.  </w:t>
      </w:r>
    </w:p>
    <w:p w:rsidR="003A53F3" w:rsidRDefault="003A53F3" w:rsidP="002D4A5A">
      <w:pPr>
        <w:jc w:val="both"/>
      </w:pPr>
    </w:p>
    <w:p w:rsidR="003A53F3" w:rsidRDefault="003A53F3" w:rsidP="002D4A5A">
      <w:pPr>
        <w:jc w:val="both"/>
      </w:pPr>
    </w:p>
    <w:p w:rsidR="003A53F3" w:rsidRDefault="003A53F3" w:rsidP="002D4A5A">
      <w:pPr>
        <w:jc w:val="both"/>
      </w:pPr>
    </w:p>
    <w:p w:rsidR="00CB6501" w:rsidRPr="00CB6501" w:rsidRDefault="00CB6501" w:rsidP="00CB6501">
      <w:pPr>
        <w:pStyle w:val="Heading2"/>
      </w:pPr>
      <w:r>
        <w:lastRenderedPageBreak/>
        <w:t>Information for Patients / Families / Whanau</w:t>
      </w:r>
    </w:p>
    <w:p w:rsidR="00EF31EB" w:rsidRDefault="00EF31EB">
      <w:r>
        <w:t>See attached sheets</w:t>
      </w:r>
      <w:r w:rsidR="003A53F3">
        <w:t>:</w:t>
      </w:r>
    </w:p>
    <w:p w:rsidR="00E0541E" w:rsidRDefault="003A53F3">
      <w:r>
        <w:object w:dxaOrig="1501" w:dyaOrig="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05pt;height:48.8pt" o:ole="">
            <v:imagedata r:id="rId8" o:title=""/>
          </v:shape>
          <o:OLEObject Type="Embed" ProgID="FoxitPhantomPDF.Document" ShapeID="_x0000_i1025" DrawAspect="Icon" ObjectID="_1562496635" r:id="rId9"/>
        </w:object>
      </w:r>
      <w:r>
        <w:object w:dxaOrig="1501" w:dyaOrig="980">
          <v:shape id="_x0000_i1026" type="#_x0000_t75" style="width:75.05pt;height:48.8pt" o:ole="">
            <v:imagedata r:id="rId10" o:title=""/>
          </v:shape>
          <o:OLEObject Type="Embed" ProgID="FoxitPhantomPDF.Document" ShapeID="_x0000_i1026" DrawAspect="Icon" ObjectID="_1562496636" r:id="rId11"/>
        </w:object>
      </w:r>
    </w:p>
    <w:p w:rsidR="00E0541E" w:rsidRDefault="00E0541E"/>
    <w:p w:rsidR="00E0541E" w:rsidRPr="00F01BD0" w:rsidRDefault="00E0541E">
      <w:pPr>
        <w:rPr>
          <w:b/>
          <w:sz w:val="24"/>
          <w:szCs w:val="24"/>
        </w:rPr>
      </w:pPr>
      <w:r w:rsidRPr="00F01BD0">
        <w:rPr>
          <w:b/>
          <w:sz w:val="24"/>
          <w:szCs w:val="24"/>
        </w:rPr>
        <w:t>References:</w:t>
      </w:r>
    </w:p>
    <w:p w:rsidR="00E0541E" w:rsidRDefault="00E0541E" w:rsidP="00E0541E">
      <w:pPr>
        <w:jc w:val="both"/>
        <w:rPr>
          <w:rFonts w:ascii="Times New Roman" w:hAnsi="Times New Roman" w:cs="Times New Roman"/>
          <w:sz w:val="24"/>
          <w:szCs w:val="24"/>
        </w:rPr>
      </w:pPr>
      <w:r>
        <w:rPr>
          <w:rFonts w:ascii="Times New Roman" w:hAnsi="Times New Roman" w:cs="Times New Roman"/>
          <w:sz w:val="24"/>
          <w:szCs w:val="24"/>
        </w:rPr>
        <w:t xml:space="preserve">Baker J., &amp; Pereira G. (2013) </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efficacy of Botulinum Toxin A for spasticity and pain in adults: a systematic review and meta-analysis using the grades of recommendation, assessment, development and evaluation approach. </w:t>
      </w:r>
      <w:r w:rsidRPr="00491667">
        <w:rPr>
          <w:rFonts w:ascii="Times New Roman" w:hAnsi="Times New Roman" w:cs="Times New Roman"/>
          <w:i/>
          <w:sz w:val="24"/>
          <w:szCs w:val="24"/>
        </w:rPr>
        <w:t>Clinical Rehabilitation</w:t>
      </w:r>
      <w:r>
        <w:rPr>
          <w:rFonts w:ascii="Times New Roman" w:hAnsi="Times New Roman" w:cs="Times New Roman"/>
          <w:sz w:val="24"/>
          <w:szCs w:val="24"/>
        </w:rPr>
        <w:t xml:space="preserve"> 27 (12) 1084-1096</w:t>
      </w:r>
    </w:p>
    <w:p w:rsidR="00E0541E" w:rsidRDefault="00E0541E" w:rsidP="00E0541E">
      <w:pPr>
        <w:jc w:val="both"/>
        <w:rPr>
          <w:rFonts w:ascii="Times New Roman" w:hAnsi="Times New Roman" w:cs="Times New Roman"/>
          <w:sz w:val="24"/>
          <w:szCs w:val="24"/>
        </w:rPr>
      </w:pPr>
      <w:r w:rsidRPr="00B07442">
        <w:rPr>
          <w:rFonts w:ascii="Times New Roman" w:hAnsi="Times New Roman" w:cs="Times New Roman"/>
          <w:sz w:val="24"/>
          <w:szCs w:val="24"/>
        </w:rPr>
        <w:t xml:space="preserve">Bhakta B.B., Cozens J.A., Chamberlain M.A (2000) Impact of Botulinum Toxin A on disability and carer burden due to arm spasticity after stroke: a randomised controlled double-blind placebo controlled trial.  </w:t>
      </w:r>
      <w:r w:rsidRPr="00B07442">
        <w:rPr>
          <w:rFonts w:ascii="Times New Roman" w:hAnsi="Times New Roman" w:cs="Times New Roman"/>
          <w:i/>
          <w:sz w:val="24"/>
          <w:szCs w:val="24"/>
        </w:rPr>
        <w:t>Journal of Neurology, Neurosurgery and Psychiatry</w:t>
      </w:r>
      <w:r w:rsidRPr="00B07442">
        <w:rPr>
          <w:rFonts w:ascii="Times New Roman" w:hAnsi="Times New Roman" w:cs="Times New Roman"/>
          <w:sz w:val="24"/>
          <w:szCs w:val="24"/>
        </w:rPr>
        <w:t xml:space="preserve"> 69 (2) 217-21</w:t>
      </w:r>
    </w:p>
    <w:p w:rsidR="00E0541E" w:rsidRPr="008F604B" w:rsidRDefault="00E0541E" w:rsidP="00E0541E">
      <w:pPr>
        <w:jc w:val="both"/>
        <w:rPr>
          <w:rFonts w:ascii="Times New Roman" w:hAnsi="Times New Roman" w:cs="Times New Roman"/>
          <w:sz w:val="24"/>
          <w:szCs w:val="24"/>
        </w:rPr>
      </w:pPr>
      <w:r w:rsidRPr="008F604B">
        <w:rPr>
          <w:rFonts w:ascii="Times New Roman" w:hAnsi="Times New Roman" w:cs="Times New Roman"/>
          <w:sz w:val="24"/>
          <w:szCs w:val="24"/>
        </w:rPr>
        <w:t xml:space="preserve">Doan Q., Brashear A., Gillard P., </w:t>
      </w:r>
      <w:proofErr w:type="spellStart"/>
      <w:r w:rsidRPr="008F604B">
        <w:rPr>
          <w:rFonts w:ascii="Times New Roman" w:hAnsi="Times New Roman" w:cs="Times New Roman"/>
          <w:sz w:val="24"/>
          <w:szCs w:val="24"/>
        </w:rPr>
        <w:t>Varon</w:t>
      </w:r>
      <w:proofErr w:type="spellEnd"/>
      <w:r w:rsidRPr="008F604B">
        <w:rPr>
          <w:rFonts w:ascii="Times New Roman" w:hAnsi="Times New Roman" w:cs="Times New Roman"/>
          <w:sz w:val="24"/>
          <w:szCs w:val="24"/>
        </w:rPr>
        <w:t xml:space="preserve"> S., </w:t>
      </w:r>
      <w:proofErr w:type="spellStart"/>
      <w:r w:rsidRPr="008F604B">
        <w:rPr>
          <w:rFonts w:ascii="Times New Roman" w:hAnsi="Times New Roman" w:cs="Times New Roman"/>
          <w:sz w:val="24"/>
          <w:szCs w:val="24"/>
        </w:rPr>
        <w:t>Vandenburgh</w:t>
      </w:r>
      <w:proofErr w:type="spellEnd"/>
      <w:r w:rsidRPr="008F604B">
        <w:rPr>
          <w:rFonts w:ascii="Times New Roman" w:hAnsi="Times New Roman" w:cs="Times New Roman"/>
          <w:sz w:val="24"/>
          <w:szCs w:val="24"/>
        </w:rPr>
        <w:t xml:space="preserve"> A., </w:t>
      </w:r>
      <w:proofErr w:type="spellStart"/>
      <w:r w:rsidRPr="008F604B">
        <w:rPr>
          <w:rFonts w:ascii="Times New Roman" w:hAnsi="Times New Roman" w:cs="Times New Roman"/>
          <w:sz w:val="24"/>
          <w:szCs w:val="24"/>
        </w:rPr>
        <w:t>Turkel</w:t>
      </w:r>
      <w:proofErr w:type="spellEnd"/>
      <w:r w:rsidRPr="008F604B">
        <w:rPr>
          <w:rFonts w:ascii="Times New Roman" w:hAnsi="Times New Roman" w:cs="Times New Roman"/>
          <w:sz w:val="24"/>
          <w:szCs w:val="24"/>
        </w:rPr>
        <w:t xml:space="preserve"> C. &amp; </w:t>
      </w:r>
      <w:proofErr w:type="spellStart"/>
      <w:r w:rsidRPr="008F604B">
        <w:rPr>
          <w:rFonts w:ascii="Times New Roman" w:hAnsi="Times New Roman" w:cs="Times New Roman"/>
          <w:sz w:val="24"/>
          <w:szCs w:val="24"/>
        </w:rPr>
        <w:t>Elovic</w:t>
      </w:r>
      <w:proofErr w:type="spellEnd"/>
      <w:r w:rsidRPr="008F604B">
        <w:rPr>
          <w:rFonts w:ascii="Times New Roman" w:hAnsi="Times New Roman" w:cs="Times New Roman"/>
          <w:sz w:val="24"/>
          <w:szCs w:val="24"/>
        </w:rPr>
        <w:t xml:space="preserve"> E. (2012). </w:t>
      </w:r>
      <w:r w:rsidRPr="008F604B">
        <w:rPr>
          <w:rFonts w:ascii="Times New Roman" w:hAnsi="Times New Roman" w:cs="Times New Roman"/>
          <w:i/>
          <w:sz w:val="24"/>
          <w:szCs w:val="24"/>
        </w:rPr>
        <w:t>American Academy of Physical Medicine and Rehabilitation</w:t>
      </w:r>
      <w:r w:rsidRPr="008F604B">
        <w:rPr>
          <w:rFonts w:ascii="Times New Roman" w:hAnsi="Times New Roman" w:cs="Times New Roman"/>
          <w:sz w:val="24"/>
          <w:szCs w:val="24"/>
        </w:rPr>
        <w:t>. 4: 4-40</w:t>
      </w:r>
    </w:p>
    <w:p w:rsidR="00E0541E" w:rsidRDefault="00E0541E" w:rsidP="00E0541E">
      <w:pPr>
        <w:jc w:val="both"/>
        <w:rPr>
          <w:rFonts w:ascii="Times New Roman" w:hAnsi="Times New Roman" w:cs="Times New Roman"/>
          <w:sz w:val="24"/>
          <w:szCs w:val="24"/>
        </w:rPr>
      </w:pPr>
      <w:r>
        <w:rPr>
          <w:rFonts w:ascii="Times New Roman" w:hAnsi="Times New Roman" w:cs="Times New Roman"/>
          <w:sz w:val="24"/>
          <w:szCs w:val="24"/>
        </w:rPr>
        <w:t xml:space="preserve">Lam K., Lau K., So K., Tam C., Wu Y., Cheung G., Liang K., Yeung K., Lam K., </w:t>
      </w:r>
      <w:proofErr w:type="spellStart"/>
      <w:r>
        <w:rPr>
          <w:rFonts w:ascii="Times New Roman" w:hAnsi="Times New Roman" w:cs="Times New Roman"/>
          <w:sz w:val="24"/>
          <w:szCs w:val="24"/>
        </w:rPr>
        <w:t>Yui</w:t>
      </w:r>
      <w:proofErr w:type="spellEnd"/>
      <w:r>
        <w:rPr>
          <w:rFonts w:ascii="Times New Roman" w:hAnsi="Times New Roman" w:cs="Times New Roman"/>
          <w:sz w:val="24"/>
          <w:szCs w:val="24"/>
        </w:rPr>
        <w:t xml:space="preserve"> S. &amp; Leung C (2012) Can Botulinum toxin decrease carer burden in long term care residents with upper limb spasticity? A randomised controlled study. </w:t>
      </w:r>
      <w:r w:rsidRPr="00B07442">
        <w:rPr>
          <w:rFonts w:ascii="Times New Roman" w:hAnsi="Times New Roman" w:cs="Times New Roman"/>
          <w:i/>
          <w:sz w:val="24"/>
          <w:szCs w:val="24"/>
        </w:rPr>
        <w:t>JAMA</w:t>
      </w:r>
      <w:r>
        <w:rPr>
          <w:rFonts w:ascii="Times New Roman" w:hAnsi="Times New Roman" w:cs="Times New Roman"/>
          <w:sz w:val="24"/>
          <w:szCs w:val="24"/>
        </w:rPr>
        <w:t xml:space="preserve"> 13 477-484</w:t>
      </w:r>
    </w:p>
    <w:p w:rsidR="00E0541E" w:rsidRDefault="00E0541E" w:rsidP="00E0541E">
      <w:pPr>
        <w:jc w:val="both"/>
        <w:rPr>
          <w:rFonts w:ascii="Times New Roman" w:hAnsi="Times New Roman" w:cs="Times New Roman"/>
          <w:sz w:val="24"/>
          <w:szCs w:val="24"/>
        </w:rPr>
      </w:pPr>
      <w:r w:rsidRPr="008F604B">
        <w:rPr>
          <w:rFonts w:ascii="Times New Roman" w:hAnsi="Times New Roman" w:cs="Times New Roman"/>
          <w:sz w:val="24"/>
          <w:szCs w:val="24"/>
        </w:rPr>
        <w:t xml:space="preserve">Shaw L., Price C., van </w:t>
      </w:r>
      <w:proofErr w:type="spellStart"/>
      <w:r w:rsidRPr="008F604B">
        <w:rPr>
          <w:rFonts w:ascii="Times New Roman" w:hAnsi="Times New Roman" w:cs="Times New Roman"/>
          <w:sz w:val="24"/>
          <w:szCs w:val="24"/>
        </w:rPr>
        <w:t>Wijck</w:t>
      </w:r>
      <w:proofErr w:type="spellEnd"/>
      <w:r w:rsidRPr="008F604B">
        <w:rPr>
          <w:rFonts w:ascii="Times New Roman" w:hAnsi="Times New Roman" w:cs="Times New Roman"/>
          <w:sz w:val="24"/>
          <w:szCs w:val="24"/>
        </w:rPr>
        <w:t xml:space="preserve"> F., </w:t>
      </w:r>
      <w:proofErr w:type="spellStart"/>
      <w:r w:rsidRPr="008F604B">
        <w:rPr>
          <w:rFonts w:ascii="Times New Roman" w:hAnsi="Times New Roman" w:cs="Times New Roman"/>
          <w:sz w:val="24"/>
          <w:szCs w:val="24"/>
        </w:rPr>
        <w:t>Shackley</w:t>
      </w:r>
      <w:proofErr w:type="spellEnd"/>
      <w:r w:rsidRPr="008F604B">
        <w:rPr>
          <w:rFonts w:ascii="Times New Roman" w:hAnsi="Times New Roman" w:cs="Times New Roman"/>
          <w:sz w:val="24"/>
          <w:szCs w:val="24"/>
        </w:rPr>
        <w:t xml:space="preserve"> p., Steen N., Barnes M., Ford G., Graham. &amp; Rodgers H. (2011). Botulinum Toxin for the Upper Limb </w:t>
      </w:r>
      <w:proofErr w:type="gramStart"/>
      <w:r w:rsidRPr="008F604B">
        <w:rPr>
          <w:rFonts w:ascii="Times New Roman" w:hAnsi="Times New Roman" w:cs="Times New Roman"/>
          <w:sz w:val="24"/>
          <w:szCs w:val="24"/>
        </w:rPr>
        <w:t>After</w:t>
      </w:r>
      <w:proofErr w:type="gramEnd"/>
      <w:r w:rsidRPr="008F604B">
        <w:rPr>
          <w:rFonts w:ascii="Times New Roman" w:hAnsi="Times New Roman" w:cs="Times New Roman"/>
          <w:sz w:val="24"/>
          <w:szCs w:val="24"/>
        </w:rPr>
        <w:t xml:space="preserve"> Stroke (</w:t>
      </w:r>
      <w:proofErr w:type="spellStart"/>
      <w:r w:rsidRPr="008F604B">
        <w:rPr>
          <w:rFonts w:ascii="Times New Roman" w:hAnsi="Times New Roman" w:cs="Times New Roman"/>
          <w:sz w:val="24"/>
          <w:szCs w:val="24"/>
        </w:rPr>
        <w:t>BoTULS</w:t>
      </w:r>
      <w:proofErr w:type="spellEnd"/>
      <w:r w:rsidRPr="008F604B">
        <w:rPr>
          <w:rFonts w:ascii="Times New Roman" w:hAnsi="Times New Roman" w:cs="Times New Roman"/>
          <w:sz w:val="24"/>
          <w:szCs w:val="24"/>
        </w:rPr>
        <w:t xml:space="preserve">) Trial: Effect on impairment, activity limitation and pain. </w:t>
      </w:r>
      <w:r w:rsidRPr="00491667">
        <w:rPr>
          <w:rFonts w:ascii="Times New Roman" w:hAnsi="Times New Roman" w:cs="Times New Roman"/>
          <w:i/>
          <w:sz w:val="24"/>
          <w:szCs w:val="24"/>
        </w:rPr>
        <w:t>Stroke.</w:t>
      </w:r>
      <w:r w:rsidRPr="008F604B">
        <w:rPr>
          <w:rFonts w:ascii="Times New Roman" w:hAnsi="Times New Roman" w:cs="Times New Roman"/>
          <w:sz w:val="24"/>
          <w:szCs w:val="24"/>
        </w:rPr>
        <w:t xml:space="preserve"> 42:1371-1379</w:t>
      </w:r>
    </w:p>
    <w:p w:rsidR="00E0541E" w:rsidRDefault="00E0541E" w:rsidP="00E0541E">
      <w:pPr>
        <w:jc w:val="both"/>
        <w:rPr>
          <w:rFonts w:ascii="Times New Roman" w:hAnsi="Times New Roman" w:cs="Times New Roman"/>
          <w:sz w:val="24"/>
          <w:szCs w:val="24"/>
        </w:rPr>
      </w:pPr>
      <w:r w:rsidRPr="00B07442">
        <w:rPr>
          <w:rFonts w:ascii="Times New Roman" w:hAnsi="Times New Roman" w:cs="Times New Roman"/>
          <w:sz w:val="24"/>
          <w:szCs w:val="24"/>
        </w:rPr>
        <w:t xml:space="preserve">Sing J.A. &amp; Fitzgerald P.M (2011) Botulinum Toxin for shoulder pain (review). </w:t>
      </w:r>
      <w:r w:rsidRPr="00B07442">
        <w:rPr>
          <w:rFonts w:ascii="Times New Roman" w:hAnsi="Times New Roman" w:cs="Times New Roman"/>
          <w:i/>
          <w:sz w:val="24"/>
          <w:szCs w:val="24"/>
        </w:rPr>
        <w:t>The Cochrane Collaboration</w:t>
      </w:r>
      <w:r w:rsidRPr="00B07442">
        <w:rPr>
          <w:rFonts w:ascii="Times New Roman" w:hAnsi="Times New Roman" w:cs="Times New Roman"/>
          <w:sz w:val="24"/>
          <w:szCs w:val="24"/>
        </w:rPr>
        <w:t>.  Issue 1: 1-51</w:t>
      </w:r>
    </w:p>
    <w:p w:rsidR="00E0541E" w:rsidRPr="008F604B" w:rsidRDefault="00E0541E" w:rsidP="00E0541E">
      <w:pPr>
        <w:jc w:val="both"/>
        <w:rPr>
          <w:rFonts w:ascii="Times New Roman" w:hAnsi="Times New Roman" w:cs="Times New Roman"/>
          <w:sz w:val="24"/>
          <w:szCs w:val="24"/>
        </w:rPr>
      </w:pPr>
      <w:r w:rsidRPr="008F604B">
        <w:rPr>
          <w:rFonts w:ascii="Times New Roman" w:hAnsi="Times New Roman" w:cs="Times New Roman"/>
          <w:sz w:val="24"/>
          <w:szCs w:val="24"/>
        </w:rPr>
        <w:t>Royal College of Physicians, British Society of Rehabilitative Medicine, Chartered Society of Physiotherapy, Association of Physiotherapists Interested in Neurology (2009). Spasticity in adults: management using botulinum toxin.  National Guidelines. London: RCP</w:t>
      </w:r>
    </w:p>
    <w:p w:rsidR="00E0541E" w:rsidRDefault="00E0541E" w:rsidP="00E0541E">
      <w:pPr>
        <w:jc w:val="both"/>
        <w:rPr>
          <w:rFonts w:ascii="Times New Roman" w:hAnsi="Times New Roman" w:cs="Times New Roman"/>
          <w:sz w:val="24"/>
          <w:szCs w:val="24"/>
        </w:rPr>
      </w:pPr>
      <w:proofErr w:type="spellStart"/>
      <w:r w:rsidRPr="008F604B">
        <w:rPr>
          <w:rFonts w:ascii="Times New Roman" w:hAnsi="Times New Roman" w:cs="Times New Roman"/>
          <w:sz w:val="24"/>
          <w:szCs w:val="24"/>
        </w:rPr>
        <w:t>Zorowitz</w:t>
      </w:r>
      <w:proofErr w:type="spellEnd"/>
      <w:r w:rsidRPr="008F604B">
        <w:rPr>
          <w:rFonts w:ascii="Times New Roman" w:hAnsi="Times New Roman" w:cs="Times New Roman"/>
          <w:sz w:val="24"/>
          <w:szCs w:val="24"/>
        </w:rPr>
        <w:t xml:space="preserve">, R. D., Gillard, P. J., &amp; </w:t>
      </w:r>
      <w:proofErr w:type="spellStart"/>
      <w:r w:rsidRPr="008F604B">
        <w:rPr>
          <w:rFonts w:ascii="Times New Roman" w:hAnsi="Times New Roman" w:cs="Times New Roman"/>
          <w:sz w:val="24"/>
          <w:szCs w:val="24"/>
        </w:rPr>
        <w:t>Brainin</w:t>
      </w:r>
      <w:proofErr w:type="spellEnd"/>
      <w:r w:rsidRPr="008F604B">
        <w:rPr>
          <w:rFonts w:ascii="Times New Roman" w:hAnsi="Times New Roman" w:cs="Times New Roman"/>
          <w:sz w:val="24"/>
          <w:szCs w:val="24"/>
        </w:rPr>
        <w:t xml:space="preserve">, M. (2013). </w:t>
      </w:r>
      <w:proofErr w:type="spellStart"/>
      <w:r w:rsidRPr="008F604B">
        <w:rPr>
          <w:rFonts w:ascii="Times New Roman" w:hAnsi="Times New Roman" w:cs="Times New Roman"/>
          <w:sz w:val="24"/>
          <w:szCs w:val="24"/>
        </w:rPr>
        <w:t>Poststroke</w:t>
      </w:r>
      <w:proofErr w:type="spellEnd"/>
      <w:r w:rsidRPr="008F604B">
        <w:rPr>
          <w:rFonts w:ascii="Times New Roman" w:hAnsi="Times New Roman" w:cs="Times New Roman"/>
          <w:sz w:val="24"/>
          <w:szCs w:val="24"/>
        </w:rPr>
        <w:t xml:space="preserve"> spasticity: sequelae and burden on stroke survivors and caregivers. </w:t>
      </w:r>
      <w:r w:rsidRPr="00B07442">
        <w:rPr>
          <w:rFonts w:ascii="Times New Roman" w:hAnsi="Times New Roman" w:cs="Times New Roman"/>
          <w:i/>
          <w:sz w:val="24"/>
          <w:szCs w:val="24"/>
        </w:rPr>
        <w:t>Neurology</w:t>
      </w:r>
      <w:r>
        <w:rPr>
          <w:rFonts w:ascii="Times New Roman" w:hAnsi="Times New Roman" w:cs="Times New Roman"/>
          <w:sz w:val="24"/>
          <w:szCs w:val="24"/>
        </w:rPr>
        <w:t xml:space="preserve">, 80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Suppl</w:t>
      </w:r>
      <w:proofErr w:type="spellEnd"/>
      <w:proofErr w:type="gramEnd"/>
      <w:r>
        <w:rPr>
          <w:rFonts w:ascii="Times New Roman" w:hAnsi="Times New Roman" w:cs="Times New Roman"/>
          <w:sz w:val="24"/>
          <w:szCs w:val="24"/>
        </w:rPr>
        <w:t xml:space="preserve"> 2), </w:t>
      </w:r>
      <w:r w:rsidRPr="008F604B">
        <w:rPr>
          <w:rFonts w:ascii="Times New Roman" w:hAnsi="Times New Roman" w:cs="Times New Roman"/>
          <w:sz w:val="24"/>
          <w:szCs w:val="24"/>
        </w:rPr>
        <w:t>45–52.</w:t>
      </w:r>
    </w:p>
    <w:p w:rsidR="00E0541E" w:rsidRPr="00EF31EB" w:rsidRDefault="00E0541E"/>
    <w:sectPr w:rsidR="00E0541E" w:rsidRPr="00EF31EB" w:rsidSect="003F0204">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46F" w:rsidRDefault="00C6546F" w:rsidP="00C6546F">
      <w:pPr>
        <w:spacing w:after="0" w:line="240" w:lineRule="auto"/>
      </w:pPr>
      <w:r>
        <w:separator/>
      </w:r>
    </w:p>
  </w:endnote>
  <w:endnote w:type="continuationSeparator" w:id="0">
    <w:p w:rsidR="00C6546F" w:rsidRDefault="00C6546F" w:rsidP="00C654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ZapfDingbatsIT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Lucida Sans Typewriter">
    <w:panose1 w:val="020B0509030504030204"/>
    <w:charset w:val="00"/>
    <w:family w:val="modern"/>
    <w:pitch w:val="fixed"/>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Minion-Italic">
    <w:panose1 w:val="00000000000000000000"/>
    <w:charset w:val="00"/>
    <w:family w:val="roman"/>
    <w:notTrueType/>
    <w:pitch w:val="default"/>
    <w:sig w:usb0="00000003" w:usb1="00000000" w:usb2="00000000" w:usb3="00000000" w:csb0="00000001" w:csb1="00000000"/>
  </w:font>
  <w:font w:name="Ubuntu">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232494"/>
      <w:docPartObj>
        <w:docPartGallery w:val="Page Numbers (Bottom of Page)"/>
        <w:docPartUnique/>
      </w:docPartObj>
    </w:sdtPr>
    <w:sdtEndPr>
      <w:rPr>
        <w:color w:val="7F7F7F" w:themeColor="background1" w:themeShade="7F"/>
        <w:spacing w:val="60"/>
      </w:rPr>
    </w:sdtEndPr>
    <w:sdtContent>
      <w:p w:rsidR="00F65796" w:rsidRDefault="00F65796" w:rsidP="00F65796">
        <w:pPr>
          <w:pStyle w:val="Header"/>
        </w:pPr>
        <w:r>
          <w:tab/>
        </w:r>
      </w:p>
      <w:p w:rsidR="00F65796" w:rsidRDefault="00F65796" w:rsidP="00F65796">
        <w:pPr>
          <w:pStyle w:val="Footer"/>
          <w:rPr>
            <w:caps/>
            <w:color w:val="253D45" w:themeColor="accent1"/>
            <w:sz w:val="18"/>
            <w:szCs w:val="18"/>
          </w:rPr>
        </w:pPr>
        <w:r>
          <w:rPr>
            <w:caps/>
            <w:color w:val="253D45" w:themeColor="accent1"/>
            <w:sz w:val="18"/>
            <w:szCs w:val="18"/>
          </w:rPr>
          <w:t>NSN – upper Limb Guides</w:t>
        </w:r>
        <w:r w:rsidRPr="00F210DB">
          <w:rPr>
            <w:caps/>
            <w:color w:val="253D45" w:themeColor="accent1"/>
            <w:sz w:val="18"/>
            <w:szCs w:val="18"/>
          </w:rPr>
          <w:ptab w:relativeTo="margin" w:alignment="center" w:leader="none"/>
        </w:r>
        <w:r>
          <w:rPr>
            <w:caps/>
            <w:color w:val="253D45" w:themeColor="accent1"/>
            <w:sz w:val="18"/>
            <w:szCs w:val="18"/>
          </w:rPr>
          <w:t>Botulim TOxin</w:t>
        </w:r>
        <w:r w:rsidRPr="00F210DB">
          <w:rPr>
            <w:caps/>
            <w:color w:val="253D45" w:themeColor="accent1"/>
            <w:sz w:val="18"/>
            <w:szCs w:val="18"/>
          </w:rPr>
          <w:ptab w:relativeTo="margin" w:alignment="right" w:leader="none"/>
        </w:r>
        <w:r>
          <w:rPr>
            <w:caps/>
            <w:color w:val="253D45" w:themeColor="accent1"/>
            <w:sz w:val="18"/>
            <w:szCs w:val="18"/>
          </w:rPr>
          <w:t>July 2017</w:t>
        </w:r>
      </w:p>
      <w:p w:rsidR="00F65796" w:rsidRDefault="00F65796" w:rsidP="00F65796">
        <w:pPr>
          <w:pStyle w:val="Footer"/>
          <w:rPr>
            <w:i/>
            <w:caps/>
            <w:color w:val="253D45" w:themeColor="accent1"/>
            <w:sz w:val="16"/>
            <w:szCs w:val="16"/>
          </w:rPr>
        </w:pPr>
        <w:r w:rsidRPr="00A52E72">
          <w:rPr>
            <w:i/>
            <w:caps/>
            <w:color w:val="253D45" w:themeColor="accent1"/>
            <w:sz w:val="16"/>
            <w:szCs w:val="16"/>
          </w:rPr>
          <w:t xml:space="preserve">These guides are designed to augment the Via Therapy app – </w:t>
        </w:r>
        <w:hyperlink r:id="rId1" w:history="1">
          <w:r w:rsidRPr="007C4F69">
            <w:rPr>
              <w:rStyle w:val="Hyperlink"/>
              <w:i/>
              <w:caps/>
              <w:sz w:val="16"/>
              <w:szCs w:val="16"/>
            </w:rPr>
            <w:t>www.viatherapy.org</w:t>
          </w:r>
        </w:hyperlink>
      </w:p>
      <w:p w:rsidR="003F0204" w:rsidRDefault="00FD4F1B">
        <w:pPr>
          <w:pStyle w:val="Footer"/>
          <w:pBdr>
            <w:top w:val="single" w:sz="4" w:space="1" w:color="D9D9D9" w:themeColor="background1" w:themeShade="D9"/>
          </w:pBdr>
          <w:rPr>
            <w:b/>
            <w:bCs/>
          </w:rPr>
        </w:pPr>
      </w:p>
    </w:sdtContent>
  </w:sdt>
  <w:p w:rsidR="005632F0" w:rsidRDefault="005632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94D" w:rsidRDefault="0029494D" w:rsidP="00F65796">
    <w:pPr>
      <w:pStyle w:val="Header"/>
    </w:pPr>
    <w:r>
      <w:tab/>
    </w:r>
  </w:p>
  <w:p w:rsidR="0029494D" w:rsidRDefault="0029494D" w:rsidP="0029494D">
    <w:pPr>
      <w:pStyle w:val="Footer"/>
      <w:rPr>
        <w:caps/>
        <w:color w:val="253D45" w:themeColor="accent1"/>
        <w:sz w:val="18"/>
        <w:szCs w:val="18"/>
      </w:rPr>
    </w:pPr>
    <w:r>
      <w:rPr>
        <w:caps/>
        <w:color w:val="253D45" w:themeColor="accent1"/>
        <w:sz w:val="18"/>
        <w:szCs w:val="18"/>
      </w:rPr>
      <w:t>NSN – upper Limb Guides</w:t>
    </w:r>
    <w:r w:rsidRPr="00F210DB">
      <w:rPr>
        <w:caps/>
        <w:color w:val="253D45" w:themeColor="accent1"/>
        <w:sz w:val="18"/>
        <w:szCs w:val="18"/>
      </w:rPr>
      <w:ptab w:relativeTo="margin" w:alignment="center" w:leader="none"/>
    </w:r>
    <w:r>
      <w:rPr>
        <w:caps/>
        <w:color w:val="253D45" w:themeColor="accent1"/>
        <w:sz w:val="18"/>
        <w:szCs w:val="18"/>
      </w:rPr>
      <w:t>Botulim TOxin</w:t>
    </w:r>
    <w:r w:rsidRPr="00F210DB">
      <w:rPr>
        <w:caps/>
        <w:color w:val="253D45" w:themeColor="accent1"/>
        <w:sz w:val="18"/>
        <w:szCs w:val="18"/>
      </w:rPr>
      <w:ptab w:relativeTo="margin" w:alignment="right" w:leader="none"/>
    </w:r>
    <w:r>
      <w:rPr>
        <w:caps/>
        <w:color w:val="253D45" w:themeColor="accent1"/>
        <w:sz w:val="18"/>
        <w:szCs w:val="18"/>
      </w:rPr>
      <w:t>July 2017</w:t>
    </w:r>
  </w:p>
  <w:p w:rsidR="0029494D" w:rsidRDefault="0029494D" w:rsidP="0029494D">
    <w:pPr>
      <w:pStyle w:val="Footer"/>
      <w:rPr>
        <w:i/>
        <w:caps/>
        <w:color w:val="253D45" w:themeColor="accent1"/>
        <w:sz w:val="16"/>
        <w:szCs w:val="16"/>
      </w:rPr>
    </w:pPr>
    <w:r w:rsidRPr="00A52E72">
      <w:rPr>
        <w:i/>
        <w:caps/>
        <w:color w:val="253D45" w:themeColor="accent1"/>
        <w:sz w:val="16"/>
        <w:szCs w:val="16"/>
      </w:rPr>
      <w:t xml:space="preserve">These guides are designed to augment the Via Therapy app – </w:t>
    </w:r>
    <w:hyperlink r:id="rId1" w:history="1">
      <w:r w:rsidRPr="007C4F69">
        <w:rPr>
          <w:rStyle w:val="Hyperlink"/>
          <w:i/>
          <w:caps/>
          <w:sz w:val="16"/>
          <w:szCs w:val="16"/>
        </w:rPr>
        <w:t>www.viatherapy.org</w:t>
      </w:r>
    </w:hyperlink>
  </w:p>
  <w:p w:rsidR="005632F0" w:rsidRPr="0029494D" w:rsidRDefault="005632F0" w:rsidP="002949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46F" w:rsidRDefault="00C6546F" w:rsidP="00C6546F">
      <w:pPr>
        <w:spacing w:after="0" w:line="240" w:lineRule="auto"/>
      </w:pPr>
      <w:r>
        <w:separator/>
      </w:r>
    </w:p>
  </w:footnote>
  <w:footnote w:type="continuationSeparator" w:id="0">
    <w:p w:rsidR="00C6546F" w:rsidRDefault="00C6546F" w:rsidP="00C654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46F" w:rsidRDefault="00C6546F" w:rsidP="00C6546F">
    <w:pPr>
      <w:framePr w:wrap="notBeside" w:vAnchor="text" w:hAnchor="page" w:x="5731" w:y="1"/>
      <w:rPr>
        <w:rFonts w:ascii="Ubuntu" w:hAnsi="Ubuntu"/>
        <w:color w:val="000000"/>
        <w:sz w:val="16"/>
      </w:rPr>
    </w:pPr>
  </w:p>
  <w:p w:rsidR="00C6546F" w:rsidRDefault="00C6546F">
    <w:pPr>
      <w:pStyle w:val="Header"/>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46F" w:rsidRDefault="00C6546F" w:rsidP="00C6546F">
    <w:pPr>
      <w:framePr w:wrap="notBeside" w:vAnchor="text" w:hAnchor="page" w:x="5731" w:y="1"/>
      <w:rPr>
        <w:rFonts w:ascii="Ubuntu" w:hAnsi="Ubuntu"/>
        <w:color w:val="000000"/>
        <w:sz w:val="16"/>
      </w:rPr>
    </w:pPr>
  </w:p>
  <w:p w:rsidR="00C6546F" w:rsidRDefault="00C6546F" w:rsidP="00C6546F">
    <w:pPr>
      <w:pStyle w:val="Header"/>
      <w:jc w:val="center"/>
    </w:pPr>
    <w:r>
      <w:rPr>
        <w:noProof/>
        <w:lang w:eastAsia="en-NZ"/>
      </w:rPr>
      <w:drawing>
        <wp:inline distT="0" distB="0" distL="0" distR="0" wp14:anchorId="731ABD4A" wp14:editId="63DCB8F7">
          <wp:extent cx="1428750" cy="577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5778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44D8B"/>
    <w:multiLevelType w:val="hybridMultilevel"/>
    <w:tmpl w:val="491887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0DB5088"/>
    <w:multiLevelType w:val="hybridMultilevel"/>
    <w:tmpl w:val="819475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E7D3759"/>
    <w:multiLevelType w:val="hybridMultilevel"/>
    <w:tmpl w:val="0E0AF8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EE47AE1"/>
    <w:multiLevelType w:val="hybridMultilevel"/>
    <w:tmpl w:val="E8F22126"/>
    <w:lvl w:ilvl="0" w:tplc="14090001">
      <w:start w:val="1"/>
      <w:numFmt w:val="bullet"/>
      <w:lvlText w:val=""/>
      <w:lvlJc w:val="left"/>
      <w:pPr>
        <w:ind w:left="720" w:hanging="360"/>
      </w:pPr>
      <w:rPr>
        <w:rFonts w:ascii="Symbol" w:hAnsi="Symbol" w:hint="default"/>
      </w:rPr>
    </w:lvl>
    <w:lvl w:ilvl="1" w:tplc="1662F18A">
      <w:numFmt w:val="bullet"/>
      <w:lvlText w:val="-"/>
      <w:lvlJc w:val="left"/>
      <w:pPr>
        <w:ind w:left="1800" w:hanging="720"/>
      </w:pPr>
      <w:rPr>
        <w:rFonts w:ascii="Calibri" w:eastAsiaTheme="minorHAnsi"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F683AD4"/>
    <w:multiLevelType w:val="hybridMultilevel"/>
    <w:tmpl w:val="46C460A0"/>
    <w:lvl w:ilvl="0" w:tplc="5C30F9BC">
      <w:numFmt w:val="bullet"/>
      <w:lvlText w:val="•"/>
      <w:lvlJc w:val="left"/>
      <w:pPr>
        <w:ind w:left="1080" w:hanging="72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3280A7C"/>
    <w:multiLevelType w:val="hybridMultilevel"/>
    <w:tmpl w:val="B7781E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79E3E35"/>
    <w:multiLevelType w:val="hybridMultilevel"/>
    <w:tmpl w:val="548E3E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93A0B46"/>
    <w:multiLevelType w:val="hybridMultilevel"/>
    <w:tmpl w:val="78BC25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53C876ED"/>
    <w:multiLevelType w:val="hybridMultilevel"/>
    <w:tmpl w:val="7FBE2CD0"/>
    <w:lvl w:ilvl="0" w:tplc="4B14C692">
      <w:numFmt w:val="bullet"/>
      <w:lvlText w:val="-"/>
      <w:lvlJc w:val="left"/>
      <w:pPr>
        <w:ind w:left="720" w:hanging="360"/>
      </w:pPr>
      <w:rPr>
        <w:rFonts w:ascii="Calibri" w:eastAsiaTheme="minorHAnsi" w:hAnsi="Calibri" w:cs="ZapfDingbatsITC"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8C70EAC"/>
    <w:multiLevelType w:val="hybridMultilevel"/>
    <w:tmpl w:val="01486A82"/>
    <w:lvl w:ilvl="0" w:tplc="14090001">
      <w:start w:val="1"/>
      <w:numFmt w:val="bullet"/>
      <w:lvlText w:val=""/>
      <w:lvlJc w:val="left"/>
      <w:pPr>
        <w:ind w:left="766" w:hanging="360"/>
      </w:pPr>
      <w:rPr>
        <w:rFonts w:ascii="Symbol" w:hAnsi="Symbol" w:hint="default"/>
      </w:rPr>
    </w:lvl>
    <w:lvl w:ilvl="1" w:tplc="14090003" w:tentative="1">
      <w:start w:val="1"/>
      <w:numFmt w:val="bullet"/>
      <w:lvlText w:val="o"/>
      <w:lvlJc w:val="left"/>
      <w:pPr>
        <w:ind w:left="1486" w:hanging="360"/>
      </w:pPr>
      <w:rPr>
        <w:rFonts w:ascii="Courier New" w:hAnsi="Courier New" w:cs="Courier New" w:hint="default"/>
      </w:rPr>
    </w:lvl>
    <w:lvl w:ilvl="2" w:tplc="14090005" w:tentative="1">
      <w:start w:val="1"/>
      <w:numFmt w:val="bullet"/>
      <w:lvlText w:val=""/>
      <w:lvlJc w:val="left"/>
      <w:pPr>
        <w:ind w:left="2206" w:hanging="360"/>
      </w:pPr>
      <w:rPr>
        <w:rFonts w:ascii="Wingdings" w:hAnsi="Wingdings" w:hint="default"/>
      </w:rPr>
    </w:lvl>
    <w:lvl w:ilvl="3" w:tplc="14090001" w:tentative="1">
      <w:start w:val="1"/>
      <w:numFmt w:val="bullet"/>
      <w:lvlText w:val=""/>
      <w:lvlJc w:val="left"/>
      <w:pPr>
        <w:ind w:left="2926" w:hanging="360"/>
      </w:pPr>
      <w:rPr>
        <w:rFonts w:ascii="Symbol" w:hAnsi="Symbol" w:hint="default"/>
      </w:rPr>
    </w:lvl>
    <w:lvl w:ilvl="4" w:tplc="14090003" w:tentative="1">
      <w:start w:val="1"/>
      <w:numFmt w:val="bullet"/>
      <w:lvlText w:val="o"/>
      <w:lvlJc w:val="left"/>
      <w:pPr>
        <w:ind w:left="3646" w:hanging="360"/>
      </w:pPr>
      <w:rPr>
        <w:rFonts w:ascii="Courier New" w:hAnsi="Courier New" w:cs="Courier New" w:hint="default"/>
      </w:rPr>
    </w:lvl>
    <w:lvl w:ilvl="5" w:tplc="14090005" w:tentative="1">
      <w:start w:val="1"/>
      <w:numFmt w:val="bullet"/>
      <w:lvlText w:val=""/>
      <w:lvlJc w:val="left"/>
      <w:pPr>
        <w:ind w:left="4366" w:hanging="360"/>
      </w:pPr>
      <w:rPr>
        <w:rFonts w:ascii="Wingdings" w:hAnsi="Wingdings" w:hint="default"/>
      </w:rPr>
    </w:lvl>
    <w:lvl w:ilvl="6" w:tplc="14090001" w:tentative="1">
      <w:start w:val="1"/>
      <w:numFmt w:val="bullet"/>
      <w:lvlText w:val=""/>
      <w:lvlJc w:val="left"/>
      <w:pPr>
        <w:ind w:left="5086" w:hanging="360"/>
      </w:pPr>
      <w:rPr>
        <w:rFonts w:ascii="Symbol" w:hAnsi="Symbol" w:hint="default"/>
      </w:rPr>
    </w:lvl>
    <w:lvl w:ilvl="7" w:tplc="14090003" w:tentative="1">
      <w:start w:val="1"/>
      <w:numFmt w:val="bullet"/>
      <w:lvlText w:val="o"/>
      <w:lvlJc w:val="left"/>
      <w:pPr>
        <w:ind w:left="5806" w:hanging="360"/>
      </w:pPr>
      <w:rPr>
        <w:rFonts w:ascii="Courier New" w:hAnsi="Courier New" w:cs="Courier New" w:hint="default"/>
      </w:rPr>
    </w:lvl>
    <w:lvl w:ilvl="8" w:tplc="14090005" w:tentative="1">
      <w:start w:val="1"/>
      <w:numFmt w:val="bullet"/>
      <w:lvlText w:val=""/>
      <w:lvlJc w:val="left"/>
      <w:pPr>
        <w:ind w:left="6526" w:hanging="360"/>
      </w:pPr>
      <w:rPr>
        <w:rFonts w:ascii="Wingdings" w:hAnsi="Wingdings" w:hint="default"/>
      </w:rPr>
    </w:lvl>
  </w:abstractNum>
  <w:abstractNum w:abstractNumId="10" w15:restartNumberingAfterBreak="0">
    <w:nsid w:val="59DC05D2"/>
    <w:multiLevelType w:val="hybridMultilevel"/>
    <w:tmpl w:val="623CF4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CBB1A4F"/>
    <w:multiLevelType w:val="hybridMultilevel"/>
    <w:tmpl w:val="E64C89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72DA6BA4"/>
    <w:multiLevelType w:val="hybridMultilevel"/>
    <w:tmpl w:val="7CDC6C8E"/>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3F66BD9"/>
    <w:multiLevelType w:val="hybridMultilevel"/>
    <w:tmpl w:val="58341E0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D323918"/>
    <w:multiLevelType w:val="hybridMultilevel"/>
    <w:tmpl w:val="FCF855E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D45261B"/>
    <w:multiLevelType w:val="hybridMultilevel"/>
    <w:tmpl w:val="00FACC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3"/>
  </w:num>
  <w:num w:numId="4">
    <w:abstractNumId w:val="12"/>
  </w:num>
  <w:num w:numId="5">
    <w:abstractNumId w:val="15"/>
  </w:num>
  <w:num w:numId="6">
    <w:abstractNumId w:val="9"/>
  </w:num>
  <w:num w:numId="7">
    <w:abstractNumId w:val="7"/>
  </w:num>
  <w:num w:numId="8">
    <w:abstractNumId w:val="4"/>
  </w:num>
  <w:num w:numId="9">
    <w:abstractNumId w:val="8"/>
  </w:num>
  <w:num w:numId="10">
    <w:abstractNumId w:val="10"/>
  </w:num>
  <w:num w:numId="11">
    <w:abstractNumId w:val="6"/>
  </w:num>
  <w:num w:numId="12">
    <w:abstractNumId w:val="3"/>
  </w:num>
  <w:num w:numId="13">
    <w:abstractNumId w:val="14"/>
  </w:num>
  <w:num w:numId="14">
    <w:abstractNumId w:val="2"/>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46F"/>
    <w:rsid w:val="0007787A"/>
    <w:rsid w:val="001211A8"/>
    <w:rsid w:val="00151050"/>
    <w:rsid w:val="00172F8E"/>
    <w:rsid w:val="0029494D"/>
    <w:rsid w:val="002D4A5A"/>
    <w:rsid w:val="00331EB2"/>
    <w:rsid w:val="003A0782"/>
    <w:rsid w:val="003A53F3"/>
    <w:rsid w:val="003B1FE2"/>
    <w:rsid w:val="003F0204"/>
    <w:rsid w:val="004F4D06"/>
    <w:rsid w:val="00522E23"/>
    <w:rsid w:val="005340F6"/>
    <w:rsid w:val="00551A91"/>
    <w:rsid w:val="005632F0"/>
    <w:rsid w:val="005760B8"/>
    <w:rsid w:val="005A35DD"/>
    <w:rsid w:val="005A3F29"/>
    <w:rsid w:val="00601065"/>
    <w:rsid w:val="00636C15"/>
    <w:rsid w:val="00664DA1"/>
    <w:rsid w:val="006672AE"/>
    <w:rsid w:val="00681B6E"/>
    <w:rsid w:val="006A1282"/>
    <w:rsid w:val="006E4D78"/>
    <w:rsid w:val="0085189E"/>
    <w:rsid w:val="00876FB4"/>
    <w:rsid w:val="008A4FB6"/>
    <w:rsid w:val="008D5CD5"/>
    <w:rsid w:val="00940BA2"/>
    <w:rsid w:val="00995D21"/>
    <w:rsid w:val="009D16AF"/>
    <w:rsid w:val="009F46D7"/>
    <w:rsid w:val="00A34B76"/>
    <w:rsid w:val="00A56E18"/>
    <w:rsid w:val="00A81107"/>
    <w:rsid w:val="00AF6833"/>
    <w:rsid w:val="00B66732"/>
    <w:rsid w:val="00B756A2"/>
    <w:rsid w:val="00B83977"/>
    <w:rsid w:val="00B83EA2"/>
    <w:rsid w:val="00B924F8"/>
    <w:rsid w:val="00BC5C17"/>
    <w:rsid w:val="00BE64DF"/>
    <w:rsid w:val="00C16CF2"/>
    <w:rsid w:val="00C34F85"/>
    <w:rsid w:val="00C45383"/>
    <w:rsid w:val="00C567C6"/>
    <w:rsid w:val="00C6546F"/>
    <w:rsid w:val="00CB095A"/>
    <w:rsid w:val="00CB6501"/>
    <w:rsid w:val="00D524BB"/>
    <w:rsid w:val="00DF5D67"/>
    <w:rsid w:val="00E0541E"/>
    <w:rsid w:val="00E1502C"/>
    <w:rsid w:val="00E40053"/>
    <w:rsid w:val="00E52051"/>
    <w:rsid w:val="00E5364D"/>
    <w:rsid w:val="00E751E3"/>
    <w:rsid w:val="00EF2ED0"/>
    <w:rsid w:val="00EF31EB"/>
    <w:rsid w:val="00F01BD0"/>
    <w:rsid w:val="00F65796"/>
    <w:rsid w:val="00F83C99"/>
    <w:rsid w:val="00FD4F1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chartTrackingRefBased/>
  <w15:docId w15:val="{3388A4F6-4627-421A-A808-FB1D64E6D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2051"/>
  </w:style>
  <w:style w:type="paragraph" w:styleId="Heading1">
    <w:name w:val="heading 1"/>
    <w:basedOn w:val="Normal"/>
    <w:next w:val="Normal"/>
    <w:link w:val="Heading1Char"/>
    <w:uiPriority w:val="9"/>
    <w:qFormat/>
    <w:rsid w:val="00E52051"/>
    <w:pPr>
      <w:keepNext/>
      <w:keepLines/>
      <w:spacing w:before="480" w:after="0"/>
      <w:outlineLvl w:val="0"/>
    </w:pPr>
    <w:rPr>
      <w:rFonts w:asciiTheme="majorHAnsi" w:eastAsiaTheme="majorEastAsia" w:hAnsiTheme="majorHAnsi" w:cstheme="majorBidi"/>
      <w:b/>
      <w:bCs/>
      <w:color w:val="1B2D33" w:themeColor="accent1" w:themeShade="BF"/>
      <w:sz w:val="28"/>
      <w:szCs w:val="28"/>
    </w:rPr>
  </w:style>
  <w:style w:type="paragraph" w:styleId="Heading2">
    <w:name w:val="heading 2"/>
    <w:basedOn w:val="Normal"/>
    <w:next w:val="Normal"/>
    <w:link w:val="Heading2Char"/>
    <w:uiPriority w:val="9"/>
    <w:unhideWhenUsed/>
    <w:qFormat/>
    <w:rsid w:val="00CB6501"/>
    <w:pPr>
      <w:keepNext/>
      <w:keepLines/>
      <w:spacing w:before="40" w:after="0"/>
      <w:outlineLvl w:val="1"/>
    </w:pPr>
    <w:rPr>
      <w:rFonts w:asciiTheme="majorHAnsi" w:eastAsiaTheme="majorEastAsia" w:hAnsiTheme="majorHAnsi" w:cstheme="majorBidi"/>
      <w:color w:val="1B2D33"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2051"/>
    <w:rPr>
      <w:rFonts w:asciiTheme="majorHAnsi" w:eastAsiaTheme="majorEastAsia" w:hAnsiTheme="majorHAnsi" w:cstheme="majorBidi"/>
      <w:b/>
      <w:bCs/>
      <w:color w:val="1B2D33" w:themeColor="accent1" w:themeShade="BF"/>
      <w:sz w:val="28"/>
      <w:szCs w:val="28"/>
    </w:rPr>
  </w:style>
  <w:style w:type="paragraph" w:styleId="Title">
    <w:name w:val="Title"/>
    <w:basedOn w:val="Normal"/>
    <w:next w:val="Normal"/>
    <w:link w:val="TitleChar"/>
    <w:uiPriority w:val="10"/>
    <w:qFormat/>
    <w:rsid w:val="00E52051"/>
    <w:pPr>
      <w:pBdr>
        <w:bottom w:val="single" w:sz="8" w:space="4" w:color="253D45" w:themeColor="accent1"/>
      </w:pBdr>
      <w:spacing w:after="300" w:line="240" w:lineRule="auto"/>
      <w:contextualSpacing/>
    </w:pPr>
    <w:rPr>
      <w:rFonts w:asciiTheme="majorHAnsi" w:eastAsiaTheme="majorEastAsia" w:hAnsiTheme="majorHAnsi" w:cstheme="majorBidi"/>
      <w:color w:val="2C2C2C" w:themeColor="text2" w:themeShade="BF"/>
      <w:spacing w:val="5"/>
      <w:kern w:val="28"/>
      <w:sz w:val="52"/>
      <w:szCs w:val="52"/>
    </w:rPr>
  </w:style>
  <w:style w:type="character" w:customStyle="1" w:styleId="TitleChar">
    <w:name w:val="Title Char"/>
    <w:basedOn w:val="DefaultParagraphFont"/>
    <w:link w:val="Title"/>
    <w:uiPriority w:val="10"/>
    <w:rsid w:val="00E52051"/>
    <w:rPr>
      <w:rFonts w:asciiTheme="majorHAnsi" w:eastAsiaTheme="majorEastAsia" w:hAnsiTheme="majorHAnsi" w:cstheme="majorBidi"/>
      <w:color w:val="2C2C2C" w:themeColor="text2" w:themeShade="BF"/>
      <w:spacing w:val="5"/>
      <w:kern w:val="28"/>
      <w:sz w:val="52"/>
      <w:szCs w:val="52"/>
    </w:rPr>
  </w:style>
  <w:style w:type="character" w:styleId="Strong">
    <w:name w:val="Strong"/>
    <w:basedOn w:val="DefaultParagraphFont"/>
    <w:uiPriority w:val="22"/>
    <w:qFormat/>
    <w:rsid w:val="00E52051"/>
    <w:rPr>
      <w:b/>
      <w:bCs/>
    </w:rPr>
  </w:style>
  <w:style w:type="paragraph" w:styleId="NoSpacing">
    <w:name w:val="No Spacing"/>
    <w:uiPriority w:val="1"/>
    <w:qFormat/>
    <w:rsid w:val="00E52051"/>
    <w:pPr>
      <w:spacing w:after="0" w:line="240" w:lineRule="auto"/>
    </w:pPr>
  </w:style>
  <w:style w:type="paragraph" w:styleId="ListParagraph">
    <w:name w:val="List Paragraph"/>
    <w:basedOn w:val="Normal"/>
    <w:uiPriority w:val="34"/>
    <w:qFormat/>
    <w:rsid w:val="00E52051"/>
    <w:pPr>
      <w:ind w:left="720"/>
      <w:contextualSpacing/>
    </w:pPr>
  </w:style>
  <w:style w:type="paragraph" w:styleId="Header">
    <w:name w:val="header"/>
    <w:basedOn w:val="Normal"/>
    <w:link w:val="HeaderChar"/>
    <w:uiPriority w:val="99"/>
    <w:unhideWhenUsed/>
    <w:rsid w:val="00C654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46F"/>
  </w:style>
  <w:style w:type="paragraph" w:styleId="Footer">
    <w:name w:val="footer"/>
    <w:basedOn w:val="Normal"/>
    <w:link w:val="FooterChar"/>
    <w:uiPriority w:val="99"/>
    <w:unhideWhenUsed/>
    <w:rsid w:val="00C654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46F"/>
  </w:style>
  <w:style w:type="character" w:customStyle="1" w:styleId="Heading2Char">
    <w:name w:val="Heading 2 Char"/>
    <w:basedOn w:val="DefaultParagraphFont"/>
    <w:link w:val="Heading2"/>
    <w:uiPriority w:val="9"/>
    <w:rsid w:val="00CB6501"/>
    <w:rPr>
      <w:rFonts w:asciiTheme="majorHAnsi" w:eastAsiaTheme="majorEastAsia" w:hAnsiTheme="majorHAnsi" w:cstheme="majorBidi"/>
      <w:color w:val="1B2D33" w:themeColor="accent1" w:themeShade="BF"/>
      <w:sz w:val="26"/>
      <w:szCs w:val="26"/>
    </w:rPr>
  </w:style>
  <w:style w:type="table" w:styleId="TableGrid">
    <w:name w:val="Table Grid"/>
    <w:basedOn w:val="TableNormal"/>
    <w:uiPriority w:val="39"/>
    <w:rsid w:val="00667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054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41E"/>
    <w:rPr>
      <w:rFonts w:ascii="Segoe UI" w:hAnsi="Segoe UI" w:cs="Segoe UI"/>
      <w:sz w:val="18"/>
      <w:szCs w:val="18"/>
    </w:rPr>
  </w:style>
  <w:style w:type="character" w:styleId="Hyperlink">
    <w:name w:val="Hyperlink"/>
    <w:basedOn w:val="DefaultParagraphFont"/>
    <w:uiPriority w:val="99"/>
    <w:unhideWhenUsed/>
    <w:rsid w:val="005632F0"/>
    <w:rPr>
      <w:color w:val="1E17B1" w:themeColor="hyperlink"/>
      <w:u w:val="single"/>
    </w:rPr>
  </w:style>
  <w:style w:type="character" w:styleId="PlaceholderText">
    <w:name w:val="Placeholder Text"/>
    <w:basedOn w:val="DefaultParagraphFont"/>
    <w:uiPriority w:val="99"/>
    <w:semiHidden/>
    <w:rsid w:val="005632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viatherapy.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viatherapy.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Upper limb project">
      <a:dk1>
        <a:sysClr val="windowText" lastClr="000000"/>
      </a:dk1>
      <a:lt1>
        <a:sysClr val="window" lastClr="FFFFFF"/>
      </a:lt1>
      <a:dk2>
        <a:srgbClr val="3B3B3B"/>
      </a:dk2>
      <a:lt2>
        <a:srgbClr val="D4D2D0"/>
      </a:lt2>
      <a:accent1>
        <a:srgbClr val="253D45"/>
      </a:accent1>
      <a:accent2>
        <a:srgbClr val="786E53"/>
      </a:accent2>
      <a:accent3>
        <a:srgbClr val="66627F"/>
      </a:accent3>
      <a:accent4>
        <a:srgbClr val="748560"/>
      </a:accent4>
      <a:accent5>
        <a:srgbClr val="998307"/>
      </a:accent5>
      <a:accent6>
        <a:srgbClr val="00437A"/>
      </a:accent6>
      <a:hlink>
        <a:srgbClr val="1E17B1"/>
      </a:hlink>
      <a:folHlink>
        <a:srgbClr val="7810A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Pages>
  <Words>1488</Words>
  <Characters>8486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Ginny Abernethy</dc:creator>
  <cp:keywords/>
  <dc:description/>
  <cp:lastModifiedBy>Ginny Abernethy</cp:lastModifiedBy>
  <cp:revision>9</cp:revision>
  <cp:lastPrinted>2017-07-25T02:04:00Z</cp:lastPrinted>
  <dcterms:created xsi:type="dcterms:W3CDTF">2017-03-15T21:34:00Z</dcterms:created>
  <dcterms:modified xsi:type="dcterms:W3CDTF">2017-07-25T02:04:00Z</dcterms:modified>
</cp:coreProperties>
</file>