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04480" w14:textId="77777777" w:rsidR="00CB6501" w:rsidRDefault="00CB6501">
      <w:pPr>
        <w:rPr>
          <w:rFonts w:ascii="Lucida Sans Typewriter" w:hAnsi="Lucida Sans Typewriter"/>
          <w:sz w:val="36"/>
          <w:szCs w:val="36"/>
        </w:rPr>
      </w:pPr>
    </w:p>
    <w:p w14:paraId="6F10BCDC" w14:textId="4C49E46D" w:rsidR="0007787A" w:rsidRDefault="00D4637C">
      <w:pPr>
        <w:rPr>
          <w:rFonts w:ascii="Lucida Sans Typewriter" w:hAnsi="Lucida Sans Typewriter"/>
          <w:sz w:val="36"/>
          <w:szCs w:val="36"/>
        </w:rPr>
      </w:pPr>
      <w:r>
        <w:rPr>
          <w:rFonts w:ascii="Lucida Sans Typewriter" w:hAnsi="Lucida Sans Typewriter"/>
          <w:sz w:val="36"/>
          <w:szCs w:val="36"/>
        </w:rPr>
        <w:t>Upper Limb Assessment &amp; Treatment Guides</w:t>
      </w:r>
    </w:p>
    <w:p w14:paraId="702A465F" w14:textId="1F1491AE" w:rsidR="00CB6501" w:rsidRDefault="00260932" w:rsidP="00CB6501">
      <w:pPr>
        <w:pStyle w:val="Heading1"/>
      </w:pPr>
      <w:r>
        <w:t>4</w:t>
      </w:r>
      <w:r w:rsidR="0099395C">
        <w:t xml:space="preserve">: </w:t>
      </w:r>
      <w:r w:rsidR="005C4C2C">
        <w:t xml:space="preserve"> Firm Support Devices Post Stroke</w:t>
      </w:r>
    </w:p>
    <w:p w14:paraId="20DA8D7F" w14:textId="77777777" w:rsidR="00CB6501" w:rsidRPr="00F668C4" w:rsidRDefault="00CB6501" w:rsidP="00CB6501">
      <w:pPr>
        <w:rPr>
          <w:b/>
        </w:rPr>
      </w:pPr>
    </w:p>
    <w:p w14:paraId="5B3C6C0E" w14:textId="380A3D2A" w:rsidR="005C4C2C" w:rsidRPr="00260932" w:rsidRDefault="00CB6501" w:rsidP="005C4C2C">
      <w:pPr>
        <w:pStyle w:val="Heading2"/>
      </w:pPr>
      <w:r w:rsidRPr="00260932">
        <w:t>Introduction / Background / Purpose</w:t>
      </w:r>
    </w:p>
    <w:p w14:paraId="71D15741" w14:textId="568DF52E" w:rsidR="005C4C2C" w:rsidRPr="005C4C2C" w:rsidRDefault="005C4C2C" w:rsidP="005C4C2C">
      <w:r>
        <w:t xml:space="preserve"> An early, consistent approach to management of a hemiplegic upper limb can be vital in preventing structural damage to the shoulder joint, and improving outcomes for stroke patients. The National Stroke Foundation (2010) identifies that prevention of contracture and subluxation may help to prevent shoulder pain. One method to achieve this is by utilising firm support devices, such as slings when a patient is ambulating / transferring and arm troughs and tables when a patient is seated.</w:t>
      </w:r>
    </w:p>
    <w:p w14:paraId="57BEF649" w14:textId="77777777" w:rsidR="00CB6501" w:rsidRPr="00260932" w:rsidRDefault="00CB6501" w:rsidP="00CB6501">
      <w:pPr>
        <w:pStyle w:val="Heading2"/>
      </w:pPr>
      <w:r w:rsidRPr="00260932">
        <w:t>Competencies required</w:t>
      </w:r>
    </w:p>
    <w:p w14:paraId="66FB9F89" w14:textId="6DD2DD7D" w:rsidR="00CB6501" w:rsidRDefault="005C4C2C" w:rsidP="00CB6501">
      <w:r w:rsidRPr="00260932">
        <w:t>Clinician:</w:t>
      </w:r>
      <w:r>
        <w:t xml:space="preserve"> knowledge of slings and firm support devices available to them</w:t>
      </w:r>
    </w:p>
    <w:p w14:paraId="382C64B5" w14:textId="6A845B28" w:rsidR="005C4C2C" w:rsidRDefault="005C4C2C" w:rsidP="00CB6501">
      <w:r w:rsidRPr="00260932">
        <w:t>Patient:</w:t>
      </w:r>
      <w:r>
        <w:t xml:space="preserve"> Cognitive ability to utilise slings / trays if they are to be independent. Educated regarding the use of slings / support devices.</w:t>
      </w:r>
    </w:p>
    <w:p w14:paraId="088C4DBC" w14:textId="0CDC4C1C" w:rsidR="005C4C2C" w:rsidRDefault="005C4C2C" w:rsidP="00CB6501">
      <w:r w:rsidRPr="00260932">
        <w:t>Whanau:</w:t>
      </w:r>
      <w:r>
        <w:t xml:space="preserve"> Educated</w:t>
      </w:r>
      <w:r w:rsidRPr="005C4C2C">
        <w:t xml:space="preserve"> regarding the </w:t>
      </w:r>
      <w:r>
        <w:t>use of slings / support devices and manual handling to support their family member.</w:t>
      </w:r>
    </w:p>
    <w:p w14:paraId="5E24437A" w14:textId="77777777" w:rsidR="00CB6501" w:rsidRPr="00260932" w:rsidRDefault="00CB6501" w:rsidP="00CB6501">
      <w:pPr>
        <w:pStyle w:val="Heading2"/>
      </w:pPr>
      <w:r w:rsidRPr="00260932">
        <w:t>Equipment required</w:t>
      </w:r>
    </w:p>
    <w:p w14:paraId="7A6095A6" w14:textId="279C5718" w:rsidR="005C4C2C" w:rsidRDefault="005C4C2C" w:rsidP="00F668C4">
      <w:pPr>
        <w:pStyle w:val="ListParagraph"/>
        <w:numPr>
          <w:ilvl w:val="0"/>
          <w:numId w:val="6"/>
        </w:numPr>
      </w:pPr>
      <w:r>
        <w:t>Slings</w:t>
      </w:r>
    </w:p>
    <w:p w14:paraId="2369CB6C" w14:textId="48BDDC2A" w:rsidR="00F668C4" w:rsidRPr="00260932" w:rsidRDefault="005C4C2C" w:rsidP="00F668C4">
      <w:pPr>
        <w:pStyle w:val="ListParagraph"/>
        <w:numPr>
          <w:ilvl w:val="0"/>
          <w:numId w:val="6"/>
        </w:numPr>
      </w:pPr>
      <w:r>
        <w:t>Firm Support devices</w:t>
      </w:r>
    </w:p>
    <w:p w14:paraId="185B85F0" w14:textId="0A2E0B07" w:rsidR="00F668C4" w:rsidRPr="00260932" w:rsidRDefault="00CB6501" w:rsidP="00F668C4">
      <w:pPr>
        <w:pStyle w:val="Heading2"/>
      </w:pPr>
      <w:r w:rsidRPr="00260932">
        <w:t>Procedure</w:t>
      </w:r>
    </w:p>
    <w:p w14:paraId="77789C54" w14:textId="263AFC15" w:rsidR="005C4C2C" w:rsidRPr="005C4C2C" w:rsidRDefault="00F74627" w:rsidP="005C4C2C">
      <w:pPr>
        <w:pStyle w:val="Default"/>
        <w:spacing w:after="120"/>
        <w:ind w:left="288" w:hanging="289"/>
        <w:rPr>
          <w:b/>
          <w:sz w:val="22"/>
          <w:szCs w:val="22"/>
        </w:rPr>
      </w:pPr>
      <w:r w:rsidRPr="005C4C2C">
        <w:rPr>
          <w:b/>
          <w:sz w:val="22"/>
          <w:szCs w:val="22"/>
        </w:rPr>
        <w:t>Slings:</w:t>
      </w:r>
    </w:p>
    <w:p w14:paraId="69124497" w14:textId="67F1110B" w:rsidR="005C4C2C" w:rsidRDefault="005C4C2C" w:rsidP="005C4C2C">
      <w:pPr>
        <w:pStyle w:val="Default"/>
        <w:rPr>
          <w:sz w:val="22"/>
          <w:szCs w:val="22"/>
        </w:rPr>
      </w:pPr>
      <w:r>
        <w:rPr>
          <w:bCs/>
          <w:sz w:val="22"/>
          <w:szCs w:val="22"/>
        </w:rPr>
        <w:t>Slings p</w:t>
      </w:r>
      <w:r w:rsidRPr="005C4C2C">
        <w:rPr>
          <w:bCs/>
          <w:sz w:val="22"/>
          <w:szCs w:val="22"/>
        </w:rPr>
        <w:t>rovide</w:t>
      </w:r>
      <w:r>
        <w:rPr>
          <w:b/>
          <w:bCs/>
          <w:sz w:val="22"/>
          <w:szCs w:val="22"/>
        </w:rPr>
        <w:t xml:space="preserve"> </w:t>
      </w:r>
      <w:r w:rsidRPr="00260932">
        <w:rPr>
          <w:b/>
          <w:bCs/>
          <w:sz w:val="22"/>
          <w:szCs w:val="22"/>
        </w:rPr>
        <w:t>Temporary</w:t>
      </w:r>
      <w:r>
        <w:rPr>
          <w:b/>
          <w:bCs/>
          <w:sz w:val="22"/>
          <w:szCs w:val="22"/>
        </w:rPr>
        <w:t xml:space="preserve"> </w:t>
      </w:r>
      <w:r>
        <w:rPr>
          <w:sz w:val="22"/>
          <w:szCs w:val="22"/>
        </w:rPr>
        <w:t xml:space="preserve">support to the arm in situations where support cannot otherwise be given. Examples of these times are: </w:t>
      </w:r>
    </w:p>
    <w:p w14:paraId="7CDE3B47" w14:textId="77777777" w:rsidR="005C4C2C" w:rsidRDefault="005C4C2C" w:rsidP="005C4C2C">
      <w:pPr>
        <w:pStyle w:val="Default"/>
        <w:spacing w:after="78"/>
        <w:rPr>
          <w:sz w:val="22"/>
          <w:szCs w:val="22"/>
        </w:rPr>
      </w:pPr>
      <w:r>
        <w:rPr>
          <w:sz w:val="22"/>
          <w:szCs w:val="22"/>
        </w:rPr>
        <w:t xml:space="preserve">• During all transfers (including hoist transfers) </w:t>
      </w:r>
    </w:p>
    <w:p w14:paraId="74951E9B" w14:textId="77777777" w:rsidR="005C4C2C" w:rsidRDefault="005C4C2C" w:rsidP="005C4C2C">
      <w:pPr>
        <w:pStyle w:val="Default"/>
        <w:spacing w:before="120" w:after="60"/>
        <w:rPr>
          <w:sz w:val="22"/>
          <w:szCs w:val="22"/>
        </w:rPr>
      </w:pPr>
      <w:r>
        <w:rPr>
          <w:sz w:val="22"/>
          <w:szCs w:val="22"/>
        </w:rPr>
        <w:t xml:space="preserve">• While the patient is mobilising </w:t>
      </w:r>
    </w:p>
    <w:p w14:paraId="17C41E6A" w14:textId="77777777" w:rsidR="005C4C2C" w:rsidRDefault="005C4C2C" w:rsidP="005C4C2C">
      <w:pPr>
        <w:pStyle w:val="Default"/>
        <w:spacing w:before="120" w:after="60"/>
        <w:rPr>
          <w:sz w:val="22"/>
          <w:szCs w:val="22"/>
        </w:rPr>
      </w:pPr>
      <w:r>
        <w:rPr>
          <w:sz w:val="22"/>
          <w:szCs w:val="22"/>
        </w:rPr>
        <w:t xml:space="preserve">• While the patient is in the shower </w:t>
      </w:r>
    </w:p>
    <w:p w14:paraId="59CF96F5" w14:textId="77777777" w:rsidR="005C4C2C" w:rsidRDefault="005C4C2C" w:rsidP="005C4C2C">
      <w:pPr>
        <w:pStyle w:val="Default"/>
        <w:spacing w:before="120"/>
        <w:rPr>
          <w:sz w:val="22"/>
          <w:szCs w:val="22"/>
        </w:rPr>
      </w:pPr>
      <w:r>
        <w:rPr>
          <w:sz w:val="22"/>
          <w:szCs w:val="22"/>
        </w:rPr>
        <w:t xml:space="preserve">• While practising standing tasks in therapy. </w:t>
      </w:r>
    </w:p>
    <w:p w14:paraId="0BDF15AA" w14:textId="77777777" w:rsidR="005C4C2C" w:rsidRDefault="005C4C2C" w:rsidP="005C4C2C">
      <w:pPr>
        <w:pStyle w:val="Default"/>
        <w:rPr>
          <w:sz w:val="22"/>
          <w:szCs w:val="22"/>
        </w:rPr>
      </w:pPr>
    </w:p>
    <w:p w14:paraId="3C1AFD19" w14:textId="084EDA60" w:rsidR="005C4C2C" w:rsidRPr="00260932" w:rsidRDefault="005C4C2C" w:rsidP="005C4C2C">
      <w:pPr>
        <w:rPr>
          <w:i/>
        </w:rPr>
      </w:pPr>
      <w:r w:rsidRPr="00260932">
        <w:rPr>
          <w:b/>
          <w:bCs/>
          <w:i/>
        </w:rPr>
        <w:t>At all other times the patient’s upper limb should be supported using a firm supportive device such as a table tray, arm trough or pillows.</w:t>
      </w:r>
    </w:p>
    <w:p w14:paraId="27434979" w14:textId="6F551553" w:rsidR="005C4C2C" w:rsidRDefault="00F668C4" w:rsidP="003C17FB">
      <w:r>
        <w:rPr>
          <w:noProof/>
          <w:lang w:eastAsia="en-NZ"/>
        </w:rPr>
        <w:lastRenderedPageBreak/>
        <w:drawing>
          <wp:inline distT="0" distB="0" distL="0" distR="0" wp14:anchorId="4BE84E9C" wp14:editId="3D500F09">
            <wp:extent cx="2105025" cy="1626013"/>
            <wp:effectExtent l="0" t="0" r="0" b="0"/>
            <wp:docPr id="3" name="Picture 3" descr="\\waikato.health.govt.nz\Users\Hamilton\AtoFHome\BateL\My Pictures\4a04638b216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ikato.health.govt.nz\Users\Hamilton\AtoFHome\BateL\My Pictures\4a04638b216e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5770" cy="1634313"/>
                    </a:xfrm>
                    <a:prstGeom prst="rect">
                      <a:avLst/>
                    </a:prstGeom>
                    <a:noFill/>
                    <a:ln>
                      <a:noFill/>
                    </a:ln>
                  </pic:spPr>
                </pic:pic>
              </a:graphicData>
            </a:graphic>
          </wp:inline>
        </w:drawing>
      </w:r>
      <w:r>
        <w:rPr>
          <w:noProof/>
          <w:lang w:eastAsia="en-NZ"/>
        </w:rPr>
        <w:drawing>
          <wp:inline distT="0" distB="0" distL="0" distR="0" wp14:anchorId="72438A6A" wp14:editId="3788DA31">
            <wp:extent cx="2057400" cy="2057400"/>
            <wp:effectExtent l="0" t="0" r="0" b="0"/>
            <wp:docPr id="4" name="Picture 4" descr="\\waikato.health.govt.nz\Users\Hamilton\AtoFHome\BateL\My Pictures\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ikato.health.govt.nz\Users\Hamilton\AtoFHome\BateL\My Pictures\images[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r>
        <w:rPr>
          <w:noProof/>
          <w:lang w:eastAsia="en-NZ"/>
        </w:rPr>
        <w:drawing>
          <wp:inline distT="0" distB="0" distL="0" distR="0" wp14:anchorId="4E08B767" wp14:editId="0164F018">
            <wp:extent cx="1390650" cy="1390650"/>
            <wp:effectExtent l="0" t="0" r="0" b="0"/>
            <wp:docPr id="5" name="Picture 5" descr="\\waikato.health.govt.nz\Users\Hamilton\AtoFHome\BateL\My Pictures\imagesF1CFKV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ikato.health.govt.nz\Users\Hamilton\AtoFHome\BateL\My Pictures\imagesF1CFKVR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5B6664FF" w14:textId="77777777" w:rsidR="005C4C2C" w:rsidRDefault="005C4C2C" w:rsidP="003C17FB"/>
    <w:p w14:paraId="2893C671" w14:textId="77777777" w:rsidR="005C4C2C" w:rsidRPr="005C4C2C" w:rsidRDefault="005C4C2C" w:rsidP="005C4C2C">
      <w:pPr>
        <w:rPr>
          <w:b/>
        </w:rPr>
      </w:pPr>
      <w:r w:rsidRPr="005C4C2C">
        <w:rPr>
          <w:b/>
        </w:rPr>
        <w:t>Firm Support Devices:</w:t>
      </w:r>
    </w:p>
    <w:p w14:paraId="4830B7F0" w14:textId="77777777" w:rsidR="005C4C2C" w:rsidRDefault="005C4C2C" w:rsidP="005C4C2C">
      <w:r>
        <w:t>In order to avoid gravitational forces pulling on the hemiplegic upper limb, and to facilitate improved positioning and use of the upper limb, hemiplegic upper limbs should be supported using a firm supportive device whenever the patient is sitting out of bed.</w:t>
      </w:r>
    </w:p>
    <w:p w14:paraId="100D58B1" w14:textId="77777777" w:rsidR="005C4C2C" w:rsidRDefault="005C4C2C" w:rsidP="005C4C2C">
      <w:r>
        <w:t>The patient should be encouraged to have their arm positioned out away from their bodies instead of across their laps, to prevent shortening of the soft tissues in front of their shoulder.</w:t>
      </w:r>
    </w:p>
    <w:p w14:paraId="2CADAF16" w14:textId="5BE41B98" w:rsidR="00F668C4" w:rsidRDefault="00F668C4" w:rsidP="00CB6501">
      <w:pPr>
        <w:pStyle w:val="Heading2"/>
      </w:pPr>
      <w:r>
        <w:rPr>
          <w:noProof/>
          <w:lang w:eastAsia="en-NZ"/>
        </w:rPr>
        <w:drawing>
          <wp:inline distT="0" distB="0" distL="0" distR="0" wp14:anchorId="57DDF942" wp14:editId="4F87AE80">
            <wp:extent cx="1905000" cy="1905000"/>
            <wp:effectExtent l="0" t="0" r="0" b="0"/>
            <wp:docPr id="6" name="Picture 6" descr="\\waikato.health.govt.nz\Users\Hamilton\AtoFHome\BateL\My Pictures\ms27259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ikato.health.govt.nz\Users\Hamilton\AtoFHome\BateL\My Pictures\ms27259_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Pr>
          <w:noProof/>
          <w:lang w:eastAsia="en-NZ"/>
        </w:rPr>
        <w:drawing>
          <wp:inline distT="0" distB="0" distL="0" distR="0" wp14:anchorId="3BF2D011" wp14:editId="76F87CB5">
            <wp:extent cx="2099094" cy="1390650"/>
            <wp:effectExtent l="0" t="0" r="0" b="0"/>
            <wp:docPr id="8" name="Picture 8" descr="\\waikato.health.govt.nz\Users\Hamilton\AtoFHome\BateL\My Pictures\imagesAPE24U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ikato.health.govt.nz\Users\Hamilton\AtoFHome\BateL\My Pictures\imagesAPE24UI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9094" cy="1390650"/>
                    </a:xfrm>
                    <a:prstGeom prst="rect">
                      <a:avLst/>
                    </a:prstGeom>
                    <a:noFill/>
                    <a:ln>
                      <a:noFill/>
                    </a:ln>
                  </pic:spPr>
                </pic:pic>
              </a:graphicData>
            </a:graphic>
          </wp:inline>
        </w:drawing>
      </w:r>
      <w:r>
        <w:rPr>
          <w:noProof/>
          <w:lang w:eastAsia="en-NZ"/>
        </w:rPr>
        <w:drawing>
          <wp:inline distT="0" distB="0" distL="0" distR="0" wp14:anchorId="175427E6" wp14:editId="68D1ACD5">
            <wp:extent cx="1600200" cy="1600200"/>
            <wp:effectExtent l="0" t="0" r="0" b="0"/>
            <wp:docPr id="9" name="Picture 9" descr="\\waikato.health.govt.nz\Users\Hamilton\AtoFHome\BateL\My Pictures\67706-85303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ikato.health.govt.nz\Users\Hamilton\AtoFHome\BateL\My Pictures\67706-8530374[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1E22ADB5" w14:textId="77777777" w:rsidR="00F668C4" w:rsidRDefault="00F668C4" w:rsidP="00CB6501">
      <w:pPr>
        <w:pStyle w:val="Heading2"/>
      </w:pPr>
    </w:p>
    <w:p w14:paraId="35D5152E" w14:textId="77777777" w:rsidR="00F668C4" w:rsidRPr="00F668C4" w:rsidRDefault="00F668C4" w:rsidP="00F668C4"/>
    <w:p w14:paraId="5CA3471C" w14:textId="77777777" w:rsidR="00CB6501" w:rsidRPr="00260932" w:rsidRDefault="00CB6501" w:rsidP="00CB6501">
      <w:pPr>
        <w:pStyle w:val="Heading2"/>
      </w:pPr>
      <w:r w:rsidRPr="00260932">
        <w:t>Inclusion / Exclusion Criteria</w:t>
      </w:r>
    </w:p>
    <w:p w14:paraId="26C19C31" w14:textId="77777777" w:rsidR="005C4C2C" w:rsidRDefault="005C4C2C" w:rsidP="005C4C2C">
      <w:pPr>
        <w:pStyle w:val="Default"/>
      </w:pPr>
    </w:p>
    <w:p w14:paraId="5813979D" w14:textId="02AC476B" w:rsidR="005C4C2C" w:rsidRPr="005C4C2C" w:rsidRDefault="005C4C2C" w:rsidP="005C4C2C">
      <w:pPr>
        <w:pStyle w:val="Default"/>
        <w:rPr>
          <w:b/>
        </w:rPr>
      </w:pPr>
      <w:r w:rsidRPr="005C4C2C">
        <w:rPr>
          <w:b/>
        </w:rPr>
        <w:t>Slings:</w:t>
      </w:r>
    </w:p>
    <w:p w14:paraId="17E526E0" w14:textId="6C91CBF4" w:rsidR="005C4C2C" w:rsidRDefault="005C4C2C" w:rsidP="005C4C2C">
      <w:r>
        <w:t xml:space="preserve"> Slings should be used when the patient has insufficient muscular return around the shoulder joint to protect the shoulder from injury.</w:t>
      </w:r>
    </w:p>
    <w:p w14:paraId="304A4CC6" w14:textId="684D23EA" w:rsidR="005C4C2C" w:rsidRDefault="005C4C2C" w:rsidP="005C4C2C">
      <w:r w:rsidRPr="005C4C2C">
        <w:t>A patient may also require a sling for periods through the day if they are at an unusually high risk of injury the arm due to poor sensation, and/or have severe perceptual problems.</w:t>
      </w:r>
    </w:p>
    <w:p w14:paraId="7267A943" w14:textId="443C23E8" w:rsidR="005C4C2C" w:rsidRDefault="005C4C2C" w:rsidP="005C4C2C">
      <w:r w:rsidRPr="005C4C2C">
        <w:t>Alternately, patients who are at high risk of developing oedema in their hand may require a sling while mobilising even if they have good recovery around their shoulder.</w:t>
      </w:r>
    </w:p>
    <w:p w14:paraId="5FAEB5F1" w14:textId="77777777" w:rsidR="00CB6501" w:rsidRPr="00260932" w:rsidRDefault="00CB6501" w:rsidP="00CB6501">
      <w:pPr>
        <w:pStyle w:val="Heading2"/>
      </w:pPr>
      <w:r w:rsidRPr="00260932">
        <w:lastRenderedPageBreak/>
        <w:t>Precautions</w:t>
      </w:r>
    </w:p>
    <w:p w14:paraId="230010F4" w14:textId="5497365C" w:rsidR="005C4C2C" w:rsidRDefault="005C4C2C" w:rsidP="005C4C2C">
      <w:pPr>
        <w:pStyle w:val="Default"/>
        <w:rPr>
          <w:sz w:val="22"/>
          <w:szCs w:val="22"/>
        </w:rPr>
      </w:pPr>
      <w:r>
        <w:rPr>
          <w:sz w:val="22"/>
          <w:szCs w:val="22"/>
        </w:rPr>
        <w:t xml:space="preserve">Prolonged use of a sling to support the patient’s upper limb is discouraged because: </w:t>
      </w:r>
    </w:p>
    <w:p w14:paraId="238E194C" w14:textId="28F10D06" w:rsidR="005C4C2C" w:rsidRDefault="005C4C2C" w:rsidP="005C4C2C">
      <w:pPr>
        <w:pStyle w:val="Default"/>
        <w:numPr>
          <w:ilvl w:val="0"/>
          <w:numId w:val="5"/>
        </w:numPr>
        <w:spacing w:after="78"/>
        <w:rPr>
          <w:sz w:val="22"/>
          <w:szCs w:val="22"/>
        </w:rPr>
      </w:pPr>
      <w:r>
        <w:rPr>
          <w:sz w:val="22"/>
          <w:szCs w:val="22"/>
        </w:rPr>
        <w:t xml:space="preserve">Muscles and other soft tissues in the upper limb will become shortened, especially in the shoulder internal rotators, adductors, biceps, wrist and finger flexors and forearm pronators. This is linked with the development of shoulder pain. </w:t>
      </w:r>
    </w:p>
    <w:p w14:paraId="1D6D2F62" w14:textId="5F9A6686" w:rsidR="005C4C2C" w:rsidRDefault="005C4C2C" w:rsidP="005C4C2C">
      <w:pPr>
        <w:pStyle w:val="Default"/>
        <w:numPr>
          <w:ilvl w:val="0"/>
          <w:numId w:val="5"/>
        </w:numPr>
        <w:spacing w:after="78"/>
        <w:rPr>
          <w:sz w:val="22"/>
          <w:szCs w:val="22"/>
        </w:rPr>
      </w:pPr>
      <w:r>
        <w:rPr>
          <w:sz w:val="22"/>
          <w:szCs w:val="22"/>
        </w:rPr>
        <w:t xml:space="preserve">The patient is prevented from using any active return they may have in their upper limb, and is stopped from using it a functional way. </w:t>
      </w:r>
    </w:p>
    <w:p w14:paraId="00BF93FA" w14:textId="415C1E16" w:rsidR="005C4C2C" w:rsidRDefault="005C4C2C" w:rsidP="005C4C2C">
      <w:pPr>
        <w:pStyle w:val="Default"/>
        <w:numPr>
          <w:ilvl w:val="0"/>
          <w:numId w:val="5"/>
        </w:numPr>
        <w:spacing w:after="78"/>
        <w:rPr>
          <w:sz w:val="22"/>
          <w:szCs w:val="22"/>
        </w:rPr>
      </w:pPr>
      <w:r>
        <w:rPr>
          <w:sz w:val="22"/>
          <w:szCs w:val="22"/>
        </w:rPr>
        <w:t xml:space="preserve">The patient may learn disuse of their upper limb. </w:t>
      </w:r>
    </w:p>
    <w:p w14:paraId="509C9B56" w14:textId="05FB120E" w:rsidR="005C4C2C" w:rsidRDefault="005C4C2C" w:rsidP="005C4C2C">
      <w:pPr>
        <w:pStyle w:val="Default"/>
        <w:numPr>
          <w:ilvl w:val="0"/>
          <w:numId w:val="5"/>
        </w:numPr>
        <w:rPr>
          <w:sz w:val="22"/>
          <w:szCs w:val="22"/>
        </w:rPr>
      </w:pPr>
      <w:r>
        <w:rPr>
          <w:sz w:val="22"/>
          <w:szCs w:val="22"/>
        </w:rPr>
        <w:t xml:space="preserve">The patient may develop a distorted body image. </w:t>
      </w:r>
    </w:p>
    <w:p w14:paraId="774394A1" w14:textId="77777777" w:rsidR="005C4C2C" w:rsidRPr="005C4C2C" w:rsidRDefault="005C4C2C" w:rsidP="005C4C2C"/>
    <w:p w14:paraId="06E130C9" w14:textId="77777777" w:rsidR="00CB6501" w:rsidRPr="00260932" w:rsidRDefault="00CB6501" w:rsidP="00CB6501">
      <w:pPr>
        <w:pStyle w:val="Heading2"/>
      </w:pPr>
      <w:r w:rsidRPr="00260932">
        <w:t>Evidence</w:t>
      </w:r>
    </w:p>
    <w:p w14:paraId="3F07360F" w14:textId="49A8A15E" w:rsidR="005C4C2C" w:rsidRDefault="005C4C2C" w:rsidP="005C4C2C">
      <w:r>
        <w:t>There is evidence to suggest that devices such as table trays, triangular slings and arm troughs provide immediate reduction of shoulder subluxation. This reduction is not maintained on the removal</w:t>
      </w:r>
      <w:r w:rsidR="00F668C4">
        <w:t xml:space="preserve"> of the device (Ada et al, 2005</w:t>
      </w:r>
      <w:r>
        <w:t>).</w:t>
      </w:r>
    </w:p>
    <w:p w14:paraId="12B1A768" w14:textId="07CA585F" w:rsidR="005C4C2C" w:rsidRPr="005C4C2C" w:rsidRDefault="005C4C2C" w:rsidP="005C4C2C">
      <w:r w:rsidRPr="005C4C2C">
        <w:t xml:space="preserve">The National Stroke Foundation </w:t>
      </w:r>
      <w:r w:rsidR="002E460D">
        <w:t xml:space="preserve">(Australia) 2017 </w:t>
      </w:r>
      <w:r w:rsidRPr="005C4C2C">
        <w:t xml:space="preserve">guidelines recommend that firm supportive devices </w:t>
      </w:r>
      <w:r w:rsidR="002E460D">
        <w:t>may</w:t>
      </w:r>
      <w:r w:rsidRPr="005C4C2C">
        <w:t xml:space="preserve"> be used in patients with severe upper limb weakness that are at risk of developing shoulder subluxation, and may be used for patients who have already developed a shoulder subluxation (National Stroke Foundation </w:t>
      </w:r>
      <w:r w:rsidR="002E460D">
        <w:t xml:space="preserve">(Australia) </w:t>
      </w:r>
      <w:r w:rsidRPr="005C4C2C">
        <w:t>Guidel</w:t>
      </w:r>
      <w:r w:rsidR="002E460D">
        <w:t>ines, 2017</w:t>
      </w:r>
      <w:r w:rsidRPr="005C4C2C">
        <w:t>).</w:t>
      </w:r>
    </w:p>
    <w:p w14:paraId="336EC22B" w14:textId="77777777" w:rsidR="00E7032E" w:rsidRDefault="00E7032E" w:rsidP="006D7EBC">
      <w:pPr>
        <w:jc w:val="both"/>
      </w:pPr>
    </w:p>
    <w:p w14:paraId="3FBE2262" w14:textId="77777777" w:rsidR="00CB6501" w:rsidRPr="00260932" w:rsidRDefault="00CB6501" w:rsidP="00CB6501">
      <w:pPr>
        <w:pStyle w:val="Heading2"/>
      </w:pPr>
      <w:r w:rsidRPr="00260932">
        <w:t>Information for Patients / Families / Whanau</w:t>
      </w:r>
    </w:p>
    <w:p w14:paraId="3160BBF4" w14:textId="788E03B4" w:rsidR="004F4621" w:rsidRPr="00260932" w:rsidRDefault="00F668C4">
      <w:r w:rsidRPr="00260932">
        <w:t>See stroke foundation positionin</w:t>
      </w:r>
      <w:r w:rsidR="002E460D">
        <w:t>g for left and right hemiplegia.</w:t>
      </w:r>
    </w:p>
    <w:p w14:paraId="6717434C" w14:textId="77777777" w:rsidR="004F4621" w:rsidRPr="00260932" w:rsidRDefault="004F4621" w:rsidP="00DF540A">
      <w:pPr>
        <w:jc w:val="both"/>
        <w:rPr>
          <w:rFonts w:asciiTheme="majorHAnsi" w:hAnsiTheme="majorHAnsi"/>
          <w:sz w:val="26"/>
          <w:szCs w:val="26"/>
        </w:rPr>
      </w:pPr>
      <w:r w:rsidRPr="00260932">
        <w:rPr>
          <w:rFonts w:asciiTheme="majorHAnsi" w:hAnsiTheme="majorHAnsi"/>
          <w:sz w:val="26"/>
          <w:szCs w:val="26"/>
        </w:rPr>
        <w:t>References:</w:t>
      </w:r>
    </w:p>
    <w:p w14:paraId="3484D669" w14:textId="3D763CEB" w:rsidR="00F668C4" w:rsidRPr="00F668C4" w:rsidRDefault="00F668C4" w:rsidP="00DF540A">
      <w:pPr>
        <w:jc w:val="both"/>
      </w:pPr>
      <w:r w:rsidRPr="00F668C4">
        <w:t xml:space="preserve">Ada, L., </w:t>
      </w:r>
      <w:proofErr w:type="spellStart"/>
      <w:r w:rsidRPr="00F668C4">
        <w:t>Foongchomcheay</w:t>
      </w:r>
      <w:proofErr w:type="spellEnd"/>
      <w:r w:rsidRPr="00F668C4">
        <w:t>, A., Canning, C. G. (2005). Supportive devices for preventing and treating subluxation of the shoulder after stroke. Stroke, 36(8), 1818-1819.</w:t>
      </w:r>
    </w:p>
    <w:p w14:paraId="6358507E" w14:textId="78C5BEA2" w:rsidR="00F668C4" w:rsidRPr="00F668C4" w:rsidRDefault="00F668C4" w:rsidP="00F668C4">
      <w:proofErr w:type="spellStart"/>
      <w:r w:rsidRPr="00F668C4">
        <w:t>Dieruf</w:t>
      </w:r>
      <w:proofErr w:type="spellEnd"/>
      <w:r w:rsidRPr="00F668C4">
        <w:t xml:space="preserve"> K. et al (2005) Archives of Physical Medicine and Rehabilitation. Volume 86, Issue </w:t>
      </w:r>
      <w:proofErr w:type="gramStart"/>
      <w:r w:rsidRPr="00F668C4">
        <w:t>12 ,</w:t>
      </w:r>
      <w:proofErr w:type="gramEnd"/>
      <w:r w:rsidRPr="00F668C4">
        <w:t xml:space="preserve"> Pages 2324-2329.</w:t>
      </w:r>
    </w:p>
    <w:p w14:paraId="136C7B3F" w14:textId="60C65A58" w:rsidR="00F668C4" w:rsidRPr="00F668C4" w:rsidRDefault="00F668C4" w:rsidP="00F668C4">
      <w:r w:rsidRPr="00F668C4">
        <w:t>New Zealand Clinical Guidelines for Stroke Management 2010</w:t>
      </w:r>
    </w:p>
    <w:p w14:paraId="3FE56781" w14:textId="14F23339" w:rsidR="00F74627" w:rsidRDefault="00F668C4" w:rsidP="00F668C4">
      <w:r w:rsidRPr="00F668C4">
        <w:t xml:space="preserve">Turner- Stokes </w:t>
      </w:r>
      <w:r w:rsidR="009E116D">
        <w:t>L., J</w:t>
      </w:r>
      <w:r w:rsidRPr="00F668C4">
        <w:t>ackson</w:t>
      </w:r>
      <w:r w:rsidR="009E116D">
        <w:t xml:space="preserve"> (2</w:t>
      </w:r>
      <w:r w:rsidR="00C92992">
        <w:t>002) Shoulder pain after stroke</w:t>
      </w:r>
      <w:bookmarkStart w:id="0" w:name="_GoBack"/>
      <w:bookmarkEnd w:id="0"/>
      <w:r w:rsidR="009E116D">
        <w:t>: a review of the evidence base to inform the development of an integrated care pathway. Clinical Rehabilitation 16:276-298</w:t>
      </w:r>
      <w:r w:rsidRPr="00F668C4">
        <w:t xml:space="preserve"> </w:t>
      </w:r>
    </w:p>
    <w:p w14:paraId="1B881A94" w14:textId="5DA39628" w:rsidR="00F74627" w:rsidRDefault="00F668C4" w:rsidP="00F668C4">
      <w:proofErr w:type="spellStart"/>
      <w:r w:rsidRPr="00F668C4">
        <w:t>Snels</w:t>
      </w:r>
      <w:proofErr w:type="spellEnd"/>
      <w:r w:rsidRPr="00F668C4">
        <w:t xml:space="preserve"> et al </w:t>
      </w:r>
      <w:r w:rsidR="009E116D">
        <w:t>(2002) Treating patients with hemiplegic shoulder pain. American Journal of Physical Medicine and Rehabilitation: 81:150-60</w:t>
      </w:r>
    </w:p>
    <w:p w14:paraId="351BAC98" w14:textId="1344FD04" w:rsidR="00F668C4" w:rsidRPr="00F668C4" w:rsidRDefault="009E116D" w:rsidP="00F668C4">
      <w:r>
        <w:t xml:space="preserve"> </w:t>
      </w:r>
      <w:proofErr w:type="spellStart"/>
      <w:r>
        <w:t>Zorowitz</w:t>
      </w:r>
      <w:proofErr w:type="spellEnd"/>
      <w:r>
        <w:t xml:space="preserve">, R.D., Hughes, M.B, </w:t>
      </w:r>
      <w:proofErr w:type="spellStart"/>
      <w:r>
        <w:t>Idank</w:t>
      </w:r>
      <w:proofErr w:type="spellEnd"/>
      <w:r>
        <w:t xml:space="preserve">, D, </w:t>
      </w:r>
      <w:proofErr w:type="spellStart"/>
      <w:r>
        <w:t>Ikai</w:t>
      </w:r>
      <w:proofErr w:type="spellEnd"/>
      <w:r>
        <w:t>, T, Johnston, M.V, (1996) Shoulder pain and subluxation after stroke: Correlation or coincidence</w:t>
      </w:r>
      <w:proofErr w:type="gramStart"/>
      <w:r>
        <w:t>?.</w:t>
      </w:r>
      <w:proofErr w:type="gramEnd"/>
      <w:r>
        <w:t xml:space="preserve"> American Journal of Occupational Therapy Vol 50.No3</w:t>
      </w:r>
      <w:r w:rsidR="00F668C4" w:rsidRPr="00F668C4">
        <w:t xml:space="preserve"> </w:t>
      </w:r>
    </w:p>
    <w:p w14:paraId="3685DB16" w14:textId="77777777" w:rsidR="00F668C4" w:rsidRPr="00061E14" w:rsidRDefault="00F668C4" w:rsidP="00DF540A">
      <w:pPr>
        <w:jc w:val="both"/>
        <w:rPr>
          <w:b/>
        </w:rPr>
      </w:pPr>
    </w:p>
    <w:p w14:paraId="40D2617E" w14:textId="2D0D6E0C" w:rsidR="00061E14" w:rsidRDefault="00061E14" w:rsidP="00DF540A">
      <w:pPr>
        <w:jc w:val="both"/>
      </w:pPr>
    </w:p>
    <w:sectPr w:rsidR="00061E14" w:rsidSect="00C6546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C8385" w14:textId="77777777" w:rsidR="00C6546F" w:rsidRDefault="00C6546F" w:rsidP="00C6546F">
      <w:pPr>
        <w:spacing w:after="0" w:line="240" w:lineRule="auto"/>
      </w:pPr>
      <w:r>
        <w:separator/>
      </w:r>
    </w:p>
  </w:endnote>
  <w:endnote w:type="continuationSeparator" w:id="0">
    <w:p w14:paraId="77F97CB3" w14:textId="77777777" w:rsidR="00C6546F" w:rsidRDefault="00C6546F" w:rsidP="00C6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Typewriter">
    <w:panose1 w:val="020B0509030504030204"/>
    <w:charset w:val="00"/>
    <w:family w:val="modern"/>
    <w:pitch w:val="fixed"/>
    <w:sig w:usb0="00000003" w:usb1="00000000" w:usb2="00000000" w:usb3="00000000" w:csb0="00000001" w:csb1="00000000"/>
  </w:font>
  <w:font w:name="Ubuntu">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C4388" w14:textId="77777777" w:rsidR="00E942E4" w:rsidRDefault="00E942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857710"/>
      <w:docPartObj>
        <w:docPartGallery w:val="Page Numbers (Bottom of Page)"/>
        <w:docPartUnique/>
      </w:docPartObj>
    </w:sdtPr>
    <w:sdtEndPr>
      <w:rPr>
        <w:noProof/>
      </w:rPr>
    </w:sdtEndPr>
    <w:sdtContent>
      <w:p w14:paraId="7F812273" w14:textId="42FA6985" w:rsidR="0039633B" w:rsidRDefault="0039633B">
        <w:pPr>
          <w:pStyle w:val="Footer"/>
          <w:jc w:val="right"/>
        </w:pPr>
        <w:r>
          <w:fldChar w:fldCharType="begin"/>
        </w:r>
        <w:r>
          <w:instrText xml:space="preserve"> PAGE   \* MERGEFORMAT </w:instrText>
        </w:r>
        <w:r>
          <w:fldChar w:fldCharType="separate"/>
        </w:r>
        <w:r w:rsidR="00C92992">
          <w:rPr>
            <w:noProof/>
          </w:rPr>
          <w:t>3</w:t>
        </w:r>
        <w:r>
          <w:rPr>
            <w:noProof/>
          </w:rPr>
          <w:fldChar w:fldCharType="end"/>
        </w:r>
      </w:p>
    </w:sdtContent>
  </w:sdt>
  <w:p w14:paraId="237F5D73" w14:textId="77777777" w:rsidR="004A1FF5" w:rsidRPr="00E942E4" w:rsidRDefault="004A1FF5" w:rsidP="004A1FF5">
    <w:pPr>
      <w:tabs>
        <w:tab w:val="center" w:pos="4513"/>
        <w:tab w:val="right" w:pos="9026"/>
      </w:tabs>
      <w:spacing w:after="0" w:line="240" w:lineRule="auto"/>
      <w:rPr>
        <w:caps/>
        <w:color w:val="253D45" w:themeColor="accent1"/>
        <w:sz w:val="18"/>
        <w:szCs w:val="18"/>
      </w:rPr>
    </w:pPr>
    <w:r w:rsidRPr="00E942E4">
      <w:rPr>
        <w:caps/>
        <w:color w:val="253D45" w:themeColor="accent1"/>
        <w:sz w:val="18"/>
        <w:szCs w:val="18"/>
      </w:rPr>
      <w:t>NSN – upper Limb Guides</w:t>
    </w:r>
    <w:r w:rsidRPr="00E942E4">
      <w:rPr>
        <w:caps/>
        <w:color w:val="253D45" w:themeColor="accent1"/>
        <w:sz w:val="18"/>
        <w:szCs w:val="18"/>
      </w:rPr>
      <w:ptab w:relativeTo="margin" w:alignment="center" w:leader="none"/>
    </w:r>
    <w:r>
      <w:rPr>
        <w:caps/>
        <w:color w:val="253D45" w:themeColor="accent1"/>
        <w:sz w:val="18"/>
        <w:szCs w:val="18"/>
      </w:rPr>
      <w:t>Firm Support Devices</w:t>
    </w:r>
    <w:r w:rsidRPr="00E942E4">
      <w:rPr>
        <w:caps/>
        <w:color w:val="253D45" w:themeColor="accent1"/>
        <w:sz w:val="18"/>
        <w:szCs w:val="18"/>
      </w:rPr>
      <w:ptab w:relativeTo="margin" w:alignment="right" w:leader="none"/>
    </w:r>
    <w:r w:rsidRPr="00E942E4">
      <w:rPr>
        <w:caps/>
        <w:color w:val="253D45" w:themeColor="accent1"/>
        <w:sz w:val="18"/>
        <w:szCs w:val="18"/>
      </w:rPr>
      <w:t>July 2017</w:t>
    </w:r>
  </w:p>
  <w:p w14:paraId="6830DC24" w14:textId="77777777" w:rsidR="004A1FF5" w:rsidRPr="00E942E4" w:rsidRDefault="004A1FF5" w:rsidP="004A1FF5">
    <w:pPr>
      <w:tabs>
        <w:tab w:val="center" w:pos="4513"/>
        <w:tab w:val="right" w:pos="9026"/>
      </w:tabs>
      <w:spacing w:after="0" w:line="240" w:lineRule="auto"/>
      <w:rPr>
        <w:i/>
        <w:caps/>
        <w:color w:val="253D45" w:themeColor="accent1"/>
        <w:sz w:val="16"/>
        <w:szCs w:val="16"/>
      </w:rPr>
    </w:pPr>
    <w:r w:rsidRPr="00E942E4">
      <w:rPr>
        <w:i/>
        <w:caps/>
        <w:color w:val="253D45" w:themeColor="accent1"/>
        <w:sz w:val="16"/>
        <w:szCs w:val="16"/>
      </w:rPr>
      <w:t xml:space="preserve">These guides are designed to augment the Via Therapy app – </w:t>
    </w:r>
    <w:hyperlink r:id="rId1" w:history="1">
      <w:r w:rsidRPr="00E942E4">
        <w:rPr>
          <w:i/>
          <w:caps/>
          <w:color w:val="1E17B1" w:themeColor="hyperlink"/>
          <w:sz w:val="16"/>
          <w:szCs w:val="16"/>
          <w:u w:val="single"/>
        </w:rPr>
        <w:t>www.viatherapy.org</w:t>
      </w:r>
    </w:hyperlink>
  </w:p>
  <w:p w14:paraId="12A00C2D" w14:textId="77777777" w:rsidR="0039633B" w:rsidRDefault="003963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5F4E5" w14:textId="77777777" w:rsidR="00E942E4" w:rsidRPr="00E942E4" w:rsidRDefault="00E942E4" w:rsidP="00E942E4">
    <w:pPr>
      <w:tabs>
        <w:tab w:val="center" w:pos="4513"/>
        <w:tab w:val="right" w:pos="9026"/>
      </w:tabs>
      <w:spacing w:after="0" w:line="240" w:lineRule="auto"/>
    </w:pPr>
    <w:r w:rsidRPr="00E942E4">
      <w:tab/>
    </w:r>
  </w:p>
  <w:p w14:paraId="6D80D40C" w14:textId="7C036436" w:rsidR="00E942E4" w:rsidRPr="00E942E4" w:rsidRDefault="00E942E4" w:rsidP="00E942E4">
    <w:pPr>
      <w:tabs>
        <w:tab w:val="center" w:pos="4513"/>
        <w:tab w:val="right" w:pos="9026"/>
      </w:tabs>
      <w:spacing w:after="0" w:line="240" w:lineRule="auto"/>
      <w:rPr>
        <w:caps/>
        <w:color w:val="253D45" w:themeColor="accent1"/>
        <w:sz w:val="18"/>
        <w:szCs w:val="18"/>
      </w:rPr>
    </w:pPr>
    <w:r w:rsidRPr="00E942E4">
      <w:rPr>
        <w:caps/>
        <w:color w:val="253D45" w:themeColor="accent1"/>
        <w:sz w:val="18"/>
        <w:szCs w:val="18"/>
      </w:rPr>
      <w:t>NSN – upper Limb Guides</w:t>
    </w:r>
    <w:r w:rsidRPr="00E942E4">
      <w:rPr>
        <w:caps/>
        <w:color w:val="253D45" w:themeColor="accent1"/>
        <w:sz w:val="18"/>
        <w:szCs w:val="18"/>
      </w:rPr>
      <w:ptab w:relativeTo="margin" w:alignment="center" w:leader="none"/>
    </w:r>
    <w:r>
      <w:rPr>
        <w:caps/>
        <w:color w:val="253D45" w:themeColor="accent1"/>
        <w:sz w:val="18"/>
        <w:szCs w:val="18"/>
      </w:rPr>
      <w:t>Firm Support Devices</w:t>
    </w:r>
    <w:r w:rsidRPr="00E942E4">
      <w:rPr>
        <w:caps/>
        <w:color w:val="253D45" w:themeColor="accent1"/>
        <w:sz w:val="18"/>
        <w:szCs w:val="18"/>
      </w:rPr>
      <w:ptab w:relativeTo="margin" w:alignment="right" w:leader="none"/>
    </w:r>
    <w:r w:rsidRPr="00E942E4">
      <w:rPr>
        <w:caps/>
        <w:color w:val="253D45" w:themeColor="accent1"/>
        <w:sz w:val="18"/>
        <w:szCs w:val="18"/>
      </w:rPr>
      <w:t>July 2017</w:t>
    </w:r>
  </w:p>
  <w:p w14:paraId="0253CEEB" w14:textId="77777777" w:rsidR="00E942E4" w:rsidRPr="00E942E4" w:rsidRDefault="00E942E4" w:rsidP="00E942E4">
    <w:pPr>
      <w:tabs>
        <w:tab w:val="center" w:pos="4513"/>
        <w:tab w:val="right" w:pos="9026"/>
      </w:tabs>
      <w:spacing w:after="0" w:line="240" w:lineRule="auto"/>
      <w:rPr>
        <w:i/>
        <w:caps/>
        <w:color w:val="253D45" w:themeColor="accent1"/>
        <w:sz w:val="16"/>
        <w:szCs w:val="16"/>
      </w:rPr>
    </w:pPr>
    <w:r w:rsidRPr="00E942E4">
      <w:rPr>
        <w:i/>
        <w:caps/>
        <w:color w:val="253D45" w:themeColor="accent1"/>
        <w:sz w:val="16"/>
        <w:szCs w:val="16"/>
      </w:rPr>
      <w:t xml:space="preserve">These guides are designed to augment the Via Therapy app – </w:t>
    </w:r>
    <w:hyperlink r:id="rId1" w:history="1">
      <w:r w:rsidRPr="00E942E4">
        <w:rPr>
          <w:i/>
          <w:caps/>
          <w:color w:val="1E17B1" w:themeColor="hyperlink"/>
          <w:sz w:val="16"/>
          <w:szCs w:val="16"/>
          <w:u w:val="single"/>
        </w:rPr>
        <w:t>www.viatherapy.org</w:t>
      </w:r>
    </w:hyperlink>
  </w:p>
  <w:p w14:paraId="13C7BA72" w14:textId="63559EB2" w:rsidR="00260932" w:rsidRPr="00E942E4" w:rsidRDefault="00260932" w:rsidP="00E94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4619F" w14:textId="77777777" w:rsidR="00C6546F" w:rsidRDefault="00C6546F" w:rsidP="00C6546F">
      <w:pPr>
        <w:spacing w:after="0" w:line="240" w:lineRule="auto"/>
      </w:pPr>
      <w:r>
        <w:separator/>
      </w:r>
    </w:p>
  </w:footnote>
  <w:footnote w:type="continuationSeparator" w:id="0">
    <w:p w14:paraId="69567CF0" w14:textId="77777777" w:rsidR="00C6546F" w:rsidRDefault="00C6546F" w:rsidP="00C65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CE67E" w14:textId="77777777" w:rsidR="00E942E4" w:rsidRDefault="00E942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2DABD" w14:textId="77777777" w:rsidR="00C6546F" w:rsidRDefault="00C6546F" w:rsidP="00C6546F">
    <w:pPr>
      <w:framePr w:wrap="notBeside" w:vAnchor="text" w:hAnchor="page" w:x="5731" w:y="1"/>
      <w:rPr>
        <w:rFonts w:ascii="Ubuntu" w:hAnsi="Ubuntu"/>
        <w:color w:val="000000"/>
        <w:sz w:val="16"/>
      </w:rPr>
    </w:pPr>
  </w:p>
  <w:p w14:paraId="30CE586E" w14:textId="1AF05D32" w:rsidR="00C6546F" w:rsidRDefault="00C6546F">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BE3B" w14:textId="77777777" w:rsidR="00C6546F" w:rsidRDefault="00C6546F" w:rsidP="00C6546F">
    <w:pPr>
      <w:framePr w:wrap="notBeside" w:vAnchor="text" w:hAnchor="page" w:x="5731" w:y="1"/>
      <w:rPr>
        <w:rFonts w:ascii="Ubuntu" w:hAnsi="Ubuntu"/>
        <w:color w:val="000000"/>
        <w:sz w:val="16"/>
      </w:rPr>
    </w:pPr>
  </w:p>
  <w:p w14:paraId="5C63B3AD" w14:textId="77777777" w:rsidR="00C6546F" w:rsidRDefault="00C6546F" w:rsidP="00C6546F">
    <w:pPr>
      <w:pStyle w:val="Header"/>
      <w:jc w:val="center"/>
    </w:pPr>
    <w:r>
      <w:rPr>
        <w:noProof/>
        <w:lang w:eastAsia="en-NZ"/>
      </w:rPr>
      <w:drawing>
        <wp:inline distT="0" distB="0" distL="0" distR="0" wp14:anchorId="52F4C710" wp14:editId="138580C4">
          <wp:extent cx="1428750"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77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21C1"/>
    <w:multiLevelType w:val="hybridMultilevel"/>
    <w:tmpl w:val="76EEE28A"/>
    <w:lvl w:ilvl="0" w:tplc="008C62B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99E219C"/>
    <w:multiLevelType w:val="hybridMultilevel"/>
    <w:tmpl w:val="28BC2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041792"/>
    <w:multiLevelType w:val="hybridMultilevel"/>
    <w:tmpl w:val="D0D4E1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28C4585"/>
    <w:multiLevelType w:val="hybridMultilevel"/>
    <w:tmpl w:val="D376D94C"/>
    <w:lvl w:ilvl="0" w:tplc="AA586DE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80C3E62"/>
    <w:multiLevelType w:val="hybridMultilevel"/>
    <w:tmpl w:val="C9986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B216BD3"/>
    <w:multiLevelType w:val="hybridMultilevel"/>
    <w:tmpl w:val="FDB0EE3E"/>
    <w:lvl w:ilvl="0" w:tplc="8A6CEA6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6F"/>
    <w:rsid w:val="00061E14"/>
    <w:rsid w:val="0007787A"/>
    <w:rsid w:val="00165923"/>
    <w:rsid w:val="001F0FE3"/>
    <w:rsid w:val="00214EB7"/>
    <w:rsid w:val="002457F9"/>
    <w:rsid w:val="00260932"/>
    <w:rsid w:val="002E460D"/>
    <w:rsid w:val="0039633B"/>
    <w:rsid w:val="003C17FB"/>
    <w:rsid w:val="0040530D"/>
    <w:rsid w:val="004A1FF5"/>
    <w:rsid w:val="004F4621"/>
    <w:rsid w:val="00576745"/>
    <w:rsid w:val="005C4C2C"/>
    <w:rsid w:val="00685921"/>
    <w:rsid w:val="006D7EBC"/>
    <w:rsid w:val="0077314E"/>
    <w:rsid w:val="007F502D"/>
    <w:rsid w:val="008750D8"/>
    <w:rsid w:val="008D432B"/>
    <w:rsid w:val="00963A97"/>
    <w:rsid w:val="0099395C"/>
    <w:rsid w:val="009B2653"/>
    <w:rsid w:val="009C4550"/>
    <w:rsid w:val="009E116D"/>
    <w:rsid w:val="00AA34BB"/>
    <w:rsid w:val="00C6546F"/>
    <w:rsid w:val="00C92992"/>
    <w:rsid w:val="00CB6501"/>
    <w:rsid w:val="00D4637C"/>
    <w:rsid w:val="00DD638E"/>
    <w:rsid w:val="00DF540A"/>
    <w:rsid w:val="00E52051"/>
    <w:rsid w:val="00E7032E"/>
    <w:rsid w:val="00E942E4"/>
    <w:rsid w:val="00EF773A"/>
    <w:rsid w:val="00F668C4"/>
    <w:rsid w:val="00F73216"/>
    <w:rsid w:val="00F746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561B6E"/>
  <w15:docId w15:val="{3274CE1E-A685-45FA-99F1-A086F00F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51"/>
  </w:style>
  <w:style w:type="paragraph" w:styleId="Heading1">
    <w:name w:val="heading 1"/>
    <w:basedOn w:val="Normal"/>
    <w:next w:val="Normal"/>
    <w:link w:val="Heading1Char"/>
    <w:uiPriority w:val="9"/>
    <w:qFormat/>
    <w:rsid w:val="00E52051"/>
    <w:pPr>
      <w:keepNext/>
      <w:keepLines/>
      <w:spacing w:before="480" w:after="0"/>
      <w:outlineLvl w:val="0"/>
    </w:pPr>
    <w:rPr>
      <w:rFonts w:asciiTheme="majorHAnsi" w:eastAsiaTheme="majorEastAsia" w:hAnsiTheme="majorHAnsi" w:cstheme="majorBidi"/>
      <w:b/>
      <w:bCs/>
      <w:color w:val="1B2D33" w:themeColor="accent1" w:themeShade="BF"/>
      <w:sz w:val="28"/>
      <w:szCs w:val="28"/>
    </w:rPr>
  </w:style>
  <w:style w:type="paragraph" w:styleId="Heading2">
    <w:name w:val="heading 2"/>
    <w:basedOn w:val="Normal"/>
    <w:next w:val="Normal"/>
    <w:link w:val="Heading2Char"/>
    <w:uiPriority w:val="9"/>
    <w:unhideWhenUsed/>
    <w:qFormat/>
    <w:rsid w:val="00CB6501"/>
    <w:pPr>
      <w:keepNext/>
      <w:keepLines/>
      <w:spacing w:before="40" w:after="0"/>
      <w:outlineLvl w:val="1"/>
    </w:pPr>
    <w:rPr>
      <w:rFonts w:asciiTheme="majorHAnsi" w:eastAsiaTheme="majorEastAsia" w:hAnsiTheme="majorHAnsi" w:cstheme="majorBidi"/>
      <w:color w:val="1B2D3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051"/>
    <w:rPr>
      <w:rFonts w:asciiTheme="majorHAnsi" w:eastAsiaTheme="majorEastAsia" w:hAnsiTheme="majorHAnsi" w:cstheme="majorBidi"/>
      <w:b/>
      <w:bCs/>
      <w:color w:val="1B2D33" w:themeColor="accent1" w:themeShade="BF"/>
      <w:sz w:val="28"/>
      <w:szCs w:val="28"/>
    </w:rPr>
  </w:style>
  <w:style w:type="paragraph" w:styleId="Title">
    <w:name w:val="Title"/>
    <w:basedOn w:val="Normal"/>
    <w:next w:val="Normal"/>
    <w:link w:val="TitleChar"/>
    <w:uiPriority w:val="10"/>
    <w:qFormat/>
    <w:rsid w:val="00E52051"/>
    <w:pPr>
      <w:pBdr>
        <w:bottom w:val="single" w:sz="8" w:space="4" w:color="253D45" w:themeColor="accent1"/>
      </w:pBdr>
      <w:spacing w:after="300" w:line="240" w:lineRule="auto"/>
      <w:contextualSpacing/>
    </w:pPr>
    <w:rPr>
      <w:rFonts w:asciiTheme="majorHAnsi" w:eastAsiaTheme="majorEastAsia" w:hAnsiTheme="majorHAnsi" w:cstheme="majorBidi"/>
      <w:color w:val="2C2C2C" w:themeColor="text2" w:themeShade="BF"/>
      <w:spacing w:val="5"/>
      <w:kern w:val="28"/>
      <w:sz w:val="52"/>
      <w:szCs w:val="52"/>
    </w:rPr>
  </w:style>
  <w:style w:type="character" w:customStyle="1" w:styleId="TitleChar">
    <w:name w:val="Title Char"/>
    <w:basedOn w:val="DefaultParagraphFont"/>
    <w:link w:val="Title"/>
    <w:uiPriority w:val="10"/>
    <w:rsid w:val="00E52051"/>
    <w:rPr>
      <w:rFonts w:asciiTheme="majorHAnsi" w:eastAsiaTheme="majorEastAsia" w:hAnsiTheme="majorHAnsi" w:cstheme="majorBidi"/>
      <w:color w:val="2C2C2C" w:themeColor="text2" w:themeShade="BF"/>
      <w:spacing w:val="5"/>
      <w:kern w:val="28"/>
      <w:sz w:val="52"/>
      <w:szCs w:val="52"/>
    </w:rPr>
  </w:style>
  <w:style w:type="character" w:styleId="Strong">
    <w:name w:val="Strong"/>
    <w:basedOn w:val="DefaultParagraphFont"/>
    <w:uiPriority w:val="22"/>
    <w:qFormat/>
    <w:rsid w:val="00E52051"/>
    <w:rPr>
      <w:b/>
      <w:bCs/>
    </w:rPr>
  </w:style>
  <w:style w:type="paragraph" w:styleId="NoSpacing">
    <w:name w:val="No Spacing"/>
    <w:uiPriority w:val="1"/>
    <w:qFormat/>
    <w:rsid w:val="00E52051"/>
    <w:pPr>
      <w:spacing w:after="0" w:line="240" w:lineRule="auto"/>
    </w:pPr>
  </w:style>
  <w:style w:type="paragraph" w:styleId="ListParagraph">
    <w:name w:val="List Paragraph"/>
    <w:basedOn w:val="Normal"/>
    <w:uiPriority w:val="34"/>
    <w:qFormat/>
    <w:rsid w:val="00E52051"/>
    <w:pPr>
      <w:ind w:left="720"/>
      <w:contextualSpacing/>
    </w:pPr>
  </w:style>
  <w:style w:type="paragraph" w:styleId="Header">
    <w:name w:val="header"/>
    <w:basedOn w:val="Normal"/>
    <w:link w:val="HeaderChar"/>
    <w:uiPriority w:val="99"/>
    <w:unhideWhenUsed/>
    <w:rsid w:val="00C65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46F"/>
  </w:style>
  <w:style w:type="paragraph" w:styleId="Footer">
    <w:name w:val="footer"/>
    <w:basedOn w:val="Normal"/>
    <w:link w:val="FooterChar"/>
    <w:uiPriority w:val="99"/>
    <w:unhideWhenUsed/>
    <w:rsid w:val="00C65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46F"/>
  </w:style>
  <w:style w:type="character" w:customStyle="1" w:styleId="Heading2Char">
    <w:name w:val="Heading 2 Char"/>
    <w:basedOn w:val="DefaultParagraphFont"/>
    <w:link w:val="Heading2"/>
    <w:uiPriority w:val="9"/>
    <w:rsid w:val="00CB6501"/>
    <w:rPr>
      <w:rFonts w:asciiTheme="majorHAnsi" w:eastAsiaTheme="majorEastAsia" w:hAnsiTheme="majorHAnsi" w:cstheme="majorBidi"/>
      <w:color w:val="1B2D33" w:themeColor="accent1" w:themeShade="BF"/>
      <w:sz w:val="26"/>
      <w:szCs w:val="26"/>
    </w:rPr>
  </w:style>
  <w:style w:type="character" w:styleId="CommentReference">
    <w:name w:val="annotation reference"/>
    <w:basedOn w:val="DefaultParagraphFont"/>
    <w:uiPriority w:val="99"/>
    <w:semiHidden/>
    <w:unhideWhenUsed/>
    <w:rsid w:val="0040530D"/>
    <w:rPr>
      <w:sz w:val="16"/>
      <w:szCs w:val="16"/>
    </w:rPr>
  </w:style>
  <w:style w:type="paragraph" w:styleId="CommentText">
    <w:name w:val="annotation text"/>
    <w:basedOn w:val="Normal"/>
    <w:link w:val="CommentTextChar"/>
    <w:uiPriority w:val="99"/>
    <w:semiHidden/>
    <w:unhideWhenUsed/>
    <w:rsid w:val="0040530D"/>
    <w:pPr>
      <w:spacing w:line="240" w:lineRule="auto"/>
    </w:pPr>
    <w:rPr>
      <w:sz w:val="20"/>
      <w:szCs w:val="20"/>
    </w:rPr>
  </w:style>
  <w:style w:type="character" w:customStyle="1" w:styleId="CommentTextChar">
    <w:name w:val="Comment Text Char"/>
    <w:basedOn w:val="DefaultParagraphFont"/>
    <w:link w:val="CommentText"/>
    <w:uiPriority w:val="99"/>
    <w:semiHidden/>
    <w:rsid w:val="0040530D"/>
    <w:rPr>
      <w:sz w:val="20"/>
      <w:szCs w:val="20"/>
    </w:rPr>
  </w:style>
  <w:style w:type="paragraph" w:styleId="CommentSubject">
    <w:name w:val="annotation subject"/>
    <w:basedOn w:val="CommentText"/>
    <w:next w:val="CommentText"/>
    <w:link w:val="CommentSubjectChar"/>
    <w:uiPriority w:val="99"/>
    <w:semiHidden/>
    <w:unhideWhenUsed/>
    <w:rsid w:val="0040530D"/>
    <w:rPr>
      <w:b/>
      <w:bCs/>
    </w:rPr>
  </w:style>
  <w:style w:type="character" w:customStyle="1" w:styleId="CommentSubjectChar">
    <w:name w:val="Comment Subject Char"/>
    <w:basedOn w:val="CommentTextChar"/>
    <w:link w:val="CommentSubject"/>
    <w:uiPriority w:val="99"/>
    <w:semiHidden/>
    <w:rsid w:val="0040530D"/>
    <w:rPr>
      <w:b/>
      <w:bCs/>
      <w:sz w:val="20"/>
      <w:szCs w:val="20"/>
    </w:rPr>
  </w:style>
  <w:style w:type="paragraph" w:styleId="BalloonText">
    <w:name w:val="Balloon Text"/>
    <w:basedOn w:val="Normal"/>
    <w:link w:val="BalloonTextChar"/>
    <w:uiPriority w:val="99"/>
    <w:semiHidden/>
    <w:unhideWhenUsed/>
    <w:rsid w:val="00405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0D"/>
    <w:rPr>
      <w:rFonts w:ascii="Segoe UI" w:hAnsi="Segoe UI" w:cs="Segoe UI"/>
      <w:sz w:val="18"/>
      <w:szCs w:val="18"/>
    </w:rPr>
  </w:style>
  <w:style w:type="paragraph" w:customStyle="1" w:styleId="Default">
    <w:name w:val="Default"/>
    <w:rsid w:val="005C4C2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60932"/>
    <w:rPr>
      <w:color w:val="1E17B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viatherapy.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atherapy.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Upper limb project">
      <a:dk1>
        <a:sysClr val="windowText" lastClr="000000"/>
      </a:dk1>
      <a:lt1>
        <a:sysClr val="window" lastClr="FFFFFF"/>
      </a:lt1>
      <a:dk2>
        <a:srgbClr val="3B3B3B"/>
      </a:dk2>
      <a:lt2>
        <a:srgbClr val="D4D2D0"/>
      </a:lt2>
      <a:accent1>
        <a:srgbClr val="253D45"/>
      </a:accent1>
      <a:accent2>
        <a:srgbClr val="786E53"/>
      </a:accent2>
      <a:accent3>
        <a:srgbClr val="66627F"/>
      </a:accent3>
      <a:accent4>
        <a:srgbClr val="748560"/>
      </a:accent4>
      <a:accent5>
        <a:srgbClr val="998307"/>
      </a:accent5>
      <a:accent6>
        <a:srgbClr val="00437A"/>
      </a:accent6>
      <a:hlink>
        <a:srgbClr val="1E17B1"/>
      </a:hlink>
      <a:folHlink>
        <a:srgbClr val="7810A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Abernethy</dc:creator>
  <cp:lastModifiedBy>Ginny Abernethy</cp:lastModifiedBy>
  <cp:revision>9</cp:revision>
  <cp:lastPrinted>2016-11-17T20:28:00Z</cp:lastPrinted>
  <dcterms:created xsi:type="dcterms:W3CDTF">2016-11-17T23:56:00Z</dcterms:created>
  <dcterms:modified xsi:type="dcterms:W3CDTF">2018-02-12T01:38:00Z</dcterms:modified>
</cp:coreProperties>
</file>