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EFF3" w14:textId="61717C3F" w:rsidR="009568F9" w:rsidRPr="00C67CFF" w:rsidRDefault="006D0622" w:rsidP="00BD33F6">
      <w:pPr>
        <w:pStyle w:val="Heading1"/>
        <w:spacing w:before="94" w:line="276" w:lineRule="auto"/>
        <w:ind w:left="0" w:right="54" w:firstLine="1"/>
        <w:jc w:val="center"/>
        <w:rPr>
          <w:sz w:val="24"/>
          <w:szCs w:val="24"/>
        </w:rPr>
      </w:pPr>
      <w:r w:rsidRPr="00C67CFF">
        <w:rPr>
          <w:sz w:val="24"/>
          <w:szCs w:val="24"/>
        </w:rPr>
        <w:t xml:space="preserve">Terms of </w:t>
      </w:r>
      <w:r w:rsidR="00BD33F6">
        <w:rPr>
          <w:sz w:val="24"/>
          <w:szCs w:val="24"/>
        </w:rPr>
        <w:t>R</w:t>
      </w:r>
      <w:r w:rsidRPr="00C67CFF">
        <w:rPr>
          <w:sz w:val="24"/>
          <w:szCs w:val="24"/>
        </w:rPr>
        <w:t>eference</w:t>
      </w:r>
      <w:r w:rsidR="00F47250" w:rsidRPr="00C67CFF">
        <w:rPr>
          <w:sz w:val="24"/>
          <w:szCs w:val="24"/>
        </w:rPr>
        <w:t xml:space="preserve"> </w:t>
      </w:r>
    </w:p>
    <w:p w14:paraId="1A3EEFF4" w14:textId="77777777" w:rsidR="009568F9" w:rsidRPr="00C67CFF" w:rsidRDefault="006D0622" w:rsidP="00BD33F6">
      <w:pPr>
        <w:spacing w:line="276" w:lineRule="auto"/>
        <w:ind w:right="54"/>
        <w:jc w:val="center"/>
        <w:rPr>
          <w:b/>
          <w:sz w:val="24"/>
          <w:szCs w:val="24"/>
        </w:rPr>
      </w:pPr>
      <w:r w:rsidRPr="00C67CFF">
        <w:rPr>
          <w:b/>
          <w:sz w:val="24"/>
          <w:szCs w:val="24"/>
        </w:rPr>
        <w:t>Acute Care Sector Advisory Group</w:t>
      </w:r>
    </w:p>
    <w:p w14:paraId="1A3EEFF5" w14:textId="77777777" w:rsidR="009568F9" w:rsidRDefault="009568F9">
      <w:pPr>
        <w:pStyle w:val="BodyText"/>
        <w:rPr>
          <w:b/>
          <w:sz w:val="20"/>
        </w:rPr>
      </w:pPr>
    </w:p>
    <w:p w14:paraId="1A3EEFF7" w14:textId="77777777" w:rsidR="009568F9" w:rsidRPr="00C67CFF" w:rsidRDefault="006D0622" w:rsidP="00CC5165">
      <w:pPr>
        <w:pStyle w:val="Heading2"/>
      </w:pPr>
      <w:r w:rsidRPr="00CC5165">
        <w:t>Background</w:t>
      </w:r>
    </w:p>
    <w:p w14:paraId="1A3EEFF8" w14:textId="77777777" w:rsidR="009568F9" w:rsidRPr="00C67CFF" w:rsidRDefault="009568F9">
      <w:pPr>
        <w:pStyle w:val="BodyText"/>
        <w:spacing w:before="1"/>
        <w:rPr>
          <w:b/>
        </w:rPr>
      </w:pPr>
    </w:p>
    <w:p w14:paraId="1A3EEFF9" w14:textId="10A7D052" w:rsidR="009568F9" w:rsidRPr="00C67CFF" w:rsidRDefault="006D0622">
      <w:pPr>
        <w:pStyle w:val="BodyText"/>
        <w:spacing w:before="1"/>
        <w:ind w:left="218" w:right="342"/>
      </w:pPr>
      <w:r w:rsidRPr="00C67CFF">
        <w:rPr>
          <w:color w:val="0D0D0D"/>
        </w:rPr>
        <w:t>Patients in New Zealand who present acutely receive high quality care as demonstrated by international comparison with other OECD countries</w:t>
      </w:r>
      <w:r w:rsidR="008377AF">
        <w:rPr>
          <w:rStyle w:val="FootnoteReference"/>
          <w:color w:val="0D0D0D"/>
        </w:rPr>
        <w:footnoteReference w:id="1"/>
      </w:r>
      <w:r w:rsidRPr="00C67CFF">
        <w:rPr>
          <w:color w:val="0D0D0D"/>
        </w:rPr>
        <w:t>.</w:t>
      </w:r>
      <w:r w:rsidR="00531D22">
        <w:rPr>
          <w:color w:val="0D0D0D"/>
        </w:rPr>
        <w:t xml:space="preserve"> </w:t>
      </w:r>
    </w:p>
    <w:p w14:paraId="1A3EEFFA" w14:textId="02FF28D0" w:rsidR="009568F9" w:rsidRPr="00C67CFF" w:rsidRDefault="006D0622">
      <w:pPr>
        <w:pStyle w:val="BodyText"/>
        <w:spacing w:before="121"/>
        <w:ind w:left="218" w:right="152"/>
      </w:pPr>
      <w:r w:rsidRPr="00C67CFF">
        <w:rPr>
          <w:color w:val="0D0D0D"/>
        </w:rPr>
        <w:t>Demand for acute care is increasing due to a growing, ageing and more comorbid population</w:t>
      </w:r>
      <w:r w:rsidR="00531D22">
        <w:rPr>
          <w:color w:val="0D0D0D"/>
        </w:rPr>
        <w:t xml:space="preserve"> many of whom have poor access to health maintaining resources due to socioeconomic </w:t>
      </w:r>
      <w:proofErr w:type="gramStart"/>
      <w:r w:rsidR="00531D22">
        <w:rPr>
          <w:color w:val="0D0D0D"/>
        </w:rPr>
        <w:t>factors</w:t>
      </w:r>
      <w:r w:rsidRPr="00C67CFF">
        <w:rPr>
          <w:color w:val="0D0D0D"/>
        </w:rPr>
        <w:t xml:space="preserve">  </w:t>
      </w:r>
      <w:r w:rsidR="00531D22">
        <w:rPr>
          <w:color w:val="0D0D0D"/>
        </w:rPr>
        <w:t>Publicly</w:t>
      </w:r>
      <w:proofErr w:type="gramEnd"/>
      <w:r w:rsidR="00531D22">
        <w:rPr>
          <w:color w:val="0D0D0D"/>
        </w:rPr>
        <w:t xml:space="preserve"> funded </w:t>
      </w:r>
      <w:r w:rsidRPr="00C67CFF">
        <w:rPr>
          <w:color w:val="0D0D0D"/>
        </w:rPr>
        <w:t>hospitals are constrained by staffing</w:t>
      </w:r>
      <w:r w:rsidR="003C359F">
        <w:rPr>
          <w:color w:val="0D0D0D"/>
        </w:rPr>
        <w:t xml:space="preserve"> </w:t>
      </w:r>
      <w:r w:rsidRPr="00C67CFF">
        <w:rPr>
          <w:color w:val="0D0D0D"/>
        </w:rPr>
        <w:t>capacity</w:t>
      </w:r>
      <w:r w:rsidR="00B10F81">
        <w:rPr>
          <w:color w:val="0D0D0D"/>
        </w:rPr>
        <w:t xml:space="preserve"> (including staff safety and wellbeing)</w:t>
      </w:r>
      <w:r w:rsidR="00531D22">
        <w:rPr>
          <w:color w:val="0D0D0D"/>
        </w:rPr>
        <w:t>, poorly maintained facilities</w:t>
      </w:r>
      <w:r w:rsidRPr="00C67CFF">
        <w:rPr>
          <w:color w:val="0D0D0D"/>
        </w:rPr>
        <w:t xml:space="preserve"> and processes that do not support the </w:t>
      </w:r>
      <w:r w:rsidR="00531D22">
        <w:rPr>
          <w:color w:val="0D0D0D"/>
        </w:rPr>
        <w:t xml:space="preserve">safe, </w:t>
      </w:r>
      <w:r w:rsidRPr="00C67CFF">
        <w:rPr>
          <w:color w:val="0D0D0D"/>
        </w:rPr>
        <w:t>efficient and effective flow of patients through the system. There are also constraints associated with access to primary care</w:t>
      </w:r>
      <w:r w:rsidR="00531D22">
        <w:rPr>
          <w:color w:val="0D0D0D"/>
        </w:rPr>
        <w:t xml:space="preserve"> in the community</w:t>
      </w:r>
      <w:r w:rsidRPr="00C67CFF">
        <w:rPr>
          <w:color w:val="0D0D0D"/>
        </w:rPr>
        <w:t>. This means that</w:t>
      </w:r>
      <w:r w:rsidR="00531D22">
        <w:rPr>
          <w:color w:val="0D0D0D"/>
        </w:rPr>
        <w:t xml:space="preserve"> our people </w:t>
      </w:r>
      <w:r w:rsidRPr="00C67CFF">
        <w:rPr>
          <w:color w:val="0D0D0D"/>
        </w:rPr>
        <w:t>are at risk of not receiving equitable, timely, adequate or safe</w:t>
      </w:r>
      <w:r w:rsidRPr="00C67CFF">
        <w:rPr>
          <w:color w:val="0D0D0D"/>
          <w:spacing w:val="-2"/>
        </w:rPr>
        <w:t xml:space="preserve"> </w:t>
      </w:r>
      <w:r w:rsidRPr="00C67CFF">
        <w:rPr>
          <w:color w:val="0D0D0D"/>
        </w:rPr>
        <w:t>care.</w:t>
      </w:r>
    </w:p>
    <w:p w14:paraId="1A3EEFFB" w14:textId="77777777" w:rsidR="009568F9" w:rsidRPr="00C67CFF" w:rsidRDefault="006D0622">
      <w:pPr>
        <w:pStyle w:val="BodyText"/>
        <w:spacing w:before="120"/>
        <w:ind w:left="218" w:right="404"/>
      </w:pPr>
      <w:r w:rsidRPr="00C67CFF">
        <w:rPr>
          <w:color w:val="0D0D0D"/>
        </w:rPr>
        <w:t>The Ministry of Health’s (the Ministry) DHB Performance Support and Infrastructure Directorate (DHB PSI) intends to commence development of a programme of work around acute/unplanned care (urgent and emergency).</w:t>
      </w:r>
    </w:p>
    <w:p w14:paraId="1A3EEFFC" w14:textId="77777777" w:rsidR="009568F9" w:rsidRPr="00C67CFF" w:rsidRDefault="009568F9">
      <w:pPr>
        <w:pStyle w:val="BodyText"/>
        <w:spacing w:before="3"/>
      </w:pPr>
    </w:p>
    <w:p w14:paraId="1A3EEFFD" w14:textId="77777777" w:rsidR="009568F9" w:rsidRPr="00C67CFF" w:rsidRDefault="006D0622" w:rsidP="00CC5165">
      <w:pPr>
        <w:pStyle w:val="Heading2"/>
      </w:pPr>
      <w:r w:rsidRPr="00C67CFF">
        <w:t>Purpose</w:t>
      </w:r>
    </w:p>
    <w:p w14:paraId="1A3EEFFF" w14:textId="7A1D2CB8" w:rsidR="009568F9" w:rsidRPr="00C67CFF" w:rsidRDefault="006D0622" w:rsidP="00953297">
      <w:pPr>
        <w:widowControl/>
        <w:autoSpaceDE/>
        <w:autoSpaceDN/>
        <w:spacing w:before="100" w:beforeAutospacing="1" w:after="100" w:afterAutospacing="1"/>
        <w:ind w:left="284" w:right="538"/>
      </w:pPr>
      <w:r w:rsidRPr="00C67CFF">
        <w:t xml:space="preserve">The </w:t>
      </w:r>
      <w:r w:rsidR="006B6D17" w:rsidRPr="00C67CFF">
        <w:t xml:space="preserve">primary </w:t>
      </w:r>
      <w:r w:rsidRPr="00C67CFF">
        <w:t xml:space="preserve">purpose of the Acute Care Sector Advisory Group (ACSAG) is to provide </w:t>
      </w:r>
      <w:r w:rsidR="006D5EB7" w:rsidRPr="00C67CFF">
        <w:t xml:space="preserve">expert </w:t>
      </w:r>
      <w:r w:rsidRPr="00C67CFF">
        <w:t xml:space="preserve">advice </w:t>
      </w:r>
      <w:r w:rsidR="00AF40C4" w:rsidRPr="00C67CFF">
        <w:t xml:space="preserve">to the Ministry of Health </w:t>
      </w:r>
      <w:r w:rsidR="00DC0B61" w:rsidRPr="00C67CFF">
        <w:t>on</w:t>
      </w:r>
      <w:r w:rsidR="00531D22">
        <w:t xml:space="preserve"> evidence-based</w:t>
      </w:r>
      <w:r w:rsidR="00DC0B61" w:rsidRPr="00C67CFF">
        <w:t xml:space="preserve"> </w:t>
      </w:r>
      <w:r w:rsidRPr="00C67CFF">
        <w:t xml:space="preserve">improvements </w:t>
      </w:r>
      <w:r w:rsidR="00B10F81">
        <w:t xml:space="preserve">(informed by available evidence that is applicable to the national, regional and locality contexts) </w:t>
      </w:r>
      <w:r w:rsidR="003C2A49" w:rsidRPr="00C67CFF">
        <w:t>in</w:t>
      </w:r>
      <w:r w:rsidR="00731C6B" w:rsidRPr="00C67CFF">
        <w:t xml:space="preserve"> </w:t>
      </w:r>
      <w:r w:rsidRPr="00C67CFF">
        <w:t>acute care and process flows</w:t>
      </w:r>
      <w:r w:rsidR="006B40B5" w:rsidRPr="00C67CFF">
        <w:t xml:space="preserve"> </w:t>
      </w:r>
      <w:r w:rsidR="00E300F1" w:rsidRPr="00C67CFF">
        <w:t>across the</w:t>
      </w:r>
      <w:r w:rsidR="003C359F">
        <w:t xml:space="preserve"> healthcare</w:t>
      </w:r>
      <w:r w:rsidR="00E300F1" w:rsidRPr="00C67CFF">
        <w:t xml:space="preserve"> system</w:t>
      </w:r>
      <w:r w:rsidR="009311C1" w:rsidRPr="00C67CFF">
        <w:t xml:space="preserve"> t</w:t>
      </w:r>
      <w:r w:rsidR="003C359F">
        <w:t xml:space="preserve">hat will </w:t>
      </w:r>
      <w:r w:rsidR="009311C1" w:rsidRPr="00C67CFF">
        <w:t xml:space="preserve">meet current and projected </w:t>
      </w:r>
      <w:r w:rsidR="00462254" w:rsidRPr="00C67CFF">
        <w:t>patient needs</w:t>
      </w:r>
      <w:r w:rsidR="003C359F">
        <w:t xml:space="preserve"> while continuing to provide high quality and safe care</w:t>
      </w:r>
      <w:r w:rsidR="00B10F81">
        <w:t>.</w:t>
      </w:r>
    </w:p>
    <w:p w14:paraId="1A3EF000" w14:textId="77777777" w:rsidR="009568F9" w:rsidRPr="00C67CFF" w:rsidRDefault="009568F9">
      <w:pPr>
        <w:pStyle w:val="BodyText"/>
      </w:pPr>
    </w:p>
    <w:p w14:paraId="4225D8F0" w14:textId="59EAA333" w:rsidR="006F0040" w:rsidRPr="00C67CFF" w:rsidRDefault="006F0040" w:rsidP="00CC5165">
      <w:pPr>
        <w:pStyle w:val="Heading2"/>
      </w:pPr>
      <w:r w:rsidRPr="00C67CFF">
        <w:t>Functions</w:t>
      </w:r>
    </w:p>
    <w:p w14:paraId="1983CD32" w14:textId="77777777" w:rsidR="006F0040" w:rsidRPr="00C67CFF" w:rsidRDefault="006F0040">
      <w:pPr>
        <w:pStyle w:val="BodyText"/>
        <w:ind w:left="218"/>
        <w:rPr>
          <w:b/>
          <w:bCs/>
        </w:rPr>
      </w:pPr>
    </w:p>
    <w:p w14:paraId="1A3EF001" w14:textId="7FC0261B" w:rsidR="009568F9" w:rsidRPr="00C67CFF" w:rsidRDefault="006D0622">
      <w:pPr>
        <w:pStyle w:val="BodyText"/>
        <w:ind w:left="218"/>
      </w:pPr>
      <w:r w:rsidRPr="00C67CFF">
        <w:t xml:space="preserve">The ACSAG has the following identified </w:t>
      </w:r>
      <w:r w:rsidR="00117907" w:rsidRPr="00C67CFF">
        <w:t xml:space="preserve">scope of </w:t>
      </w:r>
      <w:r w:rsidRPr="00C67CFF">
        <w:t>responsibilities</w:t>
      </w:r>
      <w:r w:rsidR="000141E7" w:rsidRPr="00C67CFF">
        <w:t xml:space="preserve"> to</w:t>
      </w:r>
      <w:r w:rsidRPr="00C67CFF">
        <w:t>:</w:t>
      </w:r>
    </w:p>
    <w:p w14:paraId="1A3EF002" w14:textId="77777777" w:rsidR="009568F9" w:rsidRPr="00C67CFF" w:rsidRDefault="009568F9">
      <w:pPr>
        <w:pStyle w:val="BodyText"/>
        <w:spacing w:before="5"/>
      </w:pPr>
    </w:p>
    <w:p w14:paraId="75C13BFB" w14:textId="5C82A44E" w:rsidR="00462254" w:rsidRPr="00C67CFF" w:rsidRDefault="006D0622">
      <w:pPr>
        <w:pStyle w:val="ListParagraph"/>
        <w:numPr>
          <w:ilvl w:val="0"/>
          <w:numId w:val="2"/>
        </w:numPr>
        <w:tabs>
          <w:tab w:val="left" w:pos="939"/>
        </w:tabs>
        <w:spacing w:line="237" w:lineRule="auto"/>
        <w:ind w:right="109"/>
      </w:pPr>
      <w:r w:rsidRPr="00C67CFF">
        <w:t xml:space="preserve">provide </w:t>
      </w:r>
      <w:r w:rsidR="00AE3EBB" w:rsidRPr="00C67CFF">
        <w:t xml:space="preserve">expert </w:t>
      </w:r>
      <w:r w:rsidRPr="00C67CFF">
        <w:t>advice to the Ministry on</w:t>
      </w:r>
      <w:r w:rsidR="00167CBF" w:rsidRPr="00C67CFF">
        <w:t xml:space="preserve"> the drivers </w:t>
      </w:r>
      <w:r w:rsidR="009311C1" w:rsidRPr="00C67CFF">
        <w:t>and pressures affecting acute care and patient f</w:t>
      </w:r>
      <w:r w:rsidR="008A31EB" w:rsidRPr="00C67CFF">
        <w:t>low</w:t>
      </w:r>
    </w:p>
    <w:p w14:paraId="4BFA214B" w14:textId="5624EE27" w:rsidR="001F7DB6" w:rsidRPr="00C67CFF" w:rsidRDefault="001F7DB6">
      <w:pPr>
        <w:pStyle w:val="ListParagraph"/>
        <w:numPr>
          <w:ilvl w:val="0"/>
          <w:numId w:val="2"/>
        </w:numPr>
        <w:tabs>
          <w:tab w:val="left" w:pos="939"/>
        </w:tabs>
        <w:spacing w:line="237" w:lineRule="auto"/>
        <w:ind w:right="109"/>
      </w:pPr>
      <w:r w:rsidRPr="00C67CFF">
        <w:t>i</w:t>
      </w:r>
      <w:r w:rsidR="000003A6" w:rsidRPr="00C67CFF">
        <w:t xml:space="preserve">dentify </w:t>
      </w:r>
      <w:r w:rsidR="006D0622" w:rsidRPr="00C67CFF">
        <w:t xml:space="preserve">how improvements can be made </w:t>
      </w:r>
      <w:r w:rsidR="009D3FA5" w:rsidRPr="00C67CFF">
        <w:t>in</w:t>
      </w:r>
      <w:r w:rsidR="00731C6B" w:rsidRPr="00C67CFF">
        <w:t xml:space="preserve"> </w:t>
      </w:r>
      <w:r w:rsidR="006D0622" w:rsidRPr="00C67CFF">
        <w:t>acute</w:t>
      </w:r>
      <w:r w:rsidR="006D0622" w:rsidRPr="00C67CFF">
        <w:rPr>
          <w:spacing w:val="-1"/>
        </w:rPr>
        <w:t xml:space="preserve"> </w:t>
      </w:r>
      <w:r w:rsidR="006D0622" w:rsidRPr="00C67CFF">
        <w:t>care</w:t>
      </w:r>
      <w:r w:rsidR="000003A6" w:rsidRPr="00C67CFF">
        <w:t xml:space="preserve"> </w:t>
      </w:r>
      <w:r w:rsidR="00D321C4" w:rsidRPr="00C67CFF">
        <w:t>in</w:t>
      </w:r>
      <w:r w:rsidRPr="00C67CFF">
        <w:t>:</w:t>
      </w:r>
    </w:p>
    <w:p w14:paraId="76B384E5" w14:textId="1EA01C32" w:rsidR="001F7DB6" w:rsidRPr="00C67CFF" w:rsidRDefault="002E554B" w:rsidP="001F7DB6">
      <w:pPr>
        <w:pStyle w:val="ListParagraph"/>
        <w:numPr>
          <w:ilvl w:val="1"/>
          <w:numId w:val="2"/>
        </w:numPr>
        <w:tabs>
          <w:tab w:val="left" w:pos="939"/>
        </w:tabs>
        <w:spacing w:line="237" w:lineRule="auto"/>
        <w:ind w:right="109"/>
      </w:pPr>
      <w:r w:rsidRPr="00C67CFF">
        <w:t xml:space="preserve">access and </w:t>
      </w:r>
      <w:r w:rsidR="000003A6" w:rsidRPr="00C67CFF">
        <w:t>models of care</w:t>
      </w:r>
    </w:p>
    <w:p w14:paraId="36D8FAF6" w14:textId="4A64EC1D" w:rsidR="001F7DB6" w:rsidRPr="00C67CFF" w:rsidRDefault="00751156" w:rsidP="001F7DB6">
      <w:pPr>
        <w:pStyle w:val="ListParagraph"/>
        <w:numPr>
          <w:ilvl w:val="1"/>
          <w:numId w:val="2"/>
        </w:numPr>
        <w:tabs>
          <w:tab w:val="left" w:pos="939"/>
        </w:tabs>
        <w:spacing w:line="237" w:lineRule="auto"/>
        <w:ind w:right="109"/>
      </w:pPr>
      <w:r w:rsidRPr="00C67CFF">
        <w:t xml:space="preserve">data collection processes including </w:t>
      </w:r>
      <w:r w:rsidR="009B638B" w:rsidRPr="00C67CFF">
        <w:t xml:space="preserve">real time data  </w:t>
      </w:r>
    </w:p>
    <w:p w14:paraId="13536797" w14:textId="03786E2D" w:rsidR="00751156" w:rsidRPr="00C67CFF" w:rsidRDefault="00751156" w:rsidP="00751156">
      <w:pPr>
        <w:pStyle w:val="ListParagraph"/>
        <w:numPr>
          <w:ilvl w:val="1"/>
          <w:numId w:val="2"/>
        </w:numPr>
        <w:tabs>
          <w:tab w:val="left" w:pos="939"/>
        </w:tabs>
        <w:spacing w:line="237" w:lineRule="auto"/>
        <w:ind w:right="109"/>
      </w:pPr>
      <w:r w:rsidRPr="00C67CFF">
        <w:t>access measures</w:t>
      </w:r>
      <w:r w:rsidR="00E778A0" w:rsidRPr="00C67CFF">
        <w:t xml:space="preserve"> – the role of specific measures </w:t>
      </w:r>
      <w:r w:rsidR="005D6EF2" w:rsidRPr="00C67CFF">
        <w:t>eg,</w:t>
      </w:r>
      <w:r w:rsidR="00E778A0" w:rsidRPr="00C67CFF">
        <w:t xml:space="preserve"> ED </w:t>
      </w:r>
      <w:r w:rsidR="0036051E" w:rsidRPr="00C67CFF">
        <w:t>length of stay</w:t>
      </w:r>
    </w:p>
    <w:p w14:paraId="3423C08E" w14:textId="38F1A793" w:rsidR="00E26E7D" w:rsidRPr="00C67CFF" w:rsidRDefault="009D3FA5" w:rsidP="001F7DB6">
      <w:pPr>
        <w:pStyle w:val="ListParagraph"/>
        <w:numPr>
          <w:ilvl w:val="1"/>
          <w:numId w:val="2"/>
        </w:numPr>
        <w:tabs>
          <w:tab w:val="left" w:pos="939"/>
        </w:tabs>
        <w:spacing w:line="237" w:lineRule="auto"/>
        <w:ind w:right="109"/>
      </w:pPr>
      <w:r w:rsidRPr="00C67CFF">
        <w:t xml:space="preserve">lifting </w:t>
      </w:r>
      <w:r w:rsidR="003173B7" w:rsidRPr="00C67CFF">
        <w:t xml:space="preserve">overall </w:t>
      </w:r>
      <w:r w:rsidR="009B2F2C" w:rsidRPr="00C67CFF">
        <w:t xml:space="preserve">district health board </w:t>
      </w:r>
      <w:r w:rsidR="009B638B" w:rsidRPr="00C67CFF">
        <w:t xml:space="preserve">performance </w:t>
      </w:r>
    </w:p>
    <w:p w14:paraId="775EA457" w14:textId="03602721" w:rsidR="006D00D1" w:rsidRPr="00C67CFF" w:rsidRDefault="007B67A1" w:rsidP="006D00D1">
      <w:pPr>
        <w:pStyle w:val="ListParagraph"/>
        <w:numPr>
          <w:ilvl w:val="0"/>
          <w:numId w:val="2"/>
        </w:numPr>
        <w:tabs>
          <w:tab w:val="left" w:pos="939"/>
        </w:tabs>
        <w:spacing w:before="1"/>
        <w:ind w:hanging="361"/>
      </w:pPr>
      <w:r w:rsidRPr="00C67CFF">
        <w:t>provide advice on</w:t>
      </w:r>
      <w:r w:rsidR="006D00D1" w:rsidRPr="00C67CFF">
        <w:t xml:space="preserve"> deliver</w:t>
      </w:r>
      <w:r w:rsidRPr="00C67CFF">
        <w:t>ing</w:t>
      </w:r>
      <w:r w:rsidR="006D00D1" w:rsidRPr="00C67CFF">
        <w:t xml:space="preserve"> equity of health outcomes for Māori and Pacific</w:t>
      </w:r>
      <w:r w:rsidR="006D00D1" w:rsidRPr="00C67CFF">
        <w:rPr>
          <w:spacing w:val="-11"/>
        </w:rPr>
        <w:t xml:space="preserve"> </w:t>
      </w:r>
      <w:r w:rsidR="006D00D1" w:rsidRPr="00C67CFF">
        <w:t>peoples</w:t>
      </w:r>
    </w:p>
    <w:p w14:paraId="1A3EF004" w14:textId="4A58399C" w:rsidR="009568F9" w:rsidRPr="00C67CFF" w:rsidRDefault="006D0622">
      <w:pPr>
        <w:pStyle w:val="ListParagraph"/>
        <w:numPr>
          <w:ilvl w:val="0"/>
          <w:numId w:val="2"/>
        </w:numPr>
        <w:tabs>
          <w:tab w:val="left" w:pos="939"/>
        </w:tabs>
        <w:spacing w:before="3" w:line="237" w:lineRule="auto"/>
        <w:ind w:right="110"/>
      </w:pPr>
      <w:r w:rsidRPr="00C67CFF">
        <w:t xml:space="preserve">advise </w:t>
      </w:r>
      <w:r w:rsidR="00D6774B" w:rsidRPr="00C67CFF">
        <w:t xml:space="preserve">the Ministry </w:t>
      </w:r>
      <w:r w:rsidRPr="00C67CFF">
        <w:t xml:space="preserve">on </w:t>
      </w:r>
      <w:r w:rsidR="003A2AD4" w:rsidRPr="00C67CFF">
        <w:t xml:space="preserve">the </w:t>
      </w:r>
      <w:r w:rsidR="008C11BB" w:rsidRPr="00C67CFF">
        <w:t>key stakeholder</w:t>
      </w:r>
      <w:r w:rsidR="007B65C8" w:rsidRPr="00C67CFF">
        <w:t xml:space="preserve"> relationships to improve acute flow </w:t>
      </w:r>
    </w:p>
    <w:p w14:paraId="1A3EF005" w14:textId="145661AA" w:rsidR="009568F9" w:rsidRPr="00C67CFF" w:rsidRDefault="006D0622">
      <w:pPr>
        <w:pStyle w:val="ListParagraph"/>
        <w:numPr>
          <w:ilvl w:val="0"/>
          <w:numId w:val="2"/>
        </w:numPr>
        <w:tabs>
          <w:tab w:val="left" w:pos="939"/>
        </w:tabs>
        <w:spacing w:before="6" w:line="237" w:lineRule="auto"/>
        <w:ind w:right="114"/>
      </w:pPr>
      <w:r w:rsidRPr="00C67CFF">
        <w:t>work collaboratively with other networks as agreed to help achieve their objectives</w:t>
      </w:r>
      <w:r w:rsidR="00EA5BD6" w:rsidRPr="00C67CFF">
        <w:t>.</w:t>
      </w:r>
    </w:p>
    <w:p w14:paraId="1A3EF008" w14:textId="45B25D6B" w:rsidR="009568F9" w:rsidRPr="00C67CFF" w:rsidRDefault="009568F9">
      <w:pPr>
        <w:pStyle w:val="BodyText"/>
        <w:spacing w:before="7"/>
        <w:rPr>
          <w:b/>
          <w:bCs/>
        </w:rPr>
      </w:pPr>
    </w:p>
    <w:p w14:paraId="66B6BBD1" w14:textId="13D22C9C" w:rsidR="00175525" w:rsidRDefault="00175525" w:rsidP="00CC5165">
      <w:pPr>
        <w:pStyle w:val="Heading2"/>
      </w:pPr>
      <w:r w:rsidRPr="00C67CFF">
        <w:t>Treaty of Waitangi</w:t>
      </w:r>
    </w:p>
    <w:p w14:paraId="0106286E" w14:textId="77777777" w:rsidR="008377AF" w:rsidRPr="00C67CFF" w:rsidRDefault="008377AF" w:rsidP="00051B29">
      <w:pPr>
        <w:pStyle w:val="BodyText"/>
        <w:spacing w:before="7"/>
        <w:ind w:left="284"/>
        <w:rPr>
          <w:b/>
          <w:bCs/>
        </w:rPr>
      </w:pPr>
    </w:p>
    <w:p w14:paraId="1FF3AB44" w14:textId="2F9C4FA2" w:rsidR="00175525" w:rsidRPr="00C67CFF" w:rsidRDefault="00175525" w:rsidP="00051B29">
      <w:pPr>
        <w:pStyle w:val="BodyText"/>
        <w:spacing w:before="7"/>
        <w:ind w:left="284"/>
      </w:pPr>
      <w:r w:rsidRPr="00C67CFF">
        <w:t xml:space="preserve">The Advisory Group </w:t>
      </w:r>
      <w:r w:rsidR="008203F6" w:rsidRPr="00C67CFF">
        <w:t xml:space="preserve">will recognise the </w:t>
      </w:r>
      <w:r w:rsidR="00991EA4" w:rsidRPr="00C67CFF">
        <w:t>Ministry of Health</w:t>
      </w:r>
      <w:r w:rsidR="00FC1DFD" w:rsidRPr="00C67CFF">
        <w:t xml:space="preserve">’s </w:t>
      </w:r>
      <w:r w:rsidR="008203F6" w:rsidRPr="00C67CFF">
        <w:t xml:space="preserve">Treaty of Waitangi obligations and </w:t>
      </w:r>
      <w:r w:rsidR="003919A8" w:rsidRPr="00C67CFF">
        <w:t xml:space="preserve">consider how </w:t>
      </w:r>
      <w:proofErr w:type="spellStart"/>
      <w:r w:rsidR="003919A8" w:rsidRPr="00C67CFF">
        <w:t>Pae</w:t>
      </w:r>
      <w:proofErr w:type="spellEnd"/>
      <w:r w:rsidR="003919A8" w:rsidRPr="00C67CFF">
        <w:t xml:space="preserve"> Ora</w:t>
      </w:r>
      <w:r w:rsidR="00B447E4" w:rsidRPr="00C67CFF">
        <w:t xml:space="preserve"> will be achieved for Maori. </w:t>
      </w:r>
      <w:r w:rsidR="008203F6" w:rsidRPr="00C67CFF">
        <w:t>The Advisory Group will</w:t>
      </w:r>
      <w:r w:rsidR="00D464DE" w:rsidRPr="00C67CFF">
        <w:t xml:space="preserve"> </w:t>
      </w:r>
      <w:r w:rsidR="00F10BF1" w:rsidRPr="00C67CFF">
        <w:t>apply and adhere to</w:t>
      </w:r>
      <w:r w:rsidR="000B3CFF" w:rsidRPr="00C67CFF">
        <w:t xml:space="preserve"> the Ministry </w:t>
      </w:r>
      <w:proofErr w:type="spellStart"/>
      <w:r w:rsidR="000B3CFF" w:rsidRPr="00C67CFF">
        <w:t>Te</w:t>
      </w:r>
      <w:proofErr w:type="spellEnd"/>
      <w:r w:rsidR="000B3CFF" w:rsidRPr="00C67CFF">
        <w:t xml:space="preserve"> </w:t>
      </w:r>
      <w:proofErr w:type="spellStart"/>
      <w:r w:rsidR="000B3CFF" w:rsidRPr="00C67CFF">
        <w:t>Tiriti</w:t>
      </w:r>
      <w:proofErr w:type="spellEnd"/>
      <w:r w:rsidR="000B3CFF" w:rsidRPr="00C67CFF">
        <w:t xml:space="preserve"> Framework</w:t>
      </w:r>
      <w:r w:rsidR="00345410" w:rsidRPr="00C67CFF">
        <w:t xml:space="preserve"> (appendix one). </w:t>
      </w:r>
    </w:p>
    <w:p w14:paraId="32A3E7FC" w14:textId="6031C235" w:rsidR="00C06B69" w:rsidRPr="00C67CFF" w:rsidRDefault="00C06B69">
      <w:pPr>
        <w:pStyle w:val="BodyText"/>
        <w:spacing w:before="7"/>
        <w:rPr>
          <w:b/>
          <w:bCs/>
        </w:rPr>
      </w:pPr>
    </w:p>
    <w:p w14:paraId="6FF449F6" w14:textId="6449A993" w:rsidR="0067240B" w:rsidRDefault="0067240B" w:rsidP="00CC5165">
      <w:pPr>
        <w:pStyle w:val="Heading2"/>
      </w:pPr>
      <w:r w:rsidRPr="00C67CFF">
        <w:t>Achieving equity</w:t>
      </w:r>
    </w:p>
    <w:p w14:paraId="78FB4D48" w14:textId="77777777" w:rsidR="008377AF" w:rsidRPr="00C67CFF" w:rsidRDefault="008377AF" w:rsidP="00051B29">
      <w:pPr>
        <w:pStyle w:val="BodyText"/>
        <w:spacing w:before="7"/>
        <w:ind w:firstLine="284"/>
        <w:rPr>
          <w:b/>
          <w:bCs/>
        </w:rPr>
      </w:pPr>
    </w:p>
    <w:p w14:paraId="27A3859F" w14:textId="1C9983A9" w:rsidR="0067240B" w:rsidRDefault="00E71CC7" w:rsidP="006014F2">
      <w:pPr>
        <w:pStyle w:val="BodyText"/>
        <w:spacing w:before="7"/>
        <w:ind w:left="284"/>
      </w:pPr>
      <w:r w:rsidRPr="00C67CFF">
        <w:t xml:space="preserve">It is a priority for the </w:t>
      </w:r>
      <w:r w:rsidR="00C8452F" w:rsidRPr="00C67CFF">
        <w:t>G</w:t>
      </w:r>
      <w:r w:rsidRPr="00C67CFF">
        <w:t>overnment to deliver equitable health outcomes for all New Zealanders</w:t>
      </w:r>
      <w:r w:rsidR="00E877DE" w:rsidRPr="00C67CFF">
        <w:t xml:space="preserve"> so everyone can achieve the same outcomes</w:t>
      </w:r>
      <w:r w:rsidR="003C5791" w:rsidRPr="00C67CFF">
        <w:t xml:space="preserve"> and have the same access to services and </w:t>
      </w:r>
      <w:r w:rsidR="003C5791" w:rsidRPr="00C67CFF">
        <w:lastRenderedPageBreak/>
        <w:t>support, regardless of who they are or where they l</w:t>
      </w:r>
      <w:r w:rsidR="00E92BC2" w:rsidRPr="00C67CFF">
        <w:t xml:space="preserve">ive. </w:t>
      </w:r>
      <w:r w:rsidR="003B0DE0" w:rsidRPr="00C67CFF">
        <w:t>T</w:t>
      </w:r>
      <w:r w:rsidR="00C0159A" w:rsidRPr="00C67CFF">
        <w:t xml:space="preserve">he Ministry of Health </w:t>
      </w:r>
      <w:r w:rsidR="003B0DE0" w:rsidRPr="00C67CFF">
        <w:t>is</w:t>
      </w:r>
      <w:r w:rsidR="00C0159A" w:rsidRPr="00C67CFF">
        <w:t xml:space="preserve"> committed to </w:t>
      </w:r>
      <w:r w:rsidR="009B0330" w:rsidRPr="00C67CFF">
        <w:t xml:space="preserve">addressing access to healthcare </w:t>
      </w:r>
      <w:r w:rsidR="00EB2452" w:rsidRPr="00C67CFF">
        <w:t>and how healthcare services are delivered</w:t>
      </w:r>
      <w:r w:rsidR="00AE3EBB" w:rsidRPr="00C67CFF">
        <w:t xml:space="preserve"> to ensure equitable outcomes. </w:t>
      </w:r>
    </w:p>
    <w:p w14:paraId="485CAA4F" w14:textId="519B8A9D" w:rsidR="00BD33F6" w:rsidRDefault="00BD33F6" w:rsidP="006014F2">
      <w:pPr>
        <w:pStyle w:val="BodyText"/>
        <w:spacing w:before="7"/>
        <w:ind w:left="284"/>
      </w:pPr>
    </w:p>
    <w:p w14:paraId="1A3EF009" w14:textId="6072CDB0" w:rsidR="009568F9" w:rsidRPr="00C67CFF" w:rsidRDefault="006D0622" w:rsidP="00CC5165">
      <w:pPr>
        <w:pStyle w:val="Heading2"/>
      </w:pPr>
      <w:r w:rsidRPr="00C67CFF">
        <w:t>Term</w:t>
      </w:r>
    </w:p>
    <w:p w14:paraId="1A3EF00A" w14:textId="77777777" w:rsidR="009568F9" w:rsidRPr="00C67CFF" w:rsidRDefault="009568F9">
      <w:pPr>
        <w:pStyle w:val="BodyText"/>
        <w:spacing w:before="1"/>
        <w:rPr>
          <w:b/>
        </w:rPr>
      </w:pPr>
    </w:p>
    <w:p w14:paraId="1A3EF00B" w14:textId="59227EB6" w:rsidR="009568F9" w:rsidRDefault="008C6604">
      <w:pPr>
        <w:pStyle w:val="BodyText"/>
        <w:ind w:left="218" w:right="453"/>
      </w:pPr>
      <w:r w:rsidRPr="00C67CFF">
        <w:t>This Terms of Reference</w:t>
      </w:r>
      <w:r w:rsidR="00D321C4" w:rsidRPr="00C67CFF">
        <w:t xml:space="preserve"> </w:t>
      </w:r>
      <w:r w:rsidR="0010457B" w:rsidRPr="00C67CFF">
        <w:t>(</w:t>
      </w:r>
      <w:proofErr w:type="spellStart"/>
      <w:r w:rsidR="0010457B" w:rsidRPr="00C67CFF">
        <w:t>ToR</w:t>
      </w:r>
      <w:proofErr w:type="spellEnd"/>
      <w:r w:rsidR="0010457B" w:rsidRPr="00C67CFF">
        <w:t>)</w:t>
      </w:r>
      <w:r w:rsidRPr="00C67CFF">
        <w:t xml:space="preserve"> is effective from April 2021</w:t>
      </w:r>
      <w:r w:rsidR="002965DD" w:rsidRPr="00C67CFF">
        <w:t xml:space="preserve"> </w:t>
      </w:r>
      <w:r w:rsidR="006014F2" w:rsidRPr="00C67CFF">
        <w:t xml:space="preserve">until April 2022 when the </w:t>
      </w:r>
      <w:r w:rsidR="00BF7E5A" w:rsidRPr="00C67CFF">
        <w:t xml:space="preserve">ACSAG and this </w:t>
      </w:r>
      <w:proofErr w:type="spellStart"/>
      <w:r w:rsidR="006014F2" w:rsidRPr="00C67CFF">
        <w:t>ToR</w:t>
      </w:r>
      <w:proofErr w:type="spellEnd"/>
      <w:r w:rsidR="006014F2" w:rsidRPr="00C67CFF">
        <w:t xml:space="preserve"> will be reviewed. </w:t>
      </w:r>
    </w:p>
    <w:p w14:paraId="1B63FBD6" w14:textId="65C113E9" w:rsidR="00BD33F6" w:rsidRDefault="00BD33F6">
      <w:pPr>
        <w:pStyle w:val="BodyText"/>
        <w:ind w:left="218" w:right="453"/>
      </w:pPr>
    </w:p>
    <w:p w14:paraId="3B25C350" w14:textId="32C29C98" w:rsidR="00BD33F6" w:rsidRDefault="00BD33F6">
      <w:pPr>
        <w:pStyle w:val="BodyText"/>
        <w:ind w:left="218" w:right="453"/>
      </w:pPr>
    </w:p>
    <w:p w14:paraId="1A3EF00D" w14:textId="5BD0C980" w:rsidR="009568F9" w:rsidRPr="00C67CFF" w:rsidRDefault="006D0622" w:rsidP="00CC5165">
      <w:pPr>
        <w:pStyle w:val="Heading2"/>
      </w:pPr>
      <w:r w:rsidRPr="00C67CFF">
        <w:t xml:space="preserve">Membership </w:t>
      </w:r>
    </w:p>
    <w:p w14:paraId="661B5204" w14:textId="77777777" w:rsidR="00691F79" w:rsidRPr="00C67CFF" w:rsidRDefault="00691F79">
      <w:pPr>
        <w:pStyle w:val="Heading1"/>
        <w:spacing w:before="1"/>
      </w:pP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81"/>
        <w:gridCol w:w="3031"/>
        <w:gridCol w:w="3696"/>
      </w:tblGrid>
      <w:tr w:rsidR="00E9219D" w:rsidRPr="00C67CFF" w14:paraId="7A4D22B3"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82C3C"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COO</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5BF2E" w14:textId="637E3582"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Lyn Ho</w:t>
            </w:r>
            <w:r w:rsidR="00150138" w:rsidRPr="00C67CFF">
              <w:rPr>
                <w:rFonts w:ascii="Calibri" w:eastAsia="Times New Roman" w:hAnsi="Calibri" w:cs="Calibri"/>
                <w:color w:val="000000"/>
                <w:lang w:bidi="ar-SA"/>
              </w:rPr>
              <w:t>r</w:t>
            </w:r>
            <w:r w:rsidRPr="00C67CFF">
              <w:rPr>
                <w:rFonts w:ascii="Calibri" w:eastAsia="Times New Roman" w:hAnsi="Calibri" w:cs="Calibri"/>
                <w:color w:val="000000"/>
                <w:lang w:bidi="ar-SA"/>
              </w:rPr>
              <w:t>gan (MCDHB)</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242932" w14:textId="77777777" w:rsidR="00E9219D" w:rsidRPr="00AA4150" w:rsidRDefault="00161997" w:rsidP="00E9219D">
            <w:pPr>
              <w:widowControl/>
              <w:autoSpaceDE/>
              <w:autoSpaceDN/>
              <w:rPr>
                <w:rFonts w:ascii="Calibri" w:eastAsia="Times New Roman" w:hAnsi="Calibri" w:cs="Calibri"/>
                <w:color w:val="0070C0"/>
                <w:lang w:bidi="ar-SA"/>
              </w:rPr>
            </w:pPr>
            <w:hyperlink r:id="rId11" w:history="1">
              <w:r w:rsidR="00E9219D" w:rsidRPr="00AA4150">
                <w:rPr>
                  <w:rFonts w:ascii="Calibri" w:eastAsia="Times New Roman" w:hAnsi="Calibri" w:cs="Calibri"/>
                  <w:color w:val="0070C0"/>
                  <w:u w:val="single"/>
                  <w:lang w:val="en-US" w:bidi="ar-SA"/>
                </w:rPr>
                <w:t>lyn.horgan@midcentraldhb.govt.nz</w:t>
              </w:r>
            </w:hyperlink>
          </w:p>
        </w:tc>
      </w:tr>
      <w:tr w:rsidR="00E9219D" w:rsidRPr="00C67CFF" w14:paraId="1D5082C3"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392E6D"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Primary Care </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7001D" w14:textId="372AC635" w:rsidR="00E9219D" w:rsidRPr="00C67CFF" w:rsidRDefault="007F099E"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 xml:space="preserve">Vanessa </w:t>
            </w:r>
            <w:proofErr w:type="spellStart"/>
            <w:r>
              <w:rPr>
                <w:rFonts w:ascii="Calibri" w:eastAsia="Times New Roman" w:hAnsi="Calibri" w:cs="Calibri"/>
                <w:color w:val="000000"/>
                <w:lang w:bidi="ar-SA"/>
              </w:rPr>
              <w:t>Weenink</w:t>
            </w:r>
            <w:proofErr w:type="spellEnd"/>
            <w:r w:rsidR="00E9219D" w:rsidRPr="00C67CFF">
              <w:rPr>
                <w:rFonts w:ascii="Calibri" w:eastAsia="Times New Roman" w:hAnsi="Calibri" w:cs="Calibri"/>
                <w:color w:val="000000"/>
                <w:lang w:bidi="ar-SA"/>
              </w:rPr>
              <w:t xml:space="preserve"> </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8C1D65" w14:textId="453AE987" w:rsidR="007F099E" w:rsidRPr="00194E8F" w:rsidRDefault="00161997" w:rsidP="00E9219D">
            <w:pPr>
              <w:widowControl/>
              <w:autoSpaceDE/>
              <w:autoSpaceDN/>
              <w:rPr>
                <w:rFonts w:asciiTheme="minorHAnsi" w:eastAsia="Times New Roman" w:hAnsiTheme="minorHAnsi" w:cstheme="minorHAnsi"/>
                <w:color w:val="0070C0"/>
                <w:lang w:bidi="ar-SA"/>
              </w:rPr>
            </w:pPr>
            <w:hyperlink r:id="rId12" w:history="1">
              <w:r w:rsidR="00194E8F" w:rsidRPr="00194E8F">
                <w:rPr>
                  <w:rStyle w:val="Hyperlink"/>
                  <w:rFonts w:asciiTheme="minorHAnsi" w:hAnsiTheme="minorHAnsi" w:cstheme="minorHAnsi"/>
                  <w:lang w:val="en-US"/>
                </w:rPr>
                <w:t>weeninkvanessa@gmail.com</w:t>
              </w:r>
            </w:hyperlink>
          </w:p>
        </w:tc>
      </w:tr>
      <w:tr w:rsidR="00E9219D" w:rsidRPr="00C67CFF" w14:paraId="348BEA14"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B528DD"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Emergency Department CD</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D7EB4" w14:textId="312B4E6E"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Peter Jones (ADHB and M</w:t>
            </w:r>
            <w:r w:rsidR="00611EBB" w:rsidRPr="00C67CFF">
              <w:rPr>
                <w:rFonts w:ascii="Calibri" w:eastAsia="Times New Roman" w:hAnsi="Calibri" w:cs="Calibri"/>
                <w:color w:val="000000"/>
                <w:lang w:bidi="ar-SA"/>
              </w:rPr>
              <w:t>inistry of Health</w:t>
            </w:r>
            <w:r w:rsidRPr="00C67CFF">
              <w:rPr>
                <w:rFonts w:ascii="Calibri" w:eastAsia="Times New Roman" w:hAnsi="Calibri" w:cs="Calibri"/>
                <w:color w:val="000000"/>
                <w:lang w:bidi="ar-SA"/>
              </w:rPr>
              <w:t>)</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227FC1" w14:textId="77777777" w:rsidR="00E9219D" w:rsidRPr="00AA4150" w:rsidRDefault="00161997" w:rsidP="00E9219D">
            <w:pPr>
              <w:widowControl/>
              <w:autoSpaceDE/>
              <w:autoSpaceDN/>
              <w:rPr>
                <w:rFonts w:ascii="Calibri" w:eastAsia="Times New Roman" w:hAnsi="Calibri" w:cs="Calibri"/>
                <w:color w:val="0070C0"/>
                <w:lang w:bidi="ar-SA"/>
              </w:rPr>
            </w:pPr>
            <w:hyperlink r:id="rId13" w:history="1">
              <w:r w:rsidR="00E9219D" w:rsidRPr="00AA4150">
                <w:rPr>
                  <w:rFonts w:ascii="Calibri" w:eastAsia="Times New Roman" w:hAnsi="Calibri" w:cs="Calibri"/>
                  <w:color w:val="0070C0"/>
                  <w:u w:val="single"/>
                  <w:lang w:val="en-US" w:bidi="ar-SA"/>
                </w:rPr>
                <w:t>Peter.G.Jones@health.govt.nz</w:t>
              </w:r>
            </w:hyperlink>
          </w:p>
        </w:tc>
      </w:tr>
      <w:tr w:rsidR="00E9219D" w:rsidRPr="00C67CFF" w14:paraId="2D344883"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9FC85F"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Medical CD</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D6CCCF"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Lucille Wilkinson (NDHB)  </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C1B68" w14:textId="77777777" w:rsidR="00E9219D" w:rsidRPr="00AA4150" w:rsidRDefault="00161997" w:rsidP="00E9219D">
            <w:pPr>
              <w:widowControl/>
              <w:autoSpaceDE/>
              <w:autoSpaceDN/>
              <w:rPr>
                <w:rFonts w:ascii="Calibri" w:eastAsia="Times New Roman" w:hAnsi="Calibri" w:cs="Calibri"/>
                <w:color w:val="0070C0"/>
                <w:lang w:bidi="ar-SA"/>
              </w:rPr>
            </w:pPr>
            <w:hyperlink r:id="rId14" w:history="1">
              <w:r w:rsidR="00E9219D" w:rsidRPr="00AA4150">
                <w:rPr>
                  <w:rFonts w:ascii="Calibri" w:eastAsia="Times New Roman" w:hAnsi="Calibri" w:cs="Calibri"/>
                  <w:color w:val="0070C0"/>
                  <w:u w:val="single"/>
                  <w:lang w:val="en-US" w:bidi="ar-SA"/>
                </w:rPr>
                <w:t>Lucille.Wilkinson@northlanddhb.org.nz</w:t>
              </w:r>
            </w:hyperlink>
          </w:p>
        </w:tc>
      </w:tr>
      <w:tr w:rsidR="00E9219D" w:rsidRPr="00C67CFF" w14:paraId="037C7438"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E9A5D"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Surgical CD</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04B449"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Li </w:t>
            </w:r>
            <w:proofErr w:type="spellStart"/>
            <w:r w:rsidRPr="00C67CFF">
              <w:rPr>
                <w:rFonts w:ascii="Calibri" w:eastAsia="Times New Roman" w:hAnsi="Calibri" w:cs="Calibri"/>
                <w:color w:val="000000"/>
                <w:lang w:bidi="ar-SA"/>
              </w:rPr>
              <w:t>Hsee</w:t>
            </w:r>
            <w:proofErr w:type="spellEnd"/>
            <w:r w:rsidRPr="00C67CFF">
              <w:rPr>
                <w:rFonts w:ascii="Calibri" w:eastAsia="Times New Roman" w:hAnsi="Calibri" w:cs="Calibri"/>
                <w:color w:val="000000"/>
                <w:lang w:bidi="ar-SA"/>
              </w:rPr>
              <w:t xml:space="preserve"> (ADHB)</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850778" w14:textId="77777777" w:rsidR="00E9219D" w:rsidRPr="00AA4150" w:rsidRDefault="00161997" w:rsidP="00E9219D">
            <w:pPr>
              <w:widowControl/>
              <w:autoSpaceDE/>
              <w:autoSpaceDN/>
              <w:rPr>
                <w:rFonts w:ascii="Calibri" w:eastAsia="Times New Roman" w:hAnsi="Calibri" w:cs="Calibri"/>
                <w:color w:val="0070C0"/>
                <w:lang w:bidi="ar-SA"/>
              </w:rPr>
            </w:pPr>
            <w:hyperlink r:id="rId15" w:history="1">
              <w:r w:rsidR="00E9219D" w:rsidRPr="00AA4150">
                <w:rPr>
                  <w:rFonts w:ascii="Calibri" w:eastAsia="Times New Roman" w:hAnsi="Calibri" w:cs="Calibri"/>
                  <w:color w:val="0070C0"/>
                  <w:u w:val="single"/>
                  <w:lang w:val="en-US" w:bidi="ar-SA"/>
                </w:rPr>
                <w:t>LiH@adhb.govt.nz</w:t>
              </w:r>
            </w:hyperlink>
          </w:p>
        </w:tc>
      </w:tr>
      <w:tr w:rsidR="00E9219D" w:rsidRPr="00C67CFF" w14:paraId="06E9CBBD"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8331DA" w14:textId="6DFC64AB" w:rsidR="00E9219D" w:rsidRPr="00C67CFF" w:rsidRDefault="00F5540F"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Public Health</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C6A29" w14:textId="66D766B1" w:rsidR="00E9219D" w:rsidRPr="00C67CFF" w:rsidRDefault="00E9219D" w:rsidP="00E9219D">
            <w:pPr>
              <w:widowControl/>
              <w:autoSpaceDE/>
              <w:autoSpaceDN/>
              <w:rPr>
                <w:rFonts w:ascii="Calibri" w:eastAsia="Times New Roman" w:hAnsi="Calibri" w:cs="Calibri"/>
                <w:color w:val="000000"/>
                <w:lang w:bidi="ar-SA"/>
              </w:rPr>
            </w:pPr>
            <w:proofErr w:type="spellStart"/>
            <w:r w:rsidRPr="00C67CFF">
              <w:rPr>
                <w:rFonts w:ascii="Calibri" w:eastAsia="Times New Roman" w:hAnsi="Calibri" w:cs="Calibri"/>
                <w:color w:val="000000"/>
                <w:lang w:bidi="ar-SA"/>
              </w:rPr>
              <w:t>Papaarangi</w:t>
            </w:r>
            <w:proofErr w:type="spellEnd"/>
            <w:r w:rsidRPr="00C67CFF">
              <w:rPr>
                <w:rFonts w:ascii="Calibri" w:eastAsia="Times New Roman" w:hAnsi="Calibri" w:cs="Calibri"/>
                <w:color w:val="000000"/>
                <w:lang w:bidi="ar-SA"/>
              </w:rPr>
              <w:t xml:space="preserve"> </w:t>
            </w:r>
            <w:r w:rsidR="00EB1C4A">
              <w:rPr>
                <w:rFonts w:ascii="Calibri" w:eastAsia="Times New Roman" w:hAnsi="Calibri" w:cs="Calibri"/>
                <w:color w:val="000000"/>
                <w:lang w:bidi="ar-SA"/>
              </w:rPr>
              <w:t>Reid</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18B4D" w14:textId="77777777" w:rsidR="00E9219D" w:rsidRPr="00AA4150" w:rsidRDefault="00161997" w:rsidP="00E9219D">
            <w:pPr>
              <w:widowControl/>
              <w:autoSpaceDE/>
              <w:autoSpaceDN/>
              <w:rPr>
                <w:rFonts w:ascii="Calibri" w:eastAsia="Times New Roman" w:hAnsi="Calibri" w:cs="Calibri"/>
                <w:color w:val="0070C0"/>
                <w:lang w:bidi="ar-SA"/>
              </w:rPr>
            </w:pPr>
            <w:hyperlink r:id="rId16" w:history="1">
              <w:r w:rsidR="00E9219D" w:rsidRPr="00AA4150">
                <w:rPr>
                  <w:rFonts w:ascii="Calibri" w:eastAsia="Times New Roman" w:hAnsi="Calibri" w:cs="Calibri"/>
                  <w:color w:val="0070C0"/>
                  <w:u w:val="single"/>
                  <w:lang w:val="en-US" w:bidi="ar-SA"/>
                </w:rPr>
                <w:t>p.reid@auckland.ac.nz</w:t>
              </w:r>
            </w:hyperlink>
          </w:p>
        </w:tc>
      </w:tr>
      <w:tr w:rsidR="00E9219D" w:rsidRPr="00C67CFF" w14:paraId="28050CDD"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39BF11" w14:textId="69861B51" w:rsidR="00E9219D" w:rsidRPr="00C67CFF" w:rsidRDefault="00F5540F"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Public Health</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63CBDE"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Elana Curtis</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90AB35" w14:textId="77777777" w:rsidR="00E9219D" w:rsidRPr="00AA4150" w:rsidRDefault="00161997" w:rsidP="00E9219D">
            <w:pPr>
              <w:widowControl/>
              <w:autoSpaceDE/>
              <w:autoSpaceDN/>
              <w:rPr>
                <w:rFonts w:ascii="Calibri" w:eastAsia="Times New Roman" w:hAnsi="Calibri" w:cs="Calibri"/>
                <w:color w:val="0070C0"/>
                <w:lang w:bidi="ar-SA"/>
              </w:rPr>
            </w:pPr>
            <w:hyperlink r:id="rId17" w:history="1">
              <w:r w:rsidR="00E9219D" w:rsidRPr="00AA4150">
                <w:rPr>
                  <w:rFonts w:ascii="Calibri" w:eastAsia="Times New Roman" w:hAnsi="Calibri" w:cs="Calibri"/>
                  <w:color w:val="0070C0"/>
                  <w:u w:val="single"/>
                  <w:lang w:val="en-US" w:bidi="ar-SA"/>
                </w:rPr>
                <w:t>e.curtis@auckland.ac.nz</w:t>
              </w:r>
            </w:hyperlink>
          </w:p>
        </w:tc>
      </w:tr>
      <w:tr w:rsidR="00E9219D" w:rsidRPr="00C67CFF" w14:paraId="5C59BFB5"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CB3075"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College of Emergency Nursing </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EDEDB" w14:textId="6235A938"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Sue </w:t>
            </w:r>
            <w:proofErr w:type="spellStart"/>
            <w:r w:rsidRPr="00C67CFF">
              <w:rPr>
                <w:rFonts w:ascii="Calibri" w:eastAsia="Times New Roman" w:hAnsi="Calibri" w:cs="Calibri"/>
                <w:color w:val="000000"/>
                <w:lang w:bidi="ar-SA"/>
              </w:rPr>
              <w:t>S</w:t>
            </w:r>
            <w:r w:rsidR="00F5540F">
              <w:rPr>
                <w:rFonts w:ascii="Calibri" w:eastAsia="Times New Roman" w:hAnsi="Calibri" w:cs="Calibri"/>
                <w:color w:val="000000"/>
                <w:lang w:bidi="ar-SA"/>
              </w:rPr>
              <w:t>t</w:t>
            </w:r>
            <w:r w:rsidRPr="00C67CFF">
              <w:rPr>
                <w:rFonts w:ascii="Calibri" w:eastAsia="Times New Roman" w:hAnsi="Calibri" w:cs="Calibri"/>
                <w:color w:val="000000"/>
                <w:lang w:bidi="ar-SA"/>
              </w:rPr>
              <w:t>ebbeings</w:t>
            </w:r>
            <w:proofErr w:type="spellEnd"/>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88560A" w14:textId="77777777" w:rsidR="00E9219D" w:rsidRPr="00AA4150" w:rsidRDefault="00161997" w:rsidP="00E9219D">
            <w:pPr>
              <w:widowControl/>
              <w:autoSpaceDE/>
              <w:autoSpaceDN/>
              <w:rPr>
                <w:rFonts w:ascii="Calibri" w:eastAsia="Times New Roman" w:hAnsi="Calibri" w:cs="Calibri"/>
                <w:color w:val="0070C0"/>
                <w:lang w:bidi="ar-SA"/>
              </w:rPr>
            </w:pPr>
            <w:hyperlink r:id="rId18" w:history="1">
              <w:r w:rsidR="00E9219D" w:rsidRPr="00AA4150">
                <w:rPr>
                  <w:rFonts w:ascii="Calibri" w:eastAsia="Times New Roman" w:hAnsi="Calibri" w:cs="Calibri"/>
                  <w:color w:val="0070C0"/>
                  <w:u w:val="single"/>
                  <w:lang w:val="en-US" w:bidi="ar-SA"/>
                </w:rPr>
                <w:t>cennzchair@gmail.com</w:t>
              </w:r>
            </w:hyperlink>
          </w:p>
        </w:tc>
      </w:tr>
      <w:tr w:rsidR="00E9219D" w:rsidRPr="00C67CFF" w14:paraId="7C742C5F"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C692D" w14:textId="4E24F0FB" w:rsidR="00E9219D" w:rsidRPr="00C67CFF" w:rsidRDefault="00584374"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Associate DDG</w:t>
            </w:r>
            <w:r w:rsidR="00E9219D" w:rsidRPr="00C67CFF">
              <w:rPr>
                <w:rFonts w:ascii="Calibri" w:eastAsia="Times New Roman" w:hAnsi="Calibri" w:cs="Calibri"/>
                <w:color w:val="000000"/>
                <w:lang w:bidi="ar-SA"/>
              </w:rPr>
              <w:t xml:space="preserve"> (M</w:t>
            </w:r>
            <w:r w:rsidR="001C114D" w:rsidRPr="00C67CFF">
              <w:rPr>
                <w:rFonts w:ascii="Calibri" w:eastAsia="Times New Roman" w:hAnsi="Calibri" w:cs="Calibri"/>
                <w:color w:val="000000"/>
                <w:lang w:bidi="ar-SA"/>
              </w:rPr>
              <w:t>inistry of Health</w:t>
            </w:r>
            <w:r w:rsidR="00E9219D" w:rsidRPr="00C67CFF">
              <w:rPr>
                <w:rFonts w:ascii="Calibri" w:eastAsia="Times New Roman" w:hAnsi="Calibri" w:cs="Calibri"/>
                <w:color w:val="000000"/>
                <w:lang w:bidi="ar-SA"/>
              </w:rPr>
              <w:t>)</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BEF2A" w14:textId="7589C55C"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Jess </w:t>
            </w:r>
            <w:proofErr w:type="spellStart"/>
            <w:r w:rsidRPr="00C67CFF">
              <w:rPr>
                <w:rFonts w:ascii="Calibri" w:eastAsia="Times New Roman" w:hAnsi="Calibri" w:cs="Calibri"/>
                <w:color w:val="000000"/>
                <w:lang w:bidi="ar-SA"/>
              </w:rPr>
              <w:t>Smaling</w:t>
            </w:r>
            <w:proofErr w:type="spellEnd"/>
            <w:r w:rsidRPr="00C67CFF">
              <w:rPr>
                <w:rFonts w:ascii="Calibri" w:eastAsia="Times New Roman" w:hAnsi="Calibri" w:cs="Calibri"/>
                <w:color w:val="000000"/>
                <w:lang w:bidi="ar-SA"/>
              </w:rPr>
              <w:t xml:space="preserve"> </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12F601" w14:textId="77777777" w:rsidR="00E9219D" w:rsidRPr="00AA4150" w:rsidRDefault="00E9219D" w:rsidP="00E9219D">
            <w:pPr>
              <w:widowControl/>
              <w:autoSpaceDE/>
              <w:autoSpaceDN/>
              <w:rPr>
                <w:rFonts w:ascii="Calibri" w:eastAsia="Times New Roman" w:hAnsi="Calibri" w:cs="Calibri"/>
                <w:color w:val="0070C0"/>
                <w:lang w:bidi="ar-SA"/>
              </w:rPr>
            </w:pPr>
            <w:r w:rsidRPr="00AA4150">
              <w:rPr>
                <w:rFonts w:ascii="Calibri" w:eastAsia="Times New Roman" w:hAnsi="Calibri" w:cs="Calibri"/>
                <w:color w:val="0070C0"/>
                <w:lang w:bidi="ar-SA"/>
              </w:rPr>
              <w:t> </w:t>
            </w:r>
            <w:hyperlink r:id="rId19" w:history="1">
              <w:r w:rsidRPr="00AA4150">
                <w:rPr>
                  <w:rFonts w:ascii="Calibri" w:eastAsia="Times New Roman" w:hAnsi="Calibri" w:cs="Calibri"/>
                  <w:color w:val="0070C0"/>
                  <w:u w:val="single"/>
                  <w:lang w:bidi="ar-SA"/>
                </w:rPr>
                <w:t>Jessica.Smaling@health.govt.nz</w:t>
              </w:r>
            </w:hyperlink>
          </w:p>
        </w:tc>
      </w:tr>
      <w:tr w:rsidR="00E9219D" w:rsidRPr="00C67CFF" w14:paraId="043318AA"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73891" w14:textId="4483C1A4"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Manager System Flow (M</w:t>
            </w:r>
            <w:r w:rsidR="001C114D" w:rsidRPr="00C67CFF">
              <w:rPr>
                <w:rFonts w:ascii="Calibri" w:eastAsia="Times New Roman" w:hAnsi="Calibri" w:cs="Calibri"/>
                <w:color w:val="000000"/>
                <w:lang w:bidi="ar-SA"/>
              </w:rPr>
              <w:t>inistry of Health</w:t>
            </w:r>
            <w:r w:rsidRPr="00C67CFF">
              <w:rPr>
                <w:rFonts w:ascii="Calibri" w:eastAsia="Times New Roman" w:hAnsi="Calibri" w:cs="Calibri"/>
                <w:color w:val="000000"/>
                <w:lang w:bidi="ar-SA"/>
              </w:rPr>
              <w:t>)</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1D67C"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Adam Simpson</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E3BA6" w14:textId="77777777" w:rsidR="00E9219D" w:rsidRPr="00AA4150" w:rsidRDefault="00E9219D" w:rsidP="00E9219D">
            <w:pPr>
              <w:widowControl/>
              <w:autoSpaceDE/>
              <w:autoSpaceDN/>
              <w:rPr>
                <w:rFonts w:ascii="Calibri" w:eastAsia="Times New Roman" w:hAnsi="Calibri" w:cs="Calibri"/>
                <w:color w:val="0070C0"/>
                <w:lang w:bidi="ar-SA"/>
              </w:rPr>
            </w:pPr>
            <w:r w:rsidRPr="00AA4150">
              <w:rPr>
                <w:rFonts w:ascii="Calibri" w:eastAsia="Times New Roman" w:hAnsi="Calibri" w:cs="Calibri"/>
                <w:color w:val="0070C0"/>
                <w:lang w:bidi="ar-SA"/>
              </w:rPr>
              <w:t> </w:t>
            </w:r>
            <w:hyperlink r:id="rId20" w:history="1">
              <w:r w:rsidRPr="00AA4150">
                <w:rPr>
                  <w:rFonts w:ascii="Calibri" w:eastAsia="Times New Roman" w:hAnsi="Calibri" w:cs="Calibri"/>
                  <w:color w:val="0070C0"/>
                  <w:u w:val="single"/>
                  <w:lang w:bidi="ar-SA"/>
                </w:rPr>
                <w:t>Adam.Simpson@health.govt.nz</w:t>
              </w:r>
            </w:hyperlink>
          </w:p>
        </w:tc>
      </w:tr>
      <w:tr w:rsidR="00E9219D" w:rsidRPr="00C67CFF" w14:paraId="208DB3BA"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5DE91"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Clinical Director </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82BFB" w14:textId="6C328D3D"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 xml:space="preserve">André </w:t>
            </w:r>
            <w:proofErr w:type="spellStart"/>
            <w:r w:rsidRPr="00C67CFF">
              <w:rPr>
                <w:rFonts w:ascii="Calibri" w:eastAsia="Times New Roman" w:hAnsi="Calibri" w:cs="Calibri"/>
                <w:color w:val="000000"/>
                <w:lang w:bidi="ar-SA"/>
              </w:rPr>
              <w:t>Cromhout</w:t>
            </w:r>
            <w:proofErr w:type="spellEnd"/>
            <w:r w:rsidRPr="00C67CFF">
              <w:rPr>
                <w:rFonts w:ascii="Calibri" w:eastAsia="Times New Roman" w:hAnsi="Calibri" w:cs="Calibri"/>
                <w:color w:val="000000"/>
                <w:lang w:bidi="ar-SA"/>
              </w:rPr>
              <w:t xml:space="preserve"> </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C04B7" w14:textId="77777777" w:rsidR="00E9219D" w:rsidRPr="00AA4150" w:rsidRDefault="00161997" w:rsidP="00E9219D">
            <w:pPr>
              <w:widowControl/>
              <w:autoSpaceDE/>
              <w:autoSpaceDN/>
              <w:rPr>
                <w:rFonts w:ascii="Calibri" w:eastAsia="Times New Roman" w:hAnsi="Calibri" w:cs="Calibri"/>
                <w:color w:val="0070C0"/>
                <w:lang w:bidi="ar-SA"/>
              </w:rPr>
            </w:pPr>
            <w:hyperlink r:id="rId21" w:history="1">
              <w:r w:rsidR="00E9219D" w:rsidRPr="00AA4150">
                <w:rPr>
                  <w:rFonts w:ascii="Calibri" w:eastAsia="Times New Roman" w:hAnsi="Calibri" w:cs="Calibri"/>
                  <w:color w:val="0070C0"/>
                  <w:u w:val="single"/>
                  <w:lang w:val="en-US" w:bidi="ar-SA"/>
                </w:rPr>
                <w:t>Andre.Cromhout@ccdhb.org.nz</w:t>
              </w:r>
            </w:hyperlink>
          </w:p>
        </w:tc>
      </w:tr>
      <w:tr w:rsidR="00E9219D" w:rsidRPr="00C67CFF" w14:paraId="15F9410C"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4B8D7" w14:textId="504F5C2C"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Chief Medical Officer</w:t>
            </w:r>
            <w:r w:rsidR="00604FB0" w:rsidRPr="00C67CFF">
              <w:rPr>
                <w:rFonts w:ascii="Calibri" w:eastAsia="Times New Roman" w:hAnsi="Calibri" w:cs="Calibri"/>
                <w:color w:val="000000"/>
                <w:lang w:bidi="ar-SA"/>
              </w:rPr>
              <w:t xml:space="preserve"> (Ministry of Health)</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A3FAE1" w14:textId="77777777" w:rsidR="00E9219D" w:rsidRPr="00C67CFF" w:rsidRDefault="00E9219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Andrew Connolly</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C5D6E" w14:textId="77777777" w:rsidR="00E9219D" w:rsidRPr="00AA4150" w:rsidRDefault="00161997" w:rsidP="00E9219D">
            <w:pPr>
              <w:widowControl/>
              <w:autoSpaceDE/>
              <w:autoSpaceDN/>
              <w:rPr>
                <w:rFonts w:ascii="Calibri" w:eastAsia="Times New Roman" w:hAnsi="Calibri" w:cs="Calibri"/>
                <w:color w:val="0070C0"/>
                <w:lang w:bidi="ar-SA"/>
              </w:rPr>
            </w:pPr>
            <w:hyperlink r:id="rId22" w:history="1">
              <w:r w:rsidR="00E9219D" w:rsidRPr="00AA4150">
                <w:rPr>
                  <w:rFonts w:ascii="Calibri" w:eastAsia="Times New Roman" w:hAnsi="Calibri" w:cs="Calibri"/>
                  <w:color w:val="0070C0"/>
                  <w:u w:val="single"/>
                  <w:lang w:val="en-US" w:bidi="ar-SA"/>
                </w:rPr>
                <w:t>Andrew.Connolly@health.govt.nz</w:t>
              </w:r>
            </w:hyperlink>
          </w:p>
        </w:tc>
      </w:tr>
      <w:tr w:rsidR="00D07BBA" w:rsidRPr="00C67CFF" w14:paraId="7BB0AA94"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649FB1" w14:textId="71DB51F8"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 xml:space="preserve">NZ </w:t>
            </w:r>
            <w:r w:rsidR="00D07BBA">
              <w:rPr>
                <w:rFonts w:ascii="Calibri" w:eastAsia="Times New Roman" w:hAnsi="Calibri" w:cs="Calibri"/>
                <w:color w:val="000000"/>
                <w:lang w:bidi="ar-SA"/>
              </w:rPr>
              <w:t xml:space="preserve">Orthopaedic </w:t>
            </w:r>
            <w:r>
              <w:rPr>
                <w:rFonts w:ascii="Calibri" w:eastAsia="Times New Roman" w:hAnsi="Calibri" w:cs="Calibri"/>
                <w:color w:val="000000"/>
                <w:lang w:bidi="ar-SA"/>
              </w:rPr>
              <w:t>Association</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4F31D4" w14:textId="746A2EB5" w:rsidR="00D07BBA" w:rsidRPr="00C67CFF" w:rsidRDefault="00D07BBA"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 xml:space="preserve">Peter </w:t>
            </w:r>
            <w:proofErr w:type="spellStart"/>
            <w:r>
              <w:rPr>
                <w:rFonts w:ascii="Calibri" w:eastAsia="Times New Roman" w:hAnsi="Calibri" w:cs="Calibri"/>
                <w:color w:val="000000"/>
                <w:lang w:bidi="ar-SA"/>
              </w:rPr>
              <w:t>Devane</w:t>
            </w:r>
            <w:proofErr w:type="spellEnd"/>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630B8F" w14:textId="1E98D1C5" w:rsidR="00D07BBA" w:rsidRPr="00AA4150" w:rsidRDefault="00161997" w:rsidP="00E9219D">
            <w:pPr>
              <w:widowControl/>
              <w:autoSpaceDE/>
              <w:autoSpaceDN/>
              <w:rPr>
                <w:rFonts w:asciiTheme="minorHAnsi" w:eastAsia="Times New Roman" w:hAnsiTheme="minorHAnsi" w:cstheme="minorHAnsi"/>
                <w:color w:val="0070C0"/>
                <w:lang w:val="en-US"/>
              </w:rPr>
            </w:pPr>
            <w:hyperlink r:id="rId23" w:history="1">
              <w:r w:rsidR="00AA4150" w:rsidRPr="00AA4150">
                <w:rPr>
                  <w:rStyle w:val="Hyperlink"/>
                  <w:rFonts w:asciiTheme="minorHAnsi" w:eastAsia="Times New Roman" w:hAnsiTheme="minorHAnsi" w:cstheme="minorHAnsi"/>
                  <w:color w:val="0070C0"/>
                  <w:lang w:val="en-US"/>
                </w:rPr>
                <w:t>peterdevane@yahoo.co.nz</w:t>
              </w:r>
            </w:hyperlink>
          </w:p>
          <w:p w14:paraId="0E37547B" w14:textId="0A06E3EF" w:rsidR="00AA4150" w:rsidRPr="00AA4150" w:rsidRDefault="00AA4150" w:rsidP="00E9219D">
            <w:pPr>
              <w:widowControl/>
              <w:autoSpaceDE/>
              <w:autoSpaceDN/>
              <w:rPr>
                <w:rFonts w:asciiTheme="minorHAnsi" w:hAnsiTheme="minorHAnsi" w:cstheme="minorHAnsi"/>
                <w:color w:val="0070C0"/>
              </w:rPr>
            </w:pPr>
          </w:p>
        </w:tc>
      </w:tr>
      <w:tr w:rsidR="00D07BBA" w:rsidRPr="00C67CFF" w14:paraId="3D379324"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5E81D5" w14:textId="79F37677"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St John Ambulance</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A7A0A5" w14:textId="54897406"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Kris Gagliardi</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CAB2BC" w14:textId="6D2BC9A4" w:rsidR="00D07BBA" w:rsidRPr="00AA4150" w:rsidRDefault="00161997" w:rsidP="00E9219D">
            <w:pPr>
              <w:widowControl/>
              <w:autoSpaceDE/>
              <w:autoSpaceDN/>
              <w:rPr>
                <w:rFonts w:asciiTheme="minorHAnsi" w:hAnsiTheme="minorHAnsi" w:cstheme="minorHAnsi"/>
                <w:color w:val="0070C0"/>
              </w:rPr>
            </w:pPr>
            <w:hyperlink r:id="rId24" w:history="1">
              <w:r w:rsidR="00AA4150" w:rsidRPr="00AA4150">
                <w:rPr>
                  <w:rStyle w:val="Hyperlink"/>
                  <w:rFonts w:asciiTheme="minorHAnsi" w:hAnsiTheme="minorHAnsi" w:cstheme="minorHAnsi"/>
                  <w:color w:val="0070C0"/>
                  <w:lang w:val="en-US"/>
                </w:rPr>
                <w:t>kris.gagliardi@stjohn.org.nz</w:t>
              </w:r>
            </w:hyperlink>
          </w:p>
        </w:tc>
      </w:tr>
      <w:tr w:rsidR="00D07BBA" w:rsidRPr="00C67CFF" w14:paraId="42AA0409"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639C78" w14:textId="57D078D2"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Wellington Free Ambulance</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6949E" w14:textId="5B509429"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Vanessa Simpson</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302FE4" w14:textId="1086D6DB" w:rsidR="00D07BBA" w:rsidRPr="00AA4150" w:rsidRDefault="00161997" w:rsidP="00E9219D">
            <w:pPr>
              <w:widowControl/>
              <w:autoSpaceDE/>
              <w:autoSpaceDN/>
              <w:rPr>
                <w:rFonts w:asciiTheme="minorHAnsi" w:hAnsiTheme="minorHAnsi" w:cstheme="minorHAnsi"/>
                <w:color w:val="0070C0"/>
              </w:rPr>
            </w:pPr>
            <w:hyperlink r:id="rId25" w:history="1">
              <w:r w:rsidR="00AA4150" w:rsidRPr="00AA4150">
                <w:rPr>
                  <w:rStyle w:val="Hyperlink"/>
                  <w:rFonts w:asciiTheme="minorHAnsi" w:hAnsiTheme="minorHAnsi" w:cstheme="minorHAnsi"/>
                  <w:color w:val="0070C0"/>
                  <w:lang w:val="en-US"/>
                </w:rPr>
                <w:t>vanessa.simpson@wfa.org.nz</w:t>
              </w:r>
            </w:hyperlink>
          </w:p>
        </w:tc>
      </w:tr>
      <w:tr w:rsidR="00D07BBA" w:rsidRPr="00C67CFF" w14:paraId="35A6E995"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B03A1" w14:textId="45D9F9BE"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College of Urgent Care</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C6F8D3" w14:textId="58E09B3E" w:rsidR="00D07BBA" w:rsidRPr="00C67CFF" w:rsidRDefault="00AA4150"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Kelvin Ward</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449F79" w14:textId="7B30B96B" w:rsidR="00AA4150" w:rsidRPr="00584374" w:rsidRDefault="00161997" w:rsidP="00E9219D">
            <w:pPr>
              <w:widowControl/>
              <w:autoSpaceDE/>
              <w:autoSpaceDN/>
              <w:rPr>
                <w:rFonts w:asciiTheme="minorHAnsi" w:eastAsia="Times New Roman" w:hAnsiTheme="minorHAnsi" w:cstheme="minorHAnsi"/>
                <w:color w:val="0070C0"/>
                <w:lang w:val="en-US"/>
              </w:rPr>
            </w:pPr>
            <w:hyperlink r:id="rId26" w:history="1">
              <w:r w:rsidR="00AA4150" w:rsidRPr="00AA4150">
                <w:rPr>
                  <w:rStyle w:val="Hyperlink"/>
                  <w:rFonts w:asciiTheme="minorHAnsi" w:eastAsia="Times New Roman" w:hAnsiTheme="minorHAnsi" w:cstheme="minorHAnsi"/>
                  <w:color w:val="0070C0"/>
                  <w:lang w:val="en-US"/>
                </w:rPr>
                <w:t>kelvin.ward@rnzcuc.org.nz</w:t>
              </w:r>
            </w:hyperlink>
          </w:p>
        </w:tc>
      </w:tr>
      <w:tr w:rsidR="00584374" w:rsidRPr="00C67CFF" w14:paraId="080A251C"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72B168" w14:textId="2B32DA16" w:rsidR="00584374" w:rsidRDefault="00584374"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Manager - Data and Analytics (MoH)</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0CCF80" w14:textId="5398435C" w:rsidR="00584374" w:rsidRDefault="00584374"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Hayden Luscombe</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8150EA" w14:textId="28F508F4" w:rsidR="00584374" w:rsidRPr="00584374" w:rsidRDefault="00161997" w:rsidP="00E9219D">
            <w:pPr>
              <w:widowControl/>
              <w:autoSpaceDE/>
              <w:autoSpaceDN/>
              <w:rPr>
                <w:rFonts w:asciiTheme="minorHAnsi" w:hAnsiTheme="minorHAnsi" w:cstheme="minorHAnsi"/>
              </w:rPr>
            </w:pPr>
            <w:hyperlink r:id="rId27" w:history="1">
              <w:r w:rsidR="00584374" w:rsidRPr="00584374">
                <w:rPr>
                  <w:rStyle w:val="Hyperlink"/>
                  <w:rFonts w:asciiTheme="minorHAnsi" w:hAnsiTheme="minorHAnsi" w:cstheme="minorHAnsi"/>
                  <w:lang w:val="en-US"/>
                </w:rPr>
                <w:t>Hayden.Luscombe@health.govt.nz</w:t>
              </w:r>
            </w:hyperlink>
          </w:p>
        </w:tc>
      </w:tr>
      <w:tr w:rsidR="00584374" w:rsidRPr="00C67CFF" w14:paraId="28829885"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5D00FC" w14:textId="0FF617F2" w:rsidR="00584374" w:rsidRDefault="00584374"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Programme Director – Acute Care (MoH)</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FB6ABD" w14:textId="017DD472" w:rsidR="00584374" w:rsidRDefault="00584374"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Kate Clark</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1A2A53" w14:textId="3E555D5B" w:rsidR="00584374" w:rsidRDefault="00161997" w:rsidP="00E9219D">
            <w:pPr>
              <w:widowControl/>
              <w:autoSpaceDE/>
              <w:autoSpaceDN/>
              <w:rPr>
                <w:rFonts w:asciiTheme="minorHAnsi" w:hAnsiTheme="minorHAnsi" w:cstheme="minorHAnsi"/>
                <w:lang w:val="en-US"/>
              </w:rPr>
            </w:pPr>
            <w:hyperlink r:id="rId28" w:history="1">
              <w:r w:rsidR="00584374" w:rsidRPr="00D60820">
                <w:rPr>
                  <w:rStyle w:val="Hyperlink"/>
                  <w:rFonts w:asciiTheme="minorHAnsi" w:hAnsiTheme="minorHAnsi" w:cstheme="minorHAnsi"/>
                  <w:lang w:val="en-US"/>
                </w:rPr>
                <w:t>Kate.clark@health.govt.nz</w:t>
              </w:r>
            </w:hyperlink>
          </w:p>
          <w:p w14:paraId="683A880F" w14:textId="14784C77" w:rsidR="00584374" w:rsidRPr="00584374" w:rsidRDefault="00584374" w:rsidP="00E9219D">
            <w:pPr>
              <w:widowControl/>
              <w:autoSpaceDE/>
              <w:autoSpaceDN/>
              <w:rPr>
                <w:rFonts w:asciiTheme="minorHAnsi" w:hAnsiTheme="minorHAnsi" w:cstheme="minorHAnsi"/>
                <w:lang w:val="en-US"/>
              </w:rPr>
            </w:pPr>
          </w:p>
        </w:tc>
      </w:tr>
      <w:tr w:rsidR="00A9735D" w:rsidRPr="00C67CFF" w14:paraId="3ECFCF60" w14:textId="77777777" w:rsidTr="0010457B">
        <w:tc>
          <w:tcPr>
            <w:tcW w:w="2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527117" w14:textId="51FBC9AA" w:rsidR="00A9735D" w:rsidRDefault="00A9735D" w:rsidP="00E9219D">
            <w:pPr>
              <w:widowControl/>
              <w:autoSpaceDE/>
              <w:autoSpaceDN/>
              <w:rPr>
                <w:rFonts w:ascii="Calibri" w:eastAsia="Times New Roman" w:hAnsi="Calibri" w:cs="Calibri"/>
                <w:color w:val="000000"/>
                <w:lang w:bidi="ar-SA"/>
              </w:rPr>
            </w:pPr>
            <w:r w:rsidRPr="00C67CFF">
              <w:rPr>
                <w:rFonts w:ascii="Calibri" w:eastAsia="Times New Roman" w:hAnsi="Calibri" w:cs="Calibri"/>
                <w:color w:val="000000"/>
                <w:lang w:bidi="ar-SA"/>
              </w:rPr>
              <w:t>Emergency Department CD</w:t>
            </w:r>
          </w:p>
        </w:tc>
        <w:tc>
          <w:tcPr>
            <w:tcW w:w="3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9681B" w14:textId="2E425318" w:rsidR="00A9735D" w:rsidRDefault="00A9735D" w:rsidP="00E9219D">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Scott Pearson (CDHB)</w:t>
            </w:r>
          </w:p>
        </w:tc>
        <w:tc>
          <w:tcPr>
            <w:tcW w:w="35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69B898" w14:textId="31E08271" w:rsidR="00A9735D" w:rsidRDefault="00161997" w:rsidP="00E9219D">
            <w:pPr>
              <w:widowControl/>
              <w:autoSpaceDE/>
              <w:autoSpaceDN/>
              <w:rPr>
                <w:rStyle w:val="Hyperlink"/>
                <w:rFonts w:asciiTheme="minorHAnsi" w:hAnsiTheme="minorHAnsi" w:cstheme="minorHAnsi"/>
                <w:color w:val="0070C0"/>
                <w:lang w:val="en-US"/>
              </w:rPr>
            </w:pPr>
            <w:hyperlink r:id="rId29" w:history="1">
              <w:r w:rsidR="00A9735D" w:rsidRPr="00DA6161">
                <w:rPr>
                  <w:rStyle w:val="Hyperlink"/>
                  <w:rFonts w:asciiTheme="minorHAnsi" w:hAnsiTheme="minorHAnsi" w:cstheme="minorHAnsi"/>
                  <w:lang w:val="en-US"/>
                </w:rPr>
                <w:t>Scott.Pearson@cdhb.health.nz</w:t>
              </w:r>
            </w:hyperlink>
          </w:p>
          <w:p w14:paraId="72ABAB19" w14:textId="52C5C029" w:rsidR="00A9735D" w:rsidRDefault="00A9735D" w:rsidP="00E9219D">
            <w:pPr>
              <w:widowControl/>
              <w:autoSpaceDE/>
              <w:autoSpaceDN/>
            </w:pPr>
          </w:p>
        </w:tc>
      </w:tr>
    </w:tbl>
    <w:p w14:paraId="04AB519C" w14:textId="77777777" w:rsidR="00626D22" w:rsidRPr="00C67CFF" w:rsidRDefault="00626D22">
      <w:pPr>
        <w:pStyle w:val="Heading1"/>
        <w:spacing w:before="1"/>
      </w:pPr>
    </w:p>
    <w:p w14:paraId="1A3EF01B" w14:textId="7AE0A0A4" w:rsidR="009568F9" w:rsidRPr="00C67CFF" w:rsidRDefault="009568F9">
      <w:pPr>
        <w:sectPr w:rsidR="009568F9" w:rsidRPr="00C67CFF">
          <w:headerReference w:type="default" r:id="rId30"/>
          <w:footerReference w:type="default" r:id="rId31"/>
          <w:type w:val="continuous"/>
          <w:pgSz w:w="11910" w:h="16840"/>
          <w:pgMar w:top="700" w:right="1300" w:bottom="280" w:left="1200" w:header="720" w:footer="720" w:gutter="0"/>
          <w:cols w:space="720"/>
        </w:sectPr>
      </w:pPr>
    </w:p>
    <w:p w14:paraId="1A3EF039" w14:textId="77777777" w:rsidR="009568F9" w:rsidRPr="00C67CFF" w:rsidRDefault="006D0622" w:rsidP="00CC5165">
      <w:pPr>
        <w:pStyle w:val="Heading2"/>
      </w:pPr>
      <w:r w:rsidRPr="00C67CFF">
        <w:lastRenderedPageBreak/>
        <w:t>Role and Responsibilities of ACSAG Members</w:t>
      </w:r>
    </w:p>
    <w:p w14:paraId="1A3EF03A" w14:textId="77777777" w:rsidR="009568F9" w:rsidRPr="00C67CFF" w:rsidRDefault="009568F9">
      <w:pPr>
        <w:pStyle w:val="BodyText"/>
        <w:rPr>
          <w:b/>
        </w:rPr>
      </w:pPr>
    </w:p>
    <w:p w14:paraId="1A3EF03B" w14:textId="04DC51FF" w:rsidR="009568F9" w:rsidRPr="00C67CFF" w:rsidRDefault="006D0622">
      <w:pPr>
        <w:pStyle w:val="BodyText"/>
        <w:ind w:left="218"/>
      </w:pPr>
      <w:r w:rsidRPr="00C67CFF">
        <w:t xml:space="preserve">The Group members are </w:t>
      </w:r>
      <w:r w:rsidR="00C24995" w:rsidRPr="00C67CFF">
        <w:t>expected</w:t>
      </w:r>
      <w:r w:rsidRPr="00C67CFF">
        <w:t xml:space="preserve"> to:</w:t>
      </w:r>
    </w:p>
    <w:p w14:paraId="2303ADF9" w14:textId="0E4C4FC2" w:rsidR="005B6460" w:rsidRPr="00C67CFF" w:rsidRDefault="00C24995" w:rsidP="006E7958">
      <w:pPr>
        <w:pStyle w:val="ListParagraph"/>
        <w:numPr>
          <w:ilvl w:val="0"/>
          <w:numId w:val="1"/>
        </w:numPr>
        <w:tabs>
          <w:tab w:val="left" w:pos="759"/>
        </w:tabs>
        <w:spacing w:line="240" w:lineRule="auto"/>
        <w:ind w:right="109"/>
      </w:pPr>
      <w:r w:rsidRPr="00C67CFF">
        <w:t>a</w:t>
      </w:r>
      <w:r w:rsidR="006D0622" w:rsidRPr="00C67CFF">
        <w:t>ttend ASAG meetings and teleconference meetings</w:t>
      </w:r>
      <w:r w:rsidR="004A53BB" w:rsidRPr="00C67CFF">
        <w:t xml:space="preserve">. </w:t>
      </w:r>
      <w:r w:rsidR="006D0622" w:rsidRPr="00C67CFF">
        <w:t xml:space="preserve"> </w:t>
      </w:r>
      <w:r w:rsidR="004A53BB" w:rsidRPr="00C67CFF">
        <w:t>S</w:t>
      </w:r>
      <w:r w:rsidR="006D0622" w:rsidRPr="00C67CFF">
        <w:t>ubstitution</w:t>
      </w:r>
      <w:r w:rsidR="004A53BB" w:rsidRPr="00C67CFF">
        <w:t>s</w:t>
      </w:r>
      <w:r w:rsidR="006D0622" w:rsidRPr="00C67CFF">
        <w:t xml:space="preserve"> will </w:t>
      </w:r>
      <w:r w:rsidR="004A53BB" w:rsidRPr="00C67CFF">
        <w:t xml:space="preserve">not </w:t>
      </w:r>
      <w:r w:rsidR="006D0622" w:rsidRPr="00C67CFF">
        <w:t xml:space="preserve">be </w:t>
      </w:r>
      <w:r w:rsidR="006014F2" w:rsidRPr="00C67CFF">
        <w:t xml:space="preserve">possible </w:t>
      </w:r>
      <w:r w:rsidR="006D0622" w:rsidRPr="00C67CFF">
        <w:t xml:space="preserve">due to the </w:t>
      </w:r>
      <w:r w:rsidR="006E7958" w:rsidRPr="00C67CFF">
        <w:t>need</w:t>
      </w:r>
      <w:r w:rsidR="006D0622" w:rsidRPr="00C67CFF">
        <w:t xml:space="preserve"> for consistency and ongoing knowledge of the work of the ACSAG. If unable to attend the meeting or teleconference, members must arrange to forward input on all agenda items prior to the meeting or</w:t>
      </w:r>
      <w:r w:rsidR="006D0622" w:rsidRPr="00C67CFF">
        <w:rPr>
          <w:spacing w:val="-12"/>
        </w:rPr>
        <w:t xml:space="preserve"> </w:t>
      </w:r>
      <w:r w:rsidR="006D0622" w:rsidRPr="00C67CFF">
        <w:t>teleconference</w:t>
      </w:r>
    </w:p>
    <w:p w14:paraId="1A3EF03E" w14:textId="3286C4CA" w:rsidR="009568F9" w:rsidRPr="00C67CFF" w:rsidRDefault="003D6326">
      <w:pPr>
        <w:pStyle w:val="ListParagraph"/>
        <w:numPr>
          <w:ilvl w:val="0"/>
          <w:numId w:val="1"/>
        </w:numPr>
        <w:tabs>
          <w:tab w:val="left" w:pos="759"/>
        </w:tabs>
        <w:spacing w:before="2" w:line="237" w:lineRule="auto"/>
        <w:ind w:right="114"/>
      </w:pPr>
      <w:r w:rsidRPr="00C67CFF">
        <w:t xml:space="preserve">provide information, research, evidence, methodologies and tools </w:t>
      </w:r>
      <w:r w:rsidR="007D1B87" w:rsidRPr="00C67CFF">
        <w:t>that contribute to the work of the Advisory Group</w:t>
      </w:r>
    </w:p>
    <w:p w14:paraId="7738407D" w14:textId="26FF91F4" w:rsidR="000C42AC" w:rsidRPr="00C67CFF" w:rsidRDefault="00282C4D">
      <w:pPr>
        <w:pStyle w:val="ListParagraph"/>
        <w:numPr>
          <w:ilvl w:val="0"/>
          <w:numId w:val="1"/>
        </w:numPr>
        <w:tabs>
          <w:tab w:val="left" w:pos="759"/>
        </w:tabs>
        <w:spacing w:before="2" w:line="237" w:lineRule="auto"/>
        <w:ind w:right="114"/>
      </w:pPr>
      <w:r w:rsidRPr="00C67CFF">
        <w:t xml:space="preserve">contribute to, and at times lead the development of written advice on </w:t>
      </w:r>
      <w:r w:rsidR="003F0310" w:rsidRPr="00C67CFF">
        <w:t xml:space="preserve">ACSAG </w:t>
      </w:r>
      <w:r w:rsidR="00CE0118" w:rsidRPr="00C67CFF">
        <w:t>key functions</w:t>
      </w:r>
    </w:p>
    <w:p w14:paraId="1A3EF03F" w14:textId="21FAEDF0" w:rsidR="009568F9" w:rsidRPr="00C67CFF" w:rsidRDefault="00115EB2">
      <w:pPr>
        <w:pStyle w:val="ListParagraph"/>
        <w:numPr>
          <w:ilvl w:val="0"/>
          <w:numId w:val="1"/>
        </w:numPr>
        <w:tabs>
          <w:tab w:val="left" w:pos="759"/>
        </w:tabs>
        <w:spacing w:before="1" w:line="268" w:lineRule="exact"/>
        <w:ind w:hanging="541"/>
      </w:pPr>
      <w:r w:rsidRPr="00C67CFF">
        <w:t xml:space="preserve">be diligent, prepared and </w:t>
      </w:r>
      <w:r w:rsidR="000C42AC" w:rsidRPr="00C67CFF">
        <w:t xml:space="preserve">actively </w:t>
      </w:r>
      <w:r w:rsidRPr="00C67CFF">
        <w:t>participate</w:t>
      </w:r>
      <w:r w:rsidR="000C42AC" w:rsidRPr="00C67CFF">
        <w:t xml:space="preserve"> in meetings</w:t>
      </w:r>
    </w:p>
    <w:p w14:paraId="1A3EF040" w14:textId="2813DEBF" w:rsidR="009568F9" w:rsidRPr="00C67CFF" w:rsidRDefault="00115EB2">
      <w:pPr>
        <w:pStyle w:val="ListParagraph"/>
        <w:numPr>
          <w:ilvl w:val="0"/>
          <w:numId w:val="1"/>
        </w:numPr>
        <w:tabs>
          <w:tab w:val="left" w:pos="759"/>
        </w:tabs>
        <w:spacing w:line="268" w:lineRule="exact"/>
        <w:ind w:hanging="541"/>
      </w:pPr>
      <w:r w:rsidRPr="00C67CFF">
        <w:t>p</w:t>
      </w:r>
      <w:r w:rsidR="006D0622" w:rsidRPr="00C67CFF">
        <w:t>rovide frank opinion in the national interest, regardless of personal</w:t>
      </w:r>
      <w:r w:rsidR="006D0622" w:rsidRPr="00C67CFF">
        <w:rPr>
          <w:spacing w:val="-11"/>
        </w:rPr>
        <w:t xml:space="preserve"> </w:t>
      </w:r>
      <w:r w:rsidR="006D0622" w:rsidRPr="00C67CFF">
        <w:t>affiliations.</w:t>
      </w:r>
    </w:p>
    <w:p w14:paraId="5F17D703" w14:textId="493B837A" w:rsidR="00E37432" w:rsidRPr="00C67CFF" w:rsidRDefault="00E37432" w:rsidP="00E37432">
      <w:pPr>
        <w:tabs>
          <w:tab w:val="left" w:pos="759"/>
        </w:tabs>
        <w:spacing w:line="268" w:lineRule="exact"/>
      </w:pPr>
    </w:p>
    <w:p w14:paraId="5B39B352" w14:textId="77777777" w:rsidR="009737EA" w:rsidRPr="00C67CFF" w:rsidRDefault="00E37432" w:rsidP="009737EA">
      <w:pPr>
        <w:tabs>
          <w:tab w:val="left" w:pos="759"/>
        </w:tabs>
        <w:spacing w:line="268" w:lineRule="exact"/>
      </w:pPr>
      <w:r w:rsidRPr="00C67CFF">
        <w:t>The Advisory Group as a whole will:</w:t>
      </w:r>
    </w:p>
    <w:p w14:paraId="1BD230B5" w14:textId="29AC8A13" w:rsidR="00E37432" w:rsidRPr="00C67CFF" w:rsidRDefault="00E37432" w:rsidP="00051B29">
      <w:pPr>
        <w:pStyle w:val="ListParagraph"/>
        <w:numPr>
          <w:ilvl w:val="0"/>
          <w:numId w:val="5"/>
        </w:numPr>
        <w:tabs>
          <w:tab w:val="left" w:pos="759"/>
        </w:tabs>
        <w:spacing w:line="268" w:lineRule="exact"/>
      </w:pPr>
      <w:r w:rsidRPr="00C67CFF">
        <w:t>ensure that the independent views of members are given due weight and consideration</w:t>
      </w:r>
    </w:p>
    <w:p w14:paraId="575BF1A1" w14:textId="7624B016" w:rsidR="009737EA" w:rsidRPr="00C67CFF" w:rsidRDefault="009737EA" w:rsidP="00051B29">
      <w:pPr>
        <w:pStyle w:val="ListParagraph"/>
        <w:numPr>
          <w:ilvl w:val="0"/>
          <w:numId w:val="5"/>
        </w:numPr>
        <w:tabs>
          <w:tab w:val="left" w:pos="759"/>
        </w:tabs>
        <w:spacing w:line="268" w:lineRule="exact"/>
      </w:pPr>
      <w:r w:rsidRPr="00C67CFF">
        <w:t>ensure fair and full participation of all members</w:t>
      </w:r>
    </w:p>
    <w:p w14:paraId="78842F14" w14:textId="6BF7C2E4" w:rsidR="009737EA" w:rsidRPr="00C67CFF" w:rsidRDefault="009737EA" w:rsidP="00051B29">
      <w:pPr>
        <w:pStyle w:val="ListParagraph"/>
        <w:numPr>
          <w:ilvl w:val="0"/>
          <w:numId w:val="5"/>
        </w:numPr>
        <w:tabs>
          <w:tab w:val="left" w:pos="759"/>
        </w:tabs>
        <w:spacing w:line="268" w:lineRule="exact"/>
      </w:pPr>
      <w:r w:rsidRPr="00C67CFF">
        <w:t>regularly review its own performance</w:t>
      </w:r>
      <w:r w:rsidR="00CE0118" w:rsidRPr="00C67CFF">
        <w:t>.</w:t>
      </w:r>
    </w:p>
    <w:p w14:paraId="1A3EF041" w14:textId="77777777" w:rsidR="009568F9" w:rsidRPr="00C67CFF" w:rsidRDefault="009568F9">
      <w:pPr>
        <w:pStyle w:val="BodyText"/>
        <w:spacing w:before="10"/>
      </w:pPr>
    </w:p>
    <w:p w14:paraId="1A3EF042" w14:textId="77777777" w:rsidR="009568F9" w:rsidRPr="00C67CFF" w:rsidRDefault="006D0622" w:rsidP="00CC5165">
      <w:pPr>
        <w:pStyle w:val="Heading2"/>
      </w:pPr>
      <w:r w:rsidRPr="00C67CFF">
        <w:t>Role and Responsibilities of Chair of the ACSAG</w:t>
      </w:r>
    </w:p>
    <w:p w14:paraId="1A3EF043" w14:textId="77777777" w:rsidR="009568F9" w:rsidRPr="00C67CFF" w:rsidRDefault="009568F9">
      <w:pPr>
        <w:pStyle w:val="BodyText"/>
        <w:rPr>
          <w:b/>
        </w:rPr>
      </w:pPr>
    </w:p>
    <w:p w14:paraId="1A3EF044" w14:textId="136BC96D" w:rsidR="009568F9" w:rsidRPr="00C67CFF" w:rsidRDefault="006D0622">
      <w:pPr>
        <w:pStyle w:val="BodyText"/>
        <w:spacing w:before="1"/>
        <w:ind w:left="218"/>
      </w:pPr>
      <w:r w:rsidRPr="00C67CFF">
        <w:t xml:space="preserve">The chair of the ACSAG </w:t>
      </w:r>
      <w:r w:rsidR="00CE0118" w:rsidRPr="00C67CFF">
        <w:t xml:space="preserve">will be Peter G Jones </w:t>
      </w:r>
      <w:r w:rsidR="003C23B4" w:rsidRPr="00C67CFF">
        <w:t>Auckland DHB and Ministry of Health ED clinical lead who</w:t>
      </w:r>
      <w:r w:rsidRPr="00C67CFF">
        <w:t xml:space="preserve"> will be responsible for:</w:t>
      </w:r>
    </w:p>
    <w:p w14:paraId="1A3EF045" w14:textId="77777777" w:rsidR="009568F9" w:rsidRPr="00C67CFF" w:rsidRDefault="009568F9">
      <w:pPr>
        <w:pStyle w:val="BodyText"/>
        <w:spacing w:before="11"/>
      </w:pPr>
    </w:p>
    <w:p w14:paraId="1A3EF046" w14:textId="4A42F149" w:rsidR="009568F9" w:rsidRPr="00C67CFF" w:rsidRDefault="0010457B">
      <w:pPr>
        <w:pStyle w:val="ListParagraph"/>
        <w:numPr>
          <w:ilvl w:val="0"/>
          <w:numId w:val="1"/>
        </w:numPr>
        <w:tabs>
          <w:tab w:val="left" w:pos="758"/>
          <w:tab w:val="left" w:pos="759"/>
        </w:tabs>
        <w:ind w:hanging="541"/>
        <w:jc w:val="left"/>
      </w:pPr>
      <w:r w:rsidRPr="00C67CFF">
        <w:t>c</w:t>
      </w:r>
      <w:r w:rsidR="006D0622" w:rsidRPr="00C67CFF">
        <w:t>hairing the meetings and teleconference</w:t>
      </w:r>
      <w:r w:rsidR="006D0622" w:rsidRPr="00C67CFF">
        <w:rPr>
          <w:spacing w:val="-7"/>
        </w:rPr>
        <w:t xml:space="preserve"> </w:t>
      </w:r>
      <w:r w:rsidR="006D0622" w:rsidRPr="00C67CFF">
        <w:t>meetings</w:t>
      </w:r>
    </w:p>
    <w:p w14:paraId="45DE3FF9" w14:textId="57344841" w:rsidR="0010457B" w:rsidRPr="00C67CFF" w:rsidRDefault="0010457B" w:rsidP="0010457B">
      <w:pPr>
        <w:pStyle w:val="ListParagraph"/>
        <w:numPr>
          <w:ilvl w:val="0"/>
          <w:numId w:val="1"/>
        </w:numPr>
        <w:tabs>
          <w:tab w:val="left" w:pos="758"/>
          <w:tab w:val="left" w:pos="759"/>
        </w:tabs>
        <w:spacing w:line="268" w:lineRule="exact"/>
        <w:ind w:hanging="541"/>
        <w:jc w:val="left"/>
      </w:pPr>
      <w:r w:rsidRPr="00C67CFF">
        <w:t>obtaining views and opinions from ACSAG</w:t>
      </w:r>
      <w:r w:rsidRPr="00C67CFF">
        <w:rPr>
          <w:spacing w:val="-1"/>
        </w:rPr>
        <w:t xml:space="preserve"> </w:t>
      </w:r>
      <w:r w:rsidRPr="00C67CFF">
        <w:t>members</w:t>
      </w:r>
    </w:p>
    <w:p w14:paraId="1A3EF047" w14:textId="566C61EC" w:rsidR="009568F9" w:rsidRPr="00C67CFF" w:rsidRDefault="0010457B">
      <w:pPr>
        <w:pStyle w:val="ListParagraph"/>
        <w:numPr>
          <w:ilvl w:val="0"/>
          <w:numId w:val="1"/>
        </w:numPr>
        <w:tabs>
          <w:tab w:val="left" w:pos="758"/>
          <w:tab w:val="left" w:pos="759"/>
        </w:tabs>
        <w:spacing w:line="268" w:lineRule="exact"/>
        <w:ind w:hanging="541"/>
        <w:jc w:val="left"/>
      </w:pPr>
      <w:r w:rsidRPr="00C67CFF">
        <w:t>m</w:t>
      </w:r>
      <w:r w:rsidR="006D0622" w:rsidRPr="00C67CFF">
        <w:t>anaging the process of conflict</w:t>
      </w:r>
      <w:r w:rsidR="006D0622" w:rsidRPr="00C67CFF">
        <w:rPr>
          <w:spacing w:val="-6"/>
        </w:rPr>
        <w:t xml:space="preserve"> </w:t>
      </w:r>
      <w:r w:rsidR="006D0622" w:rsidRPr="00C67CFF">
        <w:t>resolution</w:t>
      </w:r>
    </w:p>
    <w:p w14:paraId="1A3EF049" w14:textId="63072BBE" w:rsidR="009568F9" w:rsidRPr="00C67CFF" w:rsidRDefault="0010457B">
      <w:pPr>
        <w:pStyle w:val="ListParagraph"/>
        <w:numPr>
          <w:ilvl w:val="0"/>
          <w:numId w:val="1"/>
        </w:numPr>
        <w:tabs>
          <w:tab w:val="left" w:pos="758"/>
          <w:tab w:val="left" w:pos="759"/>
        </w:tabs>
        <w:ind w:hanging="541"/>
        <w:jc w:val="left"/>
      </w:pPr>
      <w:r w:rsidRPr="00C67CFF">
        <w:t>b</w:t>
      </w:r>
      <w:r w:rsidR="006D0622" w:rsidRPr="00C67CFF">
        <w:t>eing the spokesperson for the</w:t>
      </w:r>
      <w:r w:rsidR="006D0622" w:rsidRPr="00C67CFF">
        <w:rPr>
          <w:spacing w:val="-7"/>
        </w:rPr>
        <w:t xml:space="preserve"> </w:t>
      </w:r>
      <w:r w:rsidR="006D0622" w:rsidRPr="00C67CFF">
        <w:t>ACSAG</w:t>
      </w:r>
      <w:r w:rsidR="00617201" w:rsidRPr="00C67CFF">
        <w:t>.</w:t>
      </w:r>
    </w:p>
    <w:p w14:paraId="1A3EF04A" w14:textId="77777777" w:rsidR="009568F9" w:rsidRPr="00C67CFF" w:rsidRDefault="009568F9">
      <w:pPr>
        <w:pStyle w:val="BodyText"/>
        <w:spacing w:before="8"/>
      </w:pPr>
    </w:p>
    <w:p w14:paraId="1A3EF054" w14:textId="77777777" w:rsidR="009568F9" w:rsidRPr="00C67CFF" w:rsidRDefault="006D0622" w:rsidP="00CC5165">
      <w:pPr>
        <w:pStyle w:val="Heading2"/>
      </w:pPr>
      <w:r w:rsidRPr="00C67CFF">
        <w:t>Confidentiality</w:t>
      </w:r>
    </w:p>
    <w:p w14:paraId="1A3EF055" w14:textId="77777777" w:rsidR="009568F9" w:rsidRPr="00C67CFF" w:rsidRDefault="009568F9">
      <w:pPr>
        <w:pStyle w:val="BodyText"/>
        <w:spacing w:before="1"/>
        <w:rPr>
          <w:b/>
        </w:rPr>
      </w:pPr>
    </w:p>
    <w:p w14:paraId="1A3EF056" w14:textId="77777777" w:rsidR="009568F9" w:rsidRPr="00C67CFF" w:rsidRDefault="006D0622">
      <w:pPr>
        <w:pStyle w:val="BodyText"/>
        <w:ind w:left="218" w:right="109"/>
        <w:jc w:val="both"/>
      </w:pPr>
      <w:r w:rsidRPr="00C67CFF">
        <w:t>All work circulated to and engaged with by the ACSAG, whether verbal or written, shall be treated as confidential for use by the ACSAG, unless deemed otherwise by the Ministry and expressly stated. No information, in any form, should be released without prior written approval by the Ministry. Information of a commercially sensitive nature is deemed confidential. By agreeing to these terms of reference, members are agreeing to these conditions of confidentiality.</w:t>
      </w:r>
    </w:p>
    <w:p w14:paraId="3EABF1FA" w14:textId="77777777" w:rsidR="00691F79" w:rsidRPr="00C67CFF" w:rsidRDefault="00691F79">
      <w:pPr>
        <w:pStyle w:val="Heading1"/>
        <w:spacing w:before="94"/>
      </w:pPr>
    </w:p>
    <w:p w14:paraId="1A3EF059" w14:textId="482B42BC" w:rsidR="009568F9" w:rsidRPr="00C67CFF" w:rsidRDefault="006D0622" w:rsidP="00CC5165">
      <w:pPr>
        <w:pStyle w:val="Heading2"/>
      </w:pPr>
      <w:r w:rsidRPr="00C67CFF">
        <w:t>Conflict of interest</w:t>
      </w:r>
    </w:p>
    <w:p w14:paraId="1A3EF05A" w14:textId="77777777" w:rsidR="009568F9" w:rsidRPr="00C67CFF" w:rsidRDefault="009568F9">
      <w:pPr>
        <w:pStyle w:val="BodyText"/>
        <w:spacing w:before="9"/>
        <w:rPr>
          <w:b/>
        </w:rPr>
      </w:pPr>
    </w:p>
    <w:p w14:paraId="1A3EF05B" w14:textId="77777777" w:rsidR="009568F9" w:rsidRPr="00C67CFF" w:rsidRDefault="006D0622">
      <w:pPr>
        <w:pStyle w:val="BodyText"/>
        <w:ind w:left="218"/>
      </w:pPr>
      <w:r w:rsidRPr="00C67CFF">
        <w:t>The Ministry recognises that the ACSAG members have interests in the matters being considered. In general, these interests only become a ‘conflict of interest’ where there is the potential for personal (or organisation) gain. Personal or organisation gain could be actual or perceived. Members must declare that they have a financial, professional, organisation or personal interest (direct or indirect) that might create conflict.</w:t>
      </w:r>
    </w:p>
    <w:p w14:paraId="1A3EF05C" w14:textId="77777777" w:rsidR="009568F9" w:rsidRPr="00C67CFF" w:rsidRDefault="009568F9">
      <w:pPr>
        <w:pStyle w:val="BodyText"/>
        <w:spacing w:before="1"/>
      </w:pPr>
    </w:p>
    <w:p w14:paraId="1A3EF05D" w14:textId="77777777" w:rsidR="009568F9" w:rsidRPr="00C67CFF" w:rsidRDefault="006D0622">
      <w:pPr>
        <w:pStyle w:val="BodyText"/>
        <w:ind w:left="218" w:right="184"/>
      </w:pPr>
      <w:r w:rsidRPr="00C67CFF">
        <w:t>When members believe they have a conflict of interest on a subject that will prevent them from reaching an impartial decision or undertaking an activity consistent with the ACSAG’s functions, they must declare that conflict of interest to the Chair who will ensure that conflicts of interest are managed appropriately.</w:t>
      </w:r>
    </w:p>
    <w:p w14:paraId="1A3EF05F" w14:textId="77777777" w:rsidR="009568F9" w:rsidRPr="00C67CFF" w:rsidRDefault="009568F9">
      <w:pPr>
        <w:pStyle w:val="BodyText"/>
      </w:pPr>
    </w:p>
    <w:p w14:paraId="1A3EF060" w14:textId="77777777" w:rsidR="009568F9" w:rsidRPr="00C67CFF" w:rsidRDefault="006D0622" w:rsidP="00CC5165">
      <w:pPr>
        <w:pStyle w:val="Heading2"/>
        <w:keepNext/>
        <w:ind w:left="215"/>
      </w:pPr>
      <w:r w:rsidRPr="00C67CFF">
        <w:lastRenderedPageBreak/>
        <w:t>Meeting Protocol</w:t>
      </w:r>
    </w:p>
    <w:p w14:paraId="1A3EF061" w14:textId="77777777" w:rsidR="009568F9" w:rsidRPr="00C67CFF" w:rsidRDefault="009568F9" w:rsidP="00CC5165">
      <w:pPr>
        <w:pStyle w:val="BodyText"/>
        <w:keepNext/>
        <w:rPr>
          <w:b/>
        </w:rPr>
      </w:pPr>
    </w:p>
    <w:p w14:paraId="1512F7D5" w14:textId="607A9312" w:rsidR="008B25F9" w:rsidRPr="00C67CFF" w:rsidRDefault="008B25F9" w:rsidP="005C484D">
      <w:pPr>
        <w:pStyle w:val="BodyText"/>
        <w:ind w:right="514" w:firstLine="218"/>
      </w:pPr>
      <w:r w:rsidRPr="00C67CFF">
        <w:t xml:space="preserve">Meetings will be chaired by </w:t>
      </w:r>
      <w:r w:rsidR="00F50C89" w:rsidRPr="00C67CFF">
        <w:t xml:space="preserve">Peter G Jones. </w:t>
      </w:r>
    </w:p>
    <w:p w14:paraId="3293E0D6" w14:textId="77777777" w:rsidR="001E54C2" w:rsidRPr="00C67CFF" w:rsidRDefault="001E54C2" w:rsidP="00F50C89">
      <w:pPr>
        <w:pStyle w:val="BodyText"/>
        <w:ind w:left="142" w:right="514" w:firstLine="142"/>
      </w:pPr>
    </w:p>
    <w:p w14:paraId="1E8ACE11" w14:textId="77777777" w:rsidR="00F50C89" w:rsidRPr="00C67CFF" w:rsidRDefault="00F50C89" w:rsidP="005C484D">
      <w:pPr>
        <w:pStyle w:val="BodyText"/>
        <w:ind w:right="514" w:firstLine="218"/>
      </w:pPr>
      <w:r w:rsidRPr="00C67CFF">
        <w:t>Advisory Group meetings will occur on a monthly basis.</w:t>
      </w:r>
    </w:p>
    <w:p w14:paraId="5D5D2AD6" w14:textId="77777777" w:rsidR="00F50C89" w:rsidRPr="00C67CFF" w:rsidRDefault="00F50C89" w:rsidP="00F50C89">
      <w:pPr>
        <w:pStyle w:val="BodyText"/>
        <w:ind w:left="142" w:right="514"/>
      </w:pPr>
    </w:p>
    <w:p w14:paraId="1A3EF062" w14:textId="35950C41" w:rsidR="009568F9" w:rsidRPr="00C67CFF" w:rsidRDefault="008B25F9" w:rsidP="005C484D">
      <w:pPr>
        <w:pStyle w:val="BodyText"/>
        <w:ind w:left="218" w:right="514"/>
      </w:pPr>
      <w:r w:rsidRPr="00C67CFF">
        <w:t>A meeting q</w:t>
      </w:r>
      <w:r w:rsidR="006D0622" w:rsidRPr="00C67CFF">
        <w:t xml:space="preserve">uorum for the ACSAG will be </w:t>
      </w:r>
      <w:r w:rsidR="00BD33F6">
        <w:t>9</w:t>
      </w:r>
      <w:r w:rsidR="001E54C2" w:rsidRPr="00C67CFF">
        <w:t xml:space="preserve"> members - </w:t>
      </w:r>
      <w:r w:rsidR="006D0622" w:rsidRPr="00C67CFF">
        <w:t>half of the members plus one, not including the Chair who must be present.</w:t>
      </w:r>
    </w:p>
    <w:p w14:paraId="28475681" w14:textId="53CE53D3" w:rsidR="001E54C2" w:rsidRPr="00C67CFF" w:rsidRDefault="001E54C2" w:rsidP="00F50C89">
      <w:pPr>
        <w:pStyle w:val="BodyText"/>
        <w:ind w:left="142" w:right="514" w:firstLine="142"/>
      </w:pPr>
    </w:p>
    <w:p w14:paraId="14F0F71A" w14:textId="77777777" w:rsidR="00F50C89" w:rsidRPr="00C67CFF" w:rsidRDefault="001E54C2" w:rsidP="005C484D">
      <w:pPr>
        <w:pStyle w:val="BodyText"/>
        <w:ind w:left="142" w:right="514" w:firstLine="76"/>
      </w:pPr>
      <w:r w:rsidRPr="00C67CFF">
        <w:t>Secretariat</w:t>
      </w:r>
      <w:r w:rsidR="00A427B8" w:rsidRPr="00C67CFF">
        <w:t xml:space="preserve"> support will be provided by the System Flow team in the Ministry of Health. </w:t>
      </w:r>
    </w:p>
    <w:p w14:paraId="0762B5C3" w14:textId="77777777" w:rsidR="00F50C89" w:rsidRPr="00C67CFF" w:rsidRDefault="00F50C89" w:rsidP="00F50C89">
      <w:pPr>
        <w:pStyle w:val="BodyText"/>
        <w:ind w:left="142" w:right="514"/>
      </w:pPr>
    </w:p>
    <w:p w14:paraId="2D72B200" w14:textId="7B44544B" w:rsidR="001E54C2" w:rsidRPr="00C67CFF" w:rsidRDefault="00A427B8" w:rsidP="005C484D">
      <w:pPr>
        <w:pStyle w:val="BodyText"/>
        <w:ind w:left="142" w:right="514" w:firstLine="76"/>
      </w:pPr>
      <w:r w:rsidRPr="00C67CFF">
        <w:t>This includes:</w:t>
      </w:r>
    </w:p>
    <w:p w14:paraId="19AD57E1" w14:textId="2AE5AA77" w:rsidR="00A427B8" w:rsidRPr="00C67CFF" w:rsidRDefault="00F05858" w:rsidP="00F50C89">
      <w:pPr>
        <w:pStyle w:val="BodyText"/>
        <w:numPr>
          <w:ilvl w:val="0"/>
          <w:numId w:val="3"/>
        </w:numPr>
        <w:ind w:left="142" w:right="514" w:firstLine="142"/>
      </w:pPr>
      <w:r w:rsidRPr="00C67CFF">
        <w:t>s</w:t>
      </w:r>
      <w:r w:rsidR="00A427B8" w:rsidRPr="00C67CFF">
        <w:t>cheduling meetings</w:t>
      </w:r>
    </w:p>
    <w:p w14:paraId="18577B35" w14:textId="77777777" w:rsidR="00F70E5C" w:rsidRPr="00C67CFF" w:rsidRDefault="00F05858" w:rsidP="00F50C89">
      <w:pPr>
        <w:pStyle w:val="BodyText"/>
        <w:numPr>
          <w:ilvl w:val="0"/>
          <w:numId w:val="3"/>
        </w:numPr>
        <w:ind w:left="142" w:right="514" w:firstLine="142"/>
      </w:pPr>
      <w:r w:rsidRPr="00C67CFF">
        <w:t xml:space="preserve">preparing agendas </w:t>
      </w:r>
      <w:r w:rsidR="00AE2692" w:rsidRPr="00C67CFF">
        <w:t xml:space="preserve">and </w:t>
      </w:r>
      <w:r w:rsidR="00F70E5C" w:rsidRPr="00C67CFF">
        <w:t>supporting papers and distributing in advance of meetings</w:t>
      </w:r>
    </w:p>
    <w:p w14:paraId="3DC355BB" w14:textId="70E3BEB2" w:rsidR="00F05858" w:rsidRPr="00C67CFF" w:rsidRDefault="00F70E5C" w:rsidP="00F50C89">
      <w:pPr>
        <w:pStyle w:val="BodyText"/>
        <w:numPr>
          <w:ilvl w:val="0"/>
          <w:numId w:val="3"/>
        </w:numPr>
        <w:ind w:left="142" w:right="514" w:firstLine="142"/>
      </w:pPr>
      <w:r w:rsidRPr="00C67CFF">
        <w:t xml:space="preserve">preparing </w:t>
      </w:r>
      <w:r w:rsidR="00F05858" w:rsidRPr="00C67CFF">
        <w:t>meeting minutes</w:t>
      </w:r>
      <w:r w:rsidR="00F50C89" w:rsidRPr="00C67CFF">
        <w:t>.</w:t>
      </w:r>
    </w:p>
    <w:p w14:paraId="537B8A13" w14:textId="456CD80A" w:rsidR="00F70E5C" w:rsidRPr="00C67CFF" w:rsidRDefault="00F70E5C" w:rsidP="00F50C89">
      <w:pPr>
        <w:pStyle w:val="BodyText"/>
        <w:ind w:left="142" w:right="514" w:firstLine="142"/>
      </w:pPr>
    </w:p>
    <w:p w14:paraId="1A3EF064" w14:textId="77777777" w:rsidR="009568F9" w:rsidRPr="00C67CFF" w:rsidRDefault="009568F9">
      <w:pPr>
        <w:pStyle w:val="BodyText"/>
        <w:spacing w:before="1"/>
      </w:pPr>
    </w:p>
    <w:p w14:paraId="1A3EF065" w14:textId="77777777" w:rsidR="009568F9" w:rsidRPr="00C67CFF" w:rsidRDefault="006D0622" w:rsidP="00CC5165">
      <w:pPr>
        <w:pStyle w:val="Heading2"/>
      </w:pPr>
      <w:r w:rsidRPr="00C67CFF">
        <w:t>Proposed Meeting Dates</w:t>
      </w:r>
    </w:p>
    <w:p w14:paraId="1A3EF066" w14:textId="77777777" w:rsidR="009568F9" w:rsidRPr="00C67CFF" w:rsidRDefault="009568F9">
      <w:pPr>
        <w:pStyle w:val="BodyText"/>
        <w:spacing w:before="1"/>
        <w:rPr>
          <w:b/>
        </w:rPr>
      </w:pPr>
    </w:p>
    <w:p w14:paraId="1A3EF067" w14:textId="1AA7D2CB" w:rsidR="009568F9" w:rsidRPr="00C67CFF" w:rsidRDefault="006D0622">
      <w:pPr>
        <w:pStyle w:val="BodyText"/>
        <w:ind w:left="218" w:right="257"/>
      </w:pPr>
      <w:r w:rsidRPr="00C67CFF">
        <w:t>Meetings and teleconference dates will be confirmed at the first meeting. It is anticipated the membership will participate in some group meetings by video and teleconference and work completed outside of scheduled meetings is similarly progressed via email or teleconference as required.</w:t>
      </w:r>
    </w:p>
    <w:p w14:paraId="334E8087" w14:textId="65A57928" w:rsidR="00345410" w:rsidRPr="00C67CFF" w:rsidRDefault="00345410">
      <w:pPr>
        <w:pStyle w:val="BodyText"/>
        <w:ind w:left="218" w:right="257"/>
      </w:pPr>
    </w:p>
    <w:p w14:paraId="7203BB61" w14:textId="77777777" w:rsidR="0078620A" w:rsidRDefault="0078620A">
      <w:pPr>
        <w:pStyle w:val="BodyText"/>
        <w:ind w:left="218" w:right="257"/>
        <w:sectPr w:rsidR="0078620A">
          <w:headerReference w:type="even" r:id="rId32"/>
          <w:headerReference w:type="default" r:id="rId33"/>
          <w:headerReference w:type="first" r:id="rId34"/>
          <w:pgSz w:w="11910" w:h="16840"/>
          <w:pgMar w:top="1580" w:right="1300" w:bottom="880" w:left="1200" w:header="0" w:footer="697" w:gutter="0"/>
          <w:cols w:space="720"/>
        </w:sectPr>
      </w:pPr>
    </w:p>
    <w:p w14:paraId="1825E3A0" w14:textId="773A5D7A" w:rsidR="00345410" w:rsidRDefault="00D5085E">
      <w:pPr>
        <w:pStyle w:val="BodyText"/>
        <w:ind w:left="218" w:right="257"/>
      </w:pPr>
      <w:r w:rsidRPr="00D5085E">
        <w:rPr>
          <w:noProof/>
        </w:rPr>
        <w:lastRenderedPageBreak/>
        <w:drawing>
          <wp:inline distT="0" distB="0" distL="0" distR="0" wp14:anchorId="003271AC" wp14:editId="2A3F8191">
            <wp:extent cx="7567316" cy="53497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567316" cy="5349704"/>
                    </a:xfrm>
                    <a:prstGeom prst="rect">
                      <a:avLst/>
                    </a:prstGeom>
                  </pic:spPr>
                </pic:pic>
              </a:graphicData>
            </a:graphic>
          </wp:inline>
        </w:drawing>
      </w:r>
    </w:p>
    <w:p w14:paraId="15210563" w14:textId="2ED86861" w:rsidR="007319A8" w:rsidRDefault="007319A8">
      <w:pPr>
        <w:pStyle w:val="BodyText"/>
        <w:ind w:left="218" w:right="257"/>
      </w:pPr>
    </w:p>
    <w:p w14:paraId="3F291AAB" w14:textId="26F0EC43" w:rsidR="007319A8" w:rsidRDefault="007319A8">
      <w:pPr>
        <w:pStyle w:val="BodyText"/>
        <w:ind w:left="218" w:right="257"/>
      </w:pPr>
    </w:p>
    <w:p w14:paraId="03A48D87" w14:textId="5AD61695" w:rsidR="007319A8" w:rsidRDefault="007319A8">
      <w:pPr>
        <w:pStyle w:val="BodyText"/>
        <w:ind w:left="218" w:right="257"/>
      </w:pPr>
    </w:p>
    <w:p w14:paraId="622D4837" w14:textId="744571F1" w:rsidR="007319A8" w:rsidRDefault="007319A8">
      <w:pPr>
        <w:pStyle w:val="BodyText"/>
        <w:ind w:left="218" w:right="257"/>
      </w:pPr>
      <w:r w:rsidRPr="007319A8">
        <w:rPr>
          <w:noProof/>
        </w:rPr>
        <w:lastRenderedPageBreak/>
        <w:drawing>
          <wp:inline distT="0" distB="0" distL="0" distR="0" wp14:anchorId="27312FA0" wp14:editId="24FCD762">
            <wp:extent cx="7567316" cy="534970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567316" cy="5349704"/>
                    </a:xfrm>
                    <a:prstGeom prst="rect">
                      <a:avLst/>
                    </a:prstGeom>
                  </pic:spPr>
                </pic:pic>
              </a:graphicData>
            </a:graphic>
          </wp:inline>
        </w:drawing>
      </w:r>
    </w:p>
    <w:p w14:paraId="71C8E604" w14:textId="77777777" w:rsidR="007319A8" w:rsidRDefault="007319A8">
      <w:pPr>
        <w:pStyle w:val="BodyText"/>
        <w:ind w:left="218" w:right="257"/>
      </w:pPr>
    </w:p>
    <w:p w14:paraId="507C1B5F" w14:textId="77777777" w:rsidR="007319A8" w:rsidRDefault="007319A8">
      <w:pPr>
        <w:pStyle w:val="BodyText"/>
        <w:ind w:left="218" w:right="257"/>
      </w:pPr>
    </w:p>
    <w:sectPr w:rsidR="007319A8" w:rsidSect="0078620A">
      <w:pgSz w:w="16840" w:h="11910" w:orient="landscape"/>
      <w:pgMar w:top="1200" w:right="1580" w:bottom="1300" w:left="880" w:header="0" w:footer="6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186B" w14:textId="77777777" w:rsidR="0063735D" w:rsidRDefault="0063735D">
      <w:r>
        <w:separator/>
      </w:r>
    </w:p>
  </w:endnote>
  <w:endnote w:type="continuationSeparator" w:id="0">
    <w:p w14:paraId="07A5DF51" w14:textId="77777777" w:rsidR="0063735D" w:rsidRDefault="0063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101" w14:textId="3C0E1683" w:rsidR="002029B9" w:rsidRPr="002029B9" w:rsidRDefault="002029B9" w:rsidP="002029B9">
    <w:pPr>
      <w:pStyle w:val="Footer"/>
      <w:jc w:val="right"/>
      <w:rPr>
        <w:sz w:val="18"/>
        <w:szCs w:val="18"/>
      </w:rPr>
    </w:pPr>
    <w:r>
      <w:rPr>
        <w:sz w:val="18"/>
        <w:szCs w:val="18"/>
      </w:rPr>
      <w:t xml:space="preserve">Page </w:t>
    </w:r>
    <w:r w:rsidRPr="002029B9">
      <w:rPr>
        <w:sz w:val="18"/>
        <w:szCs w:val="18"/>
      </w:rPr>
      <w:fldChar w:fldCharType="begin"/>
    </w:r>
    <w:r w:rsidRPr="002029B9">
      <w:rPr>
        <w:sz w:val="18"/>
        <w:szCs w:val="18"/>
      </w:rPr>
      <w:instrText xml:space="preserve"> PAGE   \* MERGEFORMAT </w:instrText>
    </w:r>
    <w:r w:rsidRPr="002029B9">
      <w:rPr>
        <w:sz w:val="18"/>
        <w:szCs w:val="18"/>
      </w:rPr>
      <w:fldChar w:fldCharType="separate"/>
    </w:r>
    <w:r w:rsidRPr="002029B9">
      <w:rPr>
        <w:noProof/>
        <w:sz w:val="18"/>
        <w:szCs w:val="18"/>
      </w:rPr>
      <w:t>1</w:t>
    </w:r>
    <w:r w:rsidRPr="002029B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9C76" w14:textId="77777777" w:rsidR="0063735D" w:rsidRDefault="0063735D">
      <w:r>
        <w:separator/>
      </w:r>
    </w:p>
  </w:footnote>
  <w:footnote w:type="continuationSeparator" w:id="0">
    <w:p w14:paraId="1ADD81B3" w14:textId="77777777" w:rsidR="0063735D" w:rsidRDefault="0063735D">
      <w:r>
        <w:continuationSeparator/>
      </w:r>
    </w:p>
  </w:footnote>
  <w:footnote w:id="1">
    <w:p w14:paraId="10EF9729" w14:textId="6B2C0BEB" w:rsidR="008377AF" w:rsidRDefault="008377AF">
      <w:pPr>
        <w:pStyle w:val="FootnoteText"/>
      </w:pPr>
      <w:r>
        <w:rPr>
          <w:rStyle w:val="FootnoteReference"/>
        </w:rPr>
        <w:footnoteRef/>
      </w:r>
      <w:r>
        <w:t xml:space="preserve"> </w:t>
      </w:r>
      <w:r w:rsidRPr="008377AF">
        <w:t>https://stats.oecd.org/Index.aspx?QueryId=51881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3280" w14:textId="4FE5CA1F" w:rsidR="00A75E69" w:rsidRDefault="00BD33F6">
    <w:pPr>
      <w:pStyle w:val="Header"/>
    </w:pPr>
    <w:r w:rsidRPr="00FF3B4B">
      <w:rPr>
        <w:noProof/>
      </w:rPr>
      <w:drawing>
        <wp:anchor distT="0" distB="0" distL="114300" distR="114300" simplePos="0" relativeHeight="251672064" behindDoc="0" locked="0" layoutInCell="1" allowOverlap="1" wp14:anchorId="30E9136B" wp14:editId="63BCB2C1">
          <wp:simplePos x="0" y="0"/>
          <wp:positionH relativeFrom="margin">
            <wp:posOffset>5283200</wp:posOffset>
          </wp:positionH>
          <wp:positionV relativeFrom="paragraph">
            <wp:posOffset>-171450</wp:posOffset>
          </wp:positionV>
          <wp:extent cx="927100" cy="3090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hlogo.png"/>
                  <pic:cNvPicPr/>
                </pic:nvPicPr>
                <pic:blipFill>
                  <a:blip r:embed="rId1">
                    <a:extLst>
                      <a:ext uri="{28A0092B-C50C-407E-A947-70E740481C1C}">
                        <a14:useLocalDpi xmlns:a14="http://schemas.microsoft.com/office/drawing/2010/main" val="0"/>
                      </a:ext>
                    </a:extLst>
                  </a:blip>
                  <a:stretch>
                    <a:fillRect/>
                  </a:stretch>
                </pic:blipFill>
                <pic:spPr>
                  <a:xfrm>
                    <a:off x="0" y="0"/>
                    <a:ext cx="927100" cy="30903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644B" w14:textId="214F0E8F" w:rsidR="00A75E69" w:rsidRDefault="00A7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EB6F" w14:textId="70EE4595" w:rsidR="00A75E69" w:rsidRDefault="00A75E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6348" w14:textId="3D87E453" w:rsidR="00A75E69" w:rsidRDefault="00A7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30F"/>
    <w:multiLevelType w:val="hybridMultilevel"/>
    <w:tmpl w:val="935E0114"/>
    <w:lvl w:ilvl="0" w:tplc="C60E9066">
      <w:numFmt w:val="bullet"/>
      <w:lvlText w:val=""/>
      <w:lvlJc w:val="left"/>
      <w:pPr>
        <w:ind w:left="938" w:hanging="360"/>
      </w:pPr>
      <w:rPr>
        <w:rFonts w:ascii="Symbol" w:eastAsia="Symbol" w:hAnsi="Symbol" w:cs="Symbol" w:hint="default"/>
        <w:w w:val="100"/>
        <w:sz w:val="22"/>
        <w:szCs w:val="22"/>
        <w:lang w:val="en-NZ" w:eastAsia="en-NZ" w:bidi="en-NZ"/>
      </w:rPr>
    </w:lvl>
    <w:lvl w:ilvl="1" w:tplc="29C01DBA">
      <w:numFmt w:val="bullet"/>
      <w:lvlText w:val="•"/>
      <w:lvlJc w:val="left"/>
      <w:pPr>
        <w:ind w:left="1786" w:hanging="360"/>
      </w:pPr>
      <w:rPr>
        <w:rFonts w:hint="default"/>
        <w:lang w:val="en-NZ" w:eastAsia="en-NZ" w:bidi="en-NZ"/>
      </w:rPr>
    </w:lvl>
    <w:lvl w:ilvl="2" w:tplc="E0023458">
      <w:numFmt w:val="bullet"/>
      <w:lvlText w:val="•"/>
      <w:lvlJc w:val="left"/>
      <w:pPr>
        <w:ind w:left="2633" w:hanging="360"/>
      </w:pPr>
      <w:rPr>
        <w:rFonts w:hint="default"/>
        <w:lang w:val="en-NZ" w:eastAsia="en-NZ" w:bidi="en-NZ"/>
      </w:rPr>
    </w:lvl>
    <w:lvl w:ilvl="3" w:tplc="5F92D158">
      <w:numFmt w:val="bullet"/>
      <w:lvlText w:val="•"/>
      <w:lvlJc w:val="left"/>
      <w:pPr>
        <w:ind w:left="3479" w:hanging="360"/>
      </w:pPr>
      <w:rPr>
        <w:rFonts w:hint="default"/>
        <w:lang w:val="en-NZ" w:eastAsia="en-NZ" w:bidi="en-NZ"/>
      </w:rPr>
    </w:lvl>
    <w:lvl w:ilvl="4" w:tplc="9A8ECF56">
      <w:numFmt w:val="bullet"/>
      <w:lvlText w:val="•"/>
      <w:lvlJc w:val="left"/>
      <w:pPr>
        <w:ind w:left="4326" w:hanging="360"/>
      </w:pPr>
      <w:rPr>
        <w:rFonts w:hint="default"/>
        <w:lang w:val="en-NZ" w:eastAsia="en-NZ" w:bidi="en-NZ"/>
      </w:rPr>
    </w:lvl>
    <w:lvl w:ilvl="5" w:tplc="8DDC9924">
      <w:numFmt w:val="bullet"/>
      <w:lvlText w:val="•"/>
      <w:lvlJc w:val="left"/>
      <w:pPr>
        <w:ind w:left="5173" w:hanging="360"/>
      </w:pPr>
      <w:rPr>
        <w:rFonts w:hint="default"/>
        <w:lang w:val="en-NZ" w:eastAsia="en-NZ" w:bidi="en-NZ"/>
      </w:rPr>
    </w:lvl>
    <w:lvl w:ilvl="6" w:tplc="930A5692">
      <w:numFmt w:val="bullet"/>
      <w:lvlText w:val="•"/>
      <w:lvlJc w:val="left"/>
      <w:pPr>
        <w:ind w:left="6019" w:hanging="360"/>
      </w:pPr>
      <w:rPr>
        <w:rFonts w:hint="default"/>
        <w:lang w:val="en-NZ" w:eastAsia="en-NZ" w:bidi="en-NZ"/>
      </w:rPr>
    </w:lvl>
    <w:lvl w:ilvl="7" w:tplc="BA2CB9F8">
      <w:numFmt w:val="bullet"/>
      <w:lvlText w:val="•"/>
      <w:lvlJc w:val="left"/>
      <w:pPr>
        <w:ind w:left="6866" w:hanging="360"/>
      </w:pPr>
      <w:rPr>
        <w:rFonts w:hint="default"/>
        <w:lang w:val="en-NZ" w:eastAsia="en-NZ" w:bidi="en-NZ"/>
      </w:rPr>
    </w:lvl>
    <w:lvl w:ilvl="8" w:tplc="09C2B6F8">
      <w:numFmt w:val="bullet"/>
      <w:lvlText w:val="•"/>
      <w:lvlJc w:val="left"/>
      <w:pPr>
        <w:ind w:left="7713" w:hanging="360"/>
      </w:pPr>
      <w:rPr>
        <w:rFonts w:hint="default"/>
        <w:lang w:val="en-NZ" w:eastAsia="en-NZ" w:bidi="en-NZ"/>
      </w:rPr>
    </w:lvl>
  </w:abstractNum>
  <w:abstractNum w:abstractNumId="1" w15:restartNumberingAfterBreak="0">
    <w:nsid w:val="22A729B0"/>
    <w:multiLevelType w:val="multilevel"/>
    <w:tmpl w:val="18E6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069FC"/>
    <w:multiLevelType w:val="hybridMultilevel"/>
    <w:tmpl w:val="5D62EE70"/>
    <w:lvl w:ilvl="0" w:tplc="14090001">
      <w:start w:val="1"/>
      <w:numFmt w:val="bullet"/>
      <w:lvlText w:val=""/>
      <w:lvlJc w:val="left"/>
      <w:pPr>
        <w:ind w:left="938" w:hanging="360"/>
      </w:pPr>
      <w:rPr>
        <w:rFonts w:ascii="Symbol" w:hAnsi="Symbol" w:hint="default"/>
      </w:rPr>
    </w:lvl>
    <w:lvl w:ilvl="1" w:tplc="14090003" w:tentative="1">
      <w:start w:val="1"/>
      <w:numFmt w:val="bullet"/>
      <w:lvlText w:val="o"/>
      <w:lvlJc w:val="left"/>
      <w:pPr>
        <w:ind w:left="1658" w:hanging="360"/>
      </w:pPr>
      <w:rPr>
        <w:rFonts w:ascii="Courier New" w:hAnsi="Courier New" w:cs="Courier New" w:hint="default"/>
      </w:rPr>
    </w:lvl>
    <w:lvl w:ilvl="2" w:tplc="14090005" w:tentative="1">
      <w:start w:val="1"/>
      <w:numFmt w:val="bullet"/>
      <w:lvlText w:val=""/>
      <w:lvlJc w:val="left"/>
      <w:pPr>
        <w:ind w:left="2378" w:hanging="360"/>
      </w:pPr>
      <w:rPr>
        <w:rFonts w:ascii="Wingdings" w:hAnsi="Wingdings" w:hint="default"/>
      </w:rPr>
    </w:lvl>
    <w:lvl w:ilvl="3" w:tplc="14090001" w:tentative="1">
      <w:start w:val="1"/>
      <w:numFmt w:val="bullet"/>
      <w:lvlText w:val=""/>
      <w:lvlJc w:val="left"/>
      <w:pPr>
        <w:ind w:left="3098" w:hanging="360"/>
      </w:pPr>
      <w:rPr>
        <w:rFonts w:ascii="Symbol" w:hAnsi="Symbol" w:hint="default"/>
      </w:rPr>
    </w:lvl>
    <w:lvl w:ilvl="4" w:tplc="14090003" w:tentative="1">
      <w:start w:val="1"/>
      <w:numFmt w:val="bullet"/>
      <w:lvlText w:val="o"/>
      <w:lvlJc w:val="left"/>
      <w:pPr>
        <w:ind w:left="3818" w:hanging="360"/>
      </w:pPr>
      <w:rPr>
        <w:rFonts w:ascii="Courier New" w:hAnsi="Courier New" w:cs="Courier New" w:hint="default"/>
      </w:rPr>
    </w:lvl>
    <w:lvl w:ilvl="5" w:tplc="14090005" w:tentative="1">
      <w:start w:val="1"/>
      <w:numFmt w:val="bullet"/>
      <w:lvlText w:val=""/>
      <w:lvlJc w:val="left"/>
      <w:pPr>
        <w:ind w:left="4538" w:hanging="360"/>
      </w:pPr>
      <w:rPr>
        <w:rFonts w:ascii="Wingdings" w:hAnsi="Wingdings" w:hint="default"/>
      </w:rPr>
    </w:lvl>
    <w:lvl w:ilvl="6" w:tplc="14090001" w:tentative="1">
      <w:start w:val="1"/>
      <w:numFmt w:val="bullet"/>
      <w:lvlText w:val=""/>
      <w:lvlJc w:val="left"/>
      <w:pPr>
        <w:ind w:left="5258" w:hanging="360"/>
      </w:pPr>
      <w:rPr>
        <w:rFonts w:ascii="Symbol" w:hAnsi="Symbol" w:hint="default"/>
      </w:rPr>
    </w:lvl>
    <w:lvl w:ilvl="7" w:tplc="14090003" w:tentative="1">
      <w:start w:val="1"/>
      <w:numFmt w:val="bullet"/>
      <w:lvlText w:val="o"/>
      <w:lvlJc w:val="left"/>
      <w:pPr>
        <w:ind w:left="5978" w:hanging="360"/>
      </w:pPr>
      <w:rPr>
        <w:rFonts w:ascii="Courier New" w:hAnsi="Courier New" w:cs="Courier New" w:hint="default"/>
      </w:rPr>
    </w:lvl>
    <w:lvl w:ilvl="8" w:tplc="14090005" w:tentative="1">
      <w:start w:val="1"/>
      <w:numFmt w:val="bullet"/>
      <w:lvlText w:val=""/>
      <w:lvlJc w:val="left"/>
      <w:pPr>
        <w:ind w:left="6698" w:hanging="360"/>
      </w:pPr>
      <w:rPr>
        <w:rFonts w:ascii="Wingdings" w:hAnsi="Wingdings" w:hint="default"/>
      </w:rPr>
    </w:lvl>
  </w:abstractNum>
  <w:abstractNum w:abstractNumId="3" w15:restartNumberingAfterBreak="0">
    <w:nsid w:val="4FA07961"/>
    <w:multiLevelType w:val="hybridMultilevel"/>
    <w:tmpl w:val="A4E2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72108C"/>
    <w:multiLevelType w:val="hybridMultilevel"/>
    <w:tmpl w:val="F5682F6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5" w15:restartNumberingAfterBreak="0">
    <w:nsid w:val="7B860690"/>
    <w:multiLevelType w:val="hybridMultilevel"/>
    <w:tmpl w:val="F32C7480"/>
    <w:lvl w:ilvl="0" w:tplc="E0D6282A">
      <w:numFmt w:val="bullet"/>
      <w:lvlText w:val=""/>
      <w:lvlJc w:val="left"/>
      <w:pPr>
        <w:ind w:left="758" w:hanging="540"/>
      </w:pPr>
      <w:rPr>
        <w:rFonts w:ascii="Symbol" w:eastAsia="Symbol" w:hAnsi="Symbol" w:cs="Symbol" w:hint="default"/>
        <w:w w:val="100"/>
        <w:sz w:val="22"/>
        <w:szCs w:val="22"/>
        <w:lang w:val="en-NZ" w:eastAsia="en-NZ" w:bidi="en-NZ"/>
      </w:rPr>
    </w:lvl>
    <w:lvl w:ilvl="1" w:tplc="496C2990">
      <w:numFmt w:val="bullet"/>
      <w:lvlText w:val="•"/>
      <w:lvlJc w:val="left"/>
      <w:pPr>
        <w:ind w:left="1624" w:hanging="540"/>
      </w:pPr>
      <w:rPr>
        <w:rFonts w:hint="default"/>
        <w:lang w:val="en-NZ" w:eastAsia="en-NZ" w:bidi="en-NZ"/>
      </w:rPr>
    </w:lvl>
    <w:lvl w:ilvl="2" w:tplc="FE56F768">
      <w:numFmt w:val="bullet"/>
      <w:lvlText w:val="•"/>
      <w:lvlJc w:val="left"/>
      <w:pPr>
        <w:ind w:left="2489" w:hanging="540"/>
      </w:pPr>
      <w:rPr>
        <w:rFonts w:hint="default"/>
        <w:lang w:val="en-NZ" w:eastAsia="en-NZ" w:bidi="en-NZ"/>
      </w:rPr>
    </w:lvl>
    <w:lvl w:ilvl="3" w:tplc="1B82C330">
      <w:numFmt w:val="bullet"/>
      <w:lvlText w:val="•"/>
      <w:lvlJc w:val="left"/>
      <w:pPr>
        <w:ind w:left="3353" w:hanging="540"/>
      </w:pPr>
      <w:rPr>
        <w:rFonts w:hint="default"/>
        <w:lang w:val="en-NZ" w:eastAsia="en-NZ" w:bidi="en-NZ"/>
      </w:rPr>
    </w:lvl>
    <w:lvl w:ilvl="4" w:tplc="A0488786">
      <w:numFmt w:val="bullet"/>
      <w:lvlText w:val="•"/>
      <w:lvlJc w:val="left"/>
      <w:pPr>
        <w:ind w:left="4218" w:hanging="540"/>
      </w:pPr>
      <w:rPr>
        <w:rFonts w:hint="default"/>
        <w:lang w:val="en-NZ" w:eastAsia="en-NZ" w:bidi="en-NZ"/>
      </w:rPr>
    </w:lvl>
    <w:lvl w:ilvl="5" w:tplc="A186373C">
      <w:numFmt w:val="bullet"/>
      <w:lvlText w:val="•"/>
      <w:lvlJc w:val="left"/>
      <w:pPr>
        <w:ind w:left="5083" w:hanging="540"/>
      </w:pPr>
      <w:rPr>
        <w:rFonts w:hint="default"/>
        <w:lang w:val="en-NZ" w:eastAsia="en-NZ" w:bidi="en-NZ"/>
      </w:rPr>
    </w:lvl>
    <w:lvl w:ilvl="6" w:tplc="783C385E">
      <w:numFmt w:val="bullet"/>
      <w:lvlText w:val="•"/>
      <w:lvlJc w:val="left"/>
      <w:pPr>
        <w:ind w:left="5947" w:hanging="540"/>
      </w:pPr>
      <w:rPr>
        <w:rFonts w:hint="default"/>
        <w:lang w:val="en-NZ" w:eastAsia="en-NZ" w:bidi="en-NZ"/>
      </w:rPr>
    </w:lvl>
    <w:lvl w:ilvl="7" w:tplc="C160282E">
      <w:numFmt w:val="bullet"/>
      <w:lvlText w:val="•"/>
      <w:lvlJc w:val="left"/>
      <w:pPr>
        <w:ind w:left="6812" w:hanging="540"/>
      </w:pPr>
      <w:rPr>
        <w:rFonts w:hint="default"/>
        <w:lang w:val="en-NZ" w:eastAsia="en-NZ" w:bidi="en-NZ"/>
      </w:rPr>
    </w:lvl>
    <w:lvl w:ilvl="8" w:tplc="C220E022">
      <w:numFmt w:val="bullet"/>
      <w:lvlText w:val="•"/>
      <w:lvlJc w:val="left"/>
      <w:pPr>
        <w:ind w:left="7677" w:hanging="540"/>
      </w:pPr>
      <w:rPr>
        <w:rFonts w:hint="default"/>
        <w:lang w:val="en-NZ" w:eastAsia="en-NZ" w:bidi="en-NZ"/>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F9"/>
    <w:rsid w:val="000003A6"/>
    <w:rsid w:val="000141E7"/>
    <w:rsid w:val="00051B29"/>
    <w:rsid w:val="0006332F"/>
    <w:rsid w:val="00074DDD"/>
    <w:rsid w:val="000807FC"/>
    <w:rsid w:val="000B1AB5"/>
    <w:rsid w:val="000B3CFF"/>
    <w:rsid w:val="000C42AC"/>
    <w:rsid w:val="0010457B"/>
    <w:rsid w:val="00104955"/>
    <w:rsid w:val="00115EB2"/>
    <w:rsid w:val="00117907"/>
    <w:rsid w:val="00150138"/>
    <w:rsid w:val="00154162"/>
    <w:rsid w:val="00161997"/>
    <w:rsid w:val="00167CBF"/>
    <w:rsid w:val="00175525"/>
    <w:rsid w:val="0018149A"/>
    <w:rsid w:val="00191D01"/>
    <w:rsid w:val="00194E8F"/>
    <w:rsid w:val="001C114D"/>
    <w:rsid w:val="001E54C2"/>
    <w:rsid w:val="001F7DB6"/>
    <w:rsid w:val="00200E28"/>
    <w:rsid w:val="002029B9"/>
    <w:rsid w:val="002211ED"/>
    <w:rsid w:val="002658FC"/>
    <w:rsid w:val="002802D6"/>
    <w:rsid w:val="00282C4D"/>
    <w:rsid w:val="002965DD"/>
    <w:rsid w:val="002E554B"/>
    <w:rsid w:val="003173B7"/>
    <w:rsid w:val="00321F6D"/>
    <w:rsid w:val="00345410"/>
    <w:rsid w:val="0036051E"/>
    <w:rsid w:val="003919A8"/>
    <w:rsid w:val="00394011"/>
    <w:rsid w:val="003A2AD4"/>
    <w:rsid w:val="003B0DE0"/>
    <w:rsid w:val="003C23B4"/>
    <w:rsid w:val="003C2A49"/>
    <w:rsid w:val="003C359F"/>
    <w:rsid w:val="003C44D7"/>
    <w:rsid w:val="003C5791"/>
    <w:rsid w:val="003D6326"/>
    <w:rsid w:val="003F0310"/>
    <w:rsid w:val="00405FDC"/>
    <w:rsid w:val="00430A12"/>
    <w:rsid w:val="00462254"/>
    <w:rsid w:val="004A2AA8"/>
    <w:rsid w:val="004A53BB"/>
    <w:rsid w:val="00526980"/>
    <w:rsid w:val="00531D22"/>
    <w:rsid w:val="00541CDB"/>
    <w:rsid w:val="00584374"/>
    <w:rsid w:val="005B1FFB"/>
    <w:rsid w:val="005B2DEA"/>
    <w:rsid w:val="005B6460"/>
    <w:rsid w:val="005C190C"/>
    <w:rsid w:val="005C484D"/>
    <w:rsid w:val="005D6EF2"/>
    <w:rsid w:val="006014F2"/>
    <w:rsid w:val="00604FB0"/>
    <w:rsid w:val="00611EBB"/>
    <w:rsid w:val="00617201"/>
    <w:rsid w:val="00626D22"/>
    <w:rsid w:val="0063735D"/>
    <w:rsid w:val="0067240B"/>
    <w:rsid w:val="00691F79"/>
    <w:rsid w:val="006A16A5"/>
    <w:rsid w:val="006A7453"/>
    <w:rsid w:val="006B40B5"/>
    <w:rsid w:val="006B6D17"/>
    <w:rsid w:val="006D00D1"/>
    <w:rsid w:val="006D0622"/>
    <w:rsid w:val="006D5EB7"/>
    <w:rsid w:val="006E3CF0"/>
    <w:rsid w:val="006E7958"/>
    <w:rsid w:val="006F0040"/>
    <w:rsid w:val="006F17C3"/>
    <w:rsid w:val="00725958"/>
    <w:rsid w:val="007319A8"/>
    <w:rsid w:val="00731C6B"/>
    <w:rsid w:val="00736A31"/>
    <w:rsid w:val="00751156"/>
    <w:rsid w:val="00751874"/>
    <w:rsid w:val="00760A22"/>
    <w:rsid w:val="0076209F"/>
    <w:rsid w:val="0078620A"/>
    <w:rsid w:val="007B3406"/>
    <w:rsid w:val="007B65C8"/>
    <w:rsid w:val="007B67A1"/>
    <w:rsid w:val="007D1B87"/>
    <w:rsid w:val="007F099E"/>
    <w:rsid w:val="008203F6"/>
    <w:rsid w:val="008377AF"/>
    <w:rsid w:val="00844752"/>
    <w:rsid w:val="00854940"/>
    <w:rsid w:val="00893D23"/>
    <w:rsid w:val="008A31EB"/>
    <w:rsid w:val="008B25F9"/>
    <w:rsid w:val="008C11BB"/>
    <w:rsid w:val="008C6604"/>
    <w:rsid w:val="00904993"/>
    <w:rsid w:val="00923B45"/>
    <w:rsid w:val="009311C1"/>
    <w:rsid w:val="00936513"/>
    <w:rsid w:val="009526B9"/>
    <w:rsid w:val="00953297"/>
    <w:rsid w:val="009568F9"/>
    <w:rsid w:val="00966D9B"/>
    <w:rsid w:val="009737EA"/>
    <w:rsid w:val="00991EA4"/>
    <w:rsid w:val="009971D4"/>
    <w:rsid w:val="009B0330"/>
    <w:rsid w:val="009B2F2C"/>
    <w:rsid w:val="009B638B"/>
    <w:rsid w:val="009D3FA5"/>
    <w:rsid w:val="00A17A91"/>
    <w:rsid w:val="00A427B8"/>
    <w:rsid w:val="00A44EB9"/>
    <w:rsid w:val="00A62E83"/>
    <w:rsid w:val="00A75E69"/>
    <w:rsid w:val="00A87525"/>
    <w:rsid w:val="00A9735D"/>
    <w:rsid w:val="00AA4150"/>
    <w:rsid w:val="00AE2692"/>
    <w:rsid w:val="00AE3EBB"/>
    <w:rsid w:val="00AF40C4"/>
    <w:rsid w:val="00B10F81"/>
    <w:rsid w:val="00B12CBD"/>
    <w:rsid w:val="00B447E4"/>
    <w:rsid w:val="00B8411B"/>
    <w:rsid w:val="00B90EF0"/>
    <w:rsid w:val="00BA2DC3"/>
    <w:rsid w:val="00BD33F6"/>
    <w:rsid w:val="00BE3A41"/>
    <w:rsid w:val="00BF7E5A"/>
    <w:rsid w:val="00C0159A"/>
    <w:rsid w:val="00C06B69"/>
    <w:rsid w:val="00C24995"/>
    <w:rsid w:val="00C40F8E"/>
    <w:rsid w:val="00C51DC4"/>
    <w:rsid w:val="00C67CFF"/>
    <w:rsid w:val="00C77567"/>
    <w:rsid w:val="00C833B1"/>
    <w:rsid w:val="00C8452F"/>
    <w:rsid w:val="00CA0EEF"/>
    <w:rsid w:val="00CC5165"/>
    <w:rsid w:val="00CC5B2A"/>
    <w:rsid w:val="00CD4452"/>
    <w:rsid w:val="00CE0118"/>
    <w:rsid w:val="00CE4FE1"/>
    <w:rsid w:val="00D07709"/>
    <w:rsid w:val="00D07BBA"/>
    <w:rsid w:val="00D238E4"/>
    <w:rsid w:val="00D321C4"/>
    <w:rsid w:val="00D36964"/>
    <w:rsid w:val="00D464DE"/>
    <w:rsid w:val="00D5085E"/>
    <w:rsid w:val="00D6774B"/>
    <w:rsid w:val="00D71F51"/>
    <w:rsid w:val="00DB6C86"/>
    <w:rsid w:val="00DC0B61"/>
    <w:rsid w:val="00E02107"/>
    <w:rsid w:val="00E26E7D"/>
    <w:rsid w:val="00E300F1"/>
    <w:rsid w:val="00E33485"/>
    <w:rsid w:val="00E37432"/>
    <w:rsid w:val="00E71CC7"/>
    <w:rsid w:val="00E75D3C"/>
    <w:rsid w:val="00E778A0"/>
    <w:rsid w:val="00E877DE"/>
    <w:rsid w:val="00E9219D"/>
    <w:rsid w:val="00E92BC2"/>
    <w:rsid w:val="00EA5BD6"/>
    <w:rsid w:val="00EB1C4A"/>
    <w:rsid w:val="00EB2452"/>
    <w:rsid w:val="00F05858"/>
    <w:rsid w:val="00F10BF1"/>
    <w:rsid w:val="00F37959"/>
    <w:rsid w:val="00F47250"/>
    <w:rsid w:val="00F50C89"/>
    <w:rsid w:val="00F5540F"/>
    <w:rsid w:val="00F70E5C"/>
    <w:rsid w:val="00F87BED"/>
    <w:rsid w:val="00FC1DF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EEFED"/>
  <w15:docId w15:val="{CCA54150-2967-4429-BDD9-87936A50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pPr>
      <w:ind w:left="218"/>
      <w:outlineLvl w:val="0"/>
    </w:pPr>
    <w:rPr>
      <w:b/>
      <w:bCs/>
    </w:rPr>
  </w:style>
  <w:style w:type="paragraph" w:styleId="Heading2">
    <w:name w:val="heading 2"/>
    <w:basedOn w:val="Normal"/>
    <w:next w:val="Normal"/>
    <w:link w:val="Heading2Char"/>
    <w:uiPriority w:val="9"/>
    <w:unhideWhenUsed/>
    <w:qFormat/>
    <w:rsid w:val="00CC5165"/>
    <w:pPr>
      <w:spacing w:before="94"/>
      <w:ind w:left="21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758" w:hanging="541"/>
      <w:jc w:val="both"/>
    </w:pPr>
  </w:style>
  <w:style w:type="paragraph" w:customStyle="1" w:styleId="TableParagraph">
    <w:name w:val="Table Paragraph"/>
    <w:basedOn w:val="Normal"/>
    <w:uiPriority w:val="1"/>
    <w:qFormat/>
    <w:pPr>
      <w:spacing w:before="1" w:line="223" w:lineRule="exact"/>
      <w:ind w:left="107"/>
    </w:pPr>
    <w:rPr>
      <w:rFonts w:ascii="Calibri" w:eastAsia="Calibri" w:hAnsi="Calibri" w:cs="Calibri"/>
    </w:rPr>
  </w:style>
  <w:style w:type="paragraph" w:styleId="BalloonText">
    <w:name w:val="Balloon Text"/>
    <w:basedOn w:val="Normal"/>
    <w:link w:val="BalloonTextChar"/>
    <w:uiPriority w:val="99"/>
    <w:semiHidden/>
    <w:unhideWhenUsed/>
    <w:rsid w:val="00E92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9D"/>
    <w:rPr>
      <w:rFonts w:ascii="Segoe UI" w:eastAsia="Arial" w:hAnsi="Segoe UI" w:cs="Segoe UI"/>
      <w:sz w:val="18"/>
      <w:szCs w:val="18"/>
      <w:lang w:val="en-NZ" w:eastAsia="en-NZ" w:bidi="en-NZ"/>
    </w:rPr>
  </w:style>
  <w:style w:type="character" w:styleId="CommentReference">
    <w:name w:val="annotation reference"/>
    <w:basedOn w:val="DefaultParagraphFont"/>
    <w:uiPriority w:val="99"/>
    <w:semiHidden/>
    <w:unhideWhenUsed/>
    <w:rsid w:val="00117907"/>
    <w:rPr>
      <w:sz w:val="16"/>
      <w:szCs w:val="16"/>
    </w:rPr>
  </w:style>
  <w:style w:type="paragraph" w:styleId="CommentText">
    <w:name w:val="annotation text"/>
    <w:basedOn w:val="Normal"/>
    <w:link w:val="CommentTextChar"/>
    <w:uiPriority w:val="99"/>
    <w:semiHidden/>
    <w:unhideWhenUsed/>
    <w:rsid w:val="00117907"/>
    <w:rPr>
      <w:sz w:val="20"/>
      <w:szCs w:val="20"/>
    </w:rPr>
  </w:style>
  <w:style w:type="character" w:customStyle="1" w:styleId="CommentTextChar">
    <w:name w:val="Comment Text Char"/>
    <w:basedOn w:val="DefaultParagraphFont"/>
    <w:link w:val="CommentText"/>
    <w:uiPriority w:val="99"/>
    <w:semiHidden/>
    <w:rsid w:val="00117907"/>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117907"/>
    <w:rPr>
      <w:b/>
      <w:bCs/>
    </w:rPr>
  </w:style>
  <w:style w:type="character" w:customStyle="1" w:styleId="CommentSubjectChar">
    <w:name w:val="Comment Subject Char"/>
    <w:basedOn w:val="CommentTextChar"/>
    <w:link w:val="CommentSubject"/>
    <w:uiPriority w:val="99"/>
    <w:semiHidden/>
    <w:rsid w:val="00117907"/>
    <w:rPr>
      <w:rFonts w:ascii="Arial" w:eastAsia="Arial" w:hAnsi="Arial" w:cs="Arial"/>
      <w:b/>
      <w:bCs/>
      <w:sz w:val="20"/>
      <w:szCs w:val="20"/>
      <w:lang w:val="en-NZ" w:eastAsia="en-NZ" w:bidi="en-NZ"/>
    </w:rPr>
  </w:style>
  <w:style w:type="paragraph" w:styleId="Header">
    <w:name w:val="header"/>
    <w:basedOn w:val="Normal"/>
    <w:link w:val="HeaderChar"/>
    <w:uiPriority w:val="99"/>
    <w:unhideWhenUsed/>
    <w:rsid w:val="00A75E69"/>
    <w:pPr>
      <w:tabs>
        <w:tab w:val="center" w:pos="4513"/>
        <w:tab w:val="right" w:pos="9026"/>
      </w:tabs>
    </w:pPr>
  </w:style>
  <w:style w:type="character" w:customStyle="1" w:styleId="HeaderChar">
    <w:name w:val="Header Char"/>
    <w:basedOn w:val="DefaultParagraphFont"/>
    <w:link w:val="Header"/>
    <w:uiPriority w:val="99"/>
    <w:rsid w:val="00A75E69"/>
    <w:rPr>
      <w:rFonts w:ascii="Arial" w:eastAsia="Arial" w:hAnsi="Arial" w:cs="Arial"/>
      <w:lang w:val="en-NZ" w:eastAsia="en-NZ" w:bidi="en-NZ"/>
    </w:rPr>
  </w:style>
  <w:style w:type="paragraph" w:styleId="Footer">
    <w:name w:val="footer"/>
    <w:basedOn w:val="Normal"/>
    <w:link w:val="FooterChar"/>
    <w:uiPriority w:val="99"/>
    <w:unhideWhenUsed/>
    <w:rsid w:val="00A75E69"/>
    <w:pPr>
      <w:tabs>
        <w:tab w:val="center" w:pos="4513"/>
        <w:tab w:val="right" w:pos="9026"/>
      </w:tabs>
    </w:pPr>
  </w:style>
  <w:style w:type="character" w:customStyle="1" w:styleId="FooterChar">
    <w:name w:val="Footer Char"/>
    <w:basedOn w:val="DefaultParagraphFont"/>
    <w:link w:val="Footer"/>
    <w:uiPriority w:val="99"/>
    <w:rsid w:val="00A75E69"/>
    <w:rPr>
      <w:rFonts w:ascii="Arial" w:eastAsia="Arial" w:hAnsi="Arial" w:cs="Arial"/>
      <w:lang w:val="en-NZ" w:eastAsia="en-NZ" w:bidi="en-NZ"/>
    </w:rPr>
  </w:style>
  <w:style w:type="character" w:styleId="Hyperlink">
    <w:name w:val="Hyperlink"/>
    <w:basedOn w:val="DefaultParagraphFont"/>
    <w:uiPriority w:val="99"/>
    <w:unhideWhenUsed/>
    <w:rsid w:val="00AA4150"/>
    <w:rPr>
      <w:color w:val="0563C1"/>
      <w:u w:val="single"/>
    </w:rPr>
  </w:style>
  <w:style w:type="character" w:styleId="UnresolvedMention">
    <w:name w:val="Unresolved Mention"/>
    <w:basedOn w:val="DefaultParagraphFont"/>
    <w:uiPriority w:val="99"/>
    <w:semiHidden/>
    <w:unhideWhenUsed/>
    <w:rsid w:val="00AA4150"/>
    <w:rPr>
      <w:color w:val="605E5C"/>
      <w:shd w:val="clear" w:color="auto" w:fill="E1DFDD"/>
    </w:rPr>
  </w:style>
  <w:style w:type="paragraph" w:styleId="FootnoteText">
    <w:name w:val="footnote text"/>
    <w:basedOn w:val="Normal"/>
    <w:link w:val="FootnoteTextChar"/>
    <w:uiPriority w:val="99"/>
    <w:semiHidden/>
    <w:unhideWhenUsed/>
    <w:rsid w:val="008377AF"/>
    <w:rPr>
      <w:sz w:val="20"/>
      <w:szCs w:val="20"/>
    </w:rPr>
  </w:style>
  <w:style w:type="character" w:customStyle="1" w:styleId="FootnoteTextChar">
    <w:name w:val="Footnote Text Char"/>
    <w:basedOn w:val="DefaultParagraphFont"/>
    <w:link w:val="FootnoteText"/>
    <w:uiPriority w:val="99"/>
    <w:semiHidden/>
    <w:rsid w:val="008377AF"/>
    <w:rPr>
      <w:rFonts w:ascii="Arial" w:eastAsia="Arial" w:hAnsi="Arial" w:cs="Arial"/>
      <w:sz w:val="20"/>
      <w:szCs w:val="20"/>
      <w:lang w:val="en-NZ" w:eastAsia="en-NZ" w:bidi="en-NZ"/>
    </w:rPr>
  </w:style>
  <w:style w:type="character" w:styleId="FootnoteReference">
    <w:name w:val="footnote reference"/>
    <w:basedOn w:val="DefaultParagraphFont"/>
    <w:uiPriority w:val="99"/>
    <w:semiHidden/>
    <w:unhideWhenUsed/>
    <w:rsid w:val="008377AF"/>
    <w:rPr>
      <w:vertAlign w:val="superscript"/>
    </w:rPr>
  </w:style>
  <w:style w:type="character" w:customStyle="1" w:styleId="Heading2Char">
    <w:name w:val="Heading 2 Char"/>
    <w:basedOn w:val="DefaultParagraphFont"/>
    <w:link w:val="Heading2"/>
    <w:uiPriority w:val="9"/>
    <w:rsid w:val="00CC5165"/>
    <w:rPr>
      <w:rFonts w:ascii="Arial" w:eastAsia="Arial" w:hAnsi="Arial" w:cs="Arial"/>
      <w:b/>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9094">
      <w:bodyDiv w:val="1"/>
      <w:marLeft w:val="0"/>
      <w:marRight w:val="0"/>
      <w:marTop w:val="0"/>
      <w:marBottom w:val="0"/>
      <w:divBdr>
        <w:top w:val="none" w:sz="0" w:space="0" w:color="auto"/>
        <w:left w:val="none" w:sz="0" w:space="0" w:color="auto"/>
        <w:bottom w:val="none" w:sz="0" w:space="0" w:color="auto"/>
        <w:right w:val="none" w:sz="0" w:space="0" w:color="auto"/>
      </w:divBdr>
      <w:divsChild>
        <w:div w:id="1217204654">
          <w:marLeft w:val="0"/>
          <w:marRight w:val="0"/>
          <w:marTop w:val="0"/>
          <w:marBottom w:val="0"/>
          <w:divBdr>
            <w:top w:val="none" w:sz="0" w:space="0" w:color="auto"/>
            <w:left w:val="none" w:sz="0" w:space="0" w:color="auto"/>
            <w:bottom w:val="none" w:sz="0" w:space="0" w:color="auto"/>
            <w:right w:val="none" w:sz="0" w:space="0" w:color="auto"/>
          </w:divBdr>
        </w:div>
      </w:divsChild>
    </w:div>
    <w:div w:id="1327706023">
      <w:bodyDiv w:val="1"/>
      <w:marLeft w:val="0"/>
      <w:marRight w:val="0"/>
      <w:marTop w:val="0"/>
      <w:marBottom w:val="0"/>
      <w:divBdr>
        <w:top w:val="none" w:sz="0" w:space="0" w:color="auto"/>
        <w:left w:val="none" w:sz="0" w:space="0" w:color="auto"/>
        <w:bottom w:val="none" w:sz="0" w:space="0" w:color="auto"/>
        <w:right w:val="none" w:sz="0" w:space="0" w:color="auto"/>
      </w:divBdr>
    </w:div>
    <w:div w:id="1643345347">
      <w:bodyDiv w:val="1"/>
      <w:marLeft w:val="0"/>
      <w:marRight w:val="0"/>
      <w:marTop w:val="0"/>
      <w:marBottom w:val="0"/>
      <w:divBdr>
        <w:top w:val="none" w:sz="0" w:space="0" w:color="auto"/>
        <w:left w:val="none" w:sz="0" w:space="0" w:color="auto"/>
        <w:bottom w:val="none" w:sz="0" w:space="0" w:color="auto"/>
        <w:right w:val="none" w:sz="0" w:space="0" w:color="auto"/>
      </w:divBdr>
      <w:divsChild>
        <w:div w:id="854080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G.Jones@health.govt.nz" TargetMode="External"/><Relationship Id="rId18" Type="http://schemas.openxmlformats.org/officeDocument/2006/relationships/hyperlink" Target="mailto:cennzchair@gmail.com" TargetMode="External"/><Relationship Id="rId26" Type="http://schemas.openxmlformats.org/officeDocument/2006/relationships/hyperlink" Target="mailto:kelvin.ward@rnzcuc.org.nz" TargetMode="External"/><Relationship Id="rId3" Type="http://schemas.openxmlformats.org/officeDocument/2006/relationships/customXml" Target="../customXml/item3.xml"/><Relationship Id="rId21" Type="http://schemas.openxmlformats.org/officeDocument/2006/relationships/hyperlink" Target="mailto:Andre.Cromhout@ccdhb.org.nz"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weeninkvanessa@gmail.com" TargetMode="External"/><Relationship Id="rId17" Type="http://schemas.openxmlformats.org/officeDocument/2006/relationships/hyperlink" Target="mailto:e.curtis@auckland.ac.nz" TargetMode="External"/><Relationship Id="rId25" Type="http://schemas.openxmlformats.org/officeDocument/2006/relationships/hyperlink" Target="mailto:vanessa.simpson@wfa.org.nz"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id@auckland.ac.nz" TargetMode="External"/><Relationship Id="rId20" Type="http://schemas.openxmlformats.org/officeDocument/2006/relationships/hyperlink" Target="mailto:Adam.Simpson@health.govt.nz" TargetMode="External"/><Relationship Id="rId29" Type="http://schemas.openxmlformats.org/officeDocument/2006/relationships/hyperlink" Target="mailto:Scott.Pearson@cdhb.health.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horgan@midcentraldhb.govt.nz" TargetMode="External"/><Relationship Id="rId24" Type="http://schemas.openxmlformats.org/officeDocument/2006/relationships/hyperlink" Target="mailto:kris.gagliardi@stjohn.org.nz"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H@adhb.govt.nz" TargetMode="External"/><Relationship Id="rId23" Type="http://schemas.openxmlformats.org/officeDocument/2006/relationships/hyperlink" Target="mailto:peterdevane@yahoo.co.nz" TargetMode="External"/><Relationship Id="rId28" Type="http://schemas.openxmlformats.org/officeDocument/2006/relationships/hyperlink" Target="mailto:Kate.clark@health.govt.nz"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Jessica.Smaling@health.govt.nz"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ille.Wilkinson@northlanddhb.org.nz" TargetMode="External"/><Relationship Id="rId22" Type="http://schemas.openxmlformats.org/officeDocument/2006/relationships/hyperlink" Target="mailto:Andrew.Connolly@health.govt.nz" TargetMode="External"/><Relationship Id="rId27" Type="http://schemas.openxmlformats.org/officeDocument/2006/relationships/hyperlink" Target="mailto:Hayden.Luscombe@health.govt.nz" TargetMode="External"/><Relationship Id="rId30" Type="http://schemas.openxmlformats.org/officeDocument/2006/relationships/header" Target="header1.xm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ac55e2ce3beb2c1bc2b6d22f653bb680">
  <xsd:schema xmlns:xsd="http://www.w3.org/2001/XMLSchema" xmlns:xs="http://www.w3.org/2001/XMLSchema" xmlns:p="http://schemas.microsoft.com/office/2006/metadata/properties" xmlns:ns3="4aea5d07-0eb0-44bf-96eb-22637babf967" targetNamespace="http://schemas.microsoft.com/office/2006/metadata/properties" ma:root="true" ma:fieldsID="8ccac106381b57d08bdb0f9cd830c401"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9B5E-7412-4F62-B0BB-63A5886A4E3D}">
  <ds:schemaRefs>
    <ds:schemaRef ds:uri="http://schemas.openxmlformats.org/officeDocument/2006/bibliography"/>
  </ds:schemaRefs>
</ds:datastoreItem>
</file>

<file path=customXml/itemProps2.xml><?xml version="1.0" encoding="utf-8"?>
<ds:datastoreItem xmlns:ds="http://schemas.openxmlformats.org/officeDocument/2006/customXml" ds:itemID="{77FEBC42-2C6D-4D2B-BA9C-78832657AC10}">
  <ds:schemaRefs>
    <ds:schemaRef ds:uri="http://schemas.microsoft.com/sharepoint/v3/contenttype/forms"/>
  </ds:schemaRefs>
</ds:datastoreItem>
</file>

<file path=customXml/itemProps3.xml><?xml version="1.0" encoding="utf-8"?>
<ds:datastoreItem xmlns:ds="http://schemas.openxmlformats.org/officeDocument/2006/customXml" ds:itemID="{2C556F2A-7EE8-4CDE-933E-410961F80C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2E781A3-E0D6-4BF9-B4D3-876473B4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Acute Care Sector Advisory Group</dc:title>
  <dc:creator>Ministry of Health</dc:creator>
  <cp:lastModifiedBy>Gemma Manning</cp:lastModifiedBy>
  <cp:revision>2</cp:revision>
  <cp:lastPrinted>2021-07-02T03:02:00Z</cp:lastPrinted>
  <dcterms:created xsi:type="dcterms:W3CDTF">2023-06-22T05:02:00Z</dcterms:created>
  <dcterms:modified xsi:type="dcterms:W3CDTF">2023-06-22T05:02:00Z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for Office 365</vt:lpwstr>
  </property>
  <property fmtid="{D5CDD505-2E9C-101B-9397-08002B2CF9AE}" pid="4" name="LastSaved">
    <vt:filetime>2021-03-24T00:00:00Z</vt:filetime>
  </property>
  <property fmtid="{D5CDD505-2E9C-101B-9397-08002B2CF9AE}" pid="5" name="ContentTypeId">
    <vt:lpwstr>0x010100FA4F869651CBED4AB058FE7F9F3ED0A7</vt:lpwstr>
  </property>
</Properties>
</file>