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A7C8" w14:textId="77777777" w:rsidR="001B435E" w:rsidRDefault="001B435E" w:rsidP="001B435E">
      <w:pPr>
        <w:pStyle w:val="Heading1"/>
        <w:spacing w:before="240"/>
      </w:pPr>
      <w:r>
        <w:rPr>
          <w:noProof/>
          <w:lang w:eastAsia="en-NZ"/>
        </w:rPr>
        <w:drawing>
          <wp:inline distT="0" distB="0" distL="0" distR="0" wp14:anchorId="48564BC5" wp14:editId="31A5986A">
            <wp:extent cx="5731602"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48631"/>
                    </a:xfrm>
                    <a:prstGeom prst="rect">
                      <a:avLst/>
                    </a:prstGeom>
                    <a:noFill/>
                    <a:ln>
                      <a:noFill/>
                    </a:ln>
                  </pic:spPr>
                </pic:pic>
              </a:graphicData>
            </a:graphic>
          </wp:inline>
        </w:drawing>
      </w:r>
    </w:p>
    <w:p w14:paraId="10AA89A3" w14:textId="77777777" w:rsidR="001B435E" w:rsidRDefault="001B435E" w:rsidP="00416442">
      <w:pPr>
        <w:pStyle w:val="Heading1"/>
        <w:spacing w:before="120" w:line="360" w:lineRule="auto"/>
        <w:jc w:val="center"/>
      </w:pPr>
      <w:r w:rsidRPr="00CC6A00">
        <w:t>Terms of reference</w:t>
      </w:r>
      <w:r w:rsidR="00416442">
        <w:br/>
      </w:r>
      <w:r w:rsidR="00AA511C">
        <w:t>Technical Advisory Group</w:t>
      </w:r>
      <w:r w:rsidR="00416442">
        <w:br/>
      </w:r>
      <w:r>
        <w:t>Complex Epilepsy National Service Improvement Project</w:t>
      </w:r>
    </w:p>
    <w:p w14:paraId="796EEDEE" w14:textId="77777777" w:rsidR="00BE201F" w:rsidRPr="00BE201F" w:rsidRDefault="00BE201F" w:rsidP="00BE201F">
      <w:pPr>
        <w:pBdr>
          <w:bottom w:val="single" w:sz="4" w:space="1" w:color="auto"/>
        </w:pBdr>
      </w:pPr>
    </w:p>
    <w:p w14:paraId="2FAABAC0" w14:textId="77777777" w:rsidR="001B435E" w:rsidRPr="00652A22" w:rsidRDefault="001B435E" w:rsidP="001B435E">
      <w:pPr>
        <w:pStyle w:val="Heading2"/>
        <w:spacing w:before="100" w:beforeAutospacing="1"/>
      </w:pPr>
      <w:r w:rsidRPr="00652A22">
        <w:t>Background</w:t>
      </w:r>
    </w:p>
    <w:p w14:paraId="43CB11D2" w14:textId="77777777" w:rsidR="001B435E" w:rsidRPr="00587FAD" w:rsidRDefault="001B435E" w:rsidP="00DE5089">
      <w:r w:rsidRPr="00587FAD">
        <w:t>In 2010 a programme of National Services</w:t>
      </w:r>
      <w:r>
        <w:t xml:space="preserve"> and National Service Improvement Programmes</w:t>
      </w:r>
      <w:r w:rsidRPr="00587FAD">
        <w:t xml:space="preserve"> was endorsed by the Minister of Health, where it was identified that a national, coordinated, approach was required.</w:t>
      </w:r>
      <w:r w:rsidR="00C37D11">
        <w:t xml:space="preserve"> </w:t>
      </w:r>
    </w:p>
    <w:p w14:paraId="6077765C" w14:textId="77777777" w:rsidR="001B435E" w:rsidRPr="00587FAD" w:rsidRDefault="001B435E" w:rsidP="00DE5089">
      <w:r w:rsidRPr="00587FAD">
        <w:t>Services were considered for National Service status to improve access, consistency, level of investment, and clinical and financial viability. Two different approaches are in place to achieve this</w:t>
      </w:r>
      <w:r w:rsidR="00DE5089">
        <w:t>:</w:t>
      </w:r>
    </w:p>
    <w:p w14:paraId="620495CA" w14:textId="77777777" w:rsidR="001B435E" w:rsidRPr="00587FAD" w:rsidRDefault="001B435E" w:rsidP="00DE5089">
      <w:pPr>
        <w:ind w:left="720"/>
      </w:pPr>
      <w:r w:rsidRPr="00587FAD">
        <w:rPr>
          <w:i/>
        </w:rPr>
        <w:t>National Services</w:t>
      </w:r>
      <w:r w:rsidRPr="00587FAD">
        <w:t xml:space="preserve"> – services that should be nationally planned and/or funding centrally by the </w:t>
      </w:r>
      <w:r>
        <w:t>Ministry of Health (the Ministry)</w:t>
      </w:r>
    </w:p>
    <w:p w14:paraId="64F35593" w14:textId="77777777" w:rsidR="001B435E" w:rsidRPr="00587FAD" w:rsidRDefault="001B435E" w:rsidP="00DE5089">
      <w:pPr>
        <w:ind w:left="720"/>
      </w:pPr>
      <w:r w:rsidRPr="00587FAD">
        <w:rPr>
          <w:i/>
        </w:rPr>
        <w:t>National Service Improvement Programmes</w:t>
      </w:r>
      <w:r w:rsidRPr="00587FAD">
        <w:t xml:space="preserve"> – services that require action from the centre to lift District Health Board (DHB) performance, but are not requiring the additional step of </w:t>
      </w:r>
      <w:r>
        <w:t>Ministry</w:t>
      </w:r>
      <w:r w:rsidRPr="00587FAD">
        <w:t xml:space="preserve"> purchasing – the focus is on centrally coordinated</w:t>
      </w:r>
      <w:r w:rsidRPr="00587FAD">
        <w:rPr>
          <w:lang w:val="en-US"/>
        </w:rPr>
        <w:t xml:space="preserve"> performance improvement activities</w:t>
      </w:r>
    </w:p>
    <w:p w14:paraId="6626D785" w14:textId="77777777" w:rsidR="00DD4EEA" w:rsidRDefault="001B435E" w:rsidP="00DD4EEA">
      <w:r>
        <w:t>Complex Epilepsy was identified as a service that would benefit from a national service improvement approach to deliver accessible and consistent services for people with Epilepsy, improved patient experience and better utilisation of existing resources.</w:t>
      </w:r>
      <w:r w:rsidR="00C37D11">
        <w:t xml:space="preserve"> </w:t>
      </w:r>
    </w:p>
    <w:p w14:paraId="7B26F177" w14:textId="77777777" w:rsidR="00124BDC" w:rsidRPr="00BD3E2E" w:rsidRDefault="00124BDC" w:rsidP="00124BDC">
      <w:r w:rsidRPr="00BD3E2E">
        <w:t xml:space="preserve">Complex Epilepsy has not been formally defined but </w:t>
      </w:r>
      <w:proofErr w:type="gramStart"/>
      <w:r w:rsidRPr="00BD3E2E">
        <w:t>is considered to be</w:t>
      </w:r>
      <w:proofErr w:type="gramEnd"/>
      <w:r w:rsidRPr="00BD3E2E">
        <w:t xml:space="preserve"> an alternative descriptor for Drug-resistant Epilepsy, defined by the International League Against Epilepsy (ILAE) Commission as “a failure of adequate trials of two tolerated and appropriately chosen and used anti-epilepsy drug schedules (whether as mono therapies or in combination) to achieve sustained seizure freedom”</w:t>
      </w:r>
    </w:p>
    <w:p w14:paraId="200A4E81" w14:textId="77777777" w:rsidR="00AC6665" w:rsidRDefault="00AC6665" w:rsidP="00DE5089">
      <w:pPr>
        <w:rPr>
          <w:snapToGrid w:val="0"/>
          <w:color w:val="000000"/>
        </w:rPr>
      </w:pPr>
      <w:r w:rsidRPr="0002347F">
        <w:rPr>
          <w:snapToGrid w:val="0"/>
          <w:color w:val="000000"/>
          <w:kern w:val="32"/>
        </w:rPr>
        <w:t xml:space="preserve">A formal service review was undertaken in 2012 which identified </w:t>
      </w:r>
      <w:proofErr w:type="gramStart"/>
      <w:r w:rsidRPr="0002347F">
        <w:rPr>
          <w:snapToGrid w:val="0"/>
          <w:color w:val="000000"/>
          <w:kern w:val="32"/>
        </w:rPr>
        <w:t>a number of</w:t>
      </w:r>
      <w:proofErr w:type="gramEnd"/>
      <w:r w:rsidRPr="0002347F">
        <w:rPr>
          <w:snapToGrid w:val="0"/>
          <w:color w:val="000000"/>
          <w:kern w:val="32"/>
        </w:rPr>
        <w:t xml:space="preserve"> challenges in current provision of services, including the lack of useful epidemiological data, treatment guidelines, patient pathway or referral guidelines and performance measures, and the corresponding absence of a comprehensive care model. </w:t>
      </w:r>
      <w:r w:rsidRPr="00FF3961">
        <w:rPr>
          <w:rFonts w:eastAsia="Calibri"/>
          <w:snapToGrid w:val="0"/>
          <w:color w:val="000000"/>
        </w:rPr>
        <w:t xml:space="preserve">This makes it difficult to firstly establish the level of need for surgical intervention and to identify </w:t>
      </w:r>
      <w:r>
        <w:rPr>
          <w:rFonts w:eastAsia="Calibri"/>
          <w:snapToGrid w:val="0"/>
          <w:color w:val="000000"/>
        </w:rPr>
        <w:t xml:space="preserve">if or </w:t>
      </w:r>
      <w:r w:rsidRPr="00FF3961">
        <w:rPr>
          <w:rFonts w:eastAsia="Calibri"/>
          <w:snapToGrid w:val="0"/>
          <w:color w:val="000000"/>
        </w:rPr>
        <w:t>how better primary and secondary care could reduce the progression of patients to need complex care.</w:t>
      </w:r>
    </w:p>
    <w:p w14:paraId="46727079" w14:textId="77777777" w:rsidR="001B435E" w:rsidRDefault="001B435E" w:rsidP="001B435E">
      <w:pPr>
        <w:pStyle w:val="Heading2"/>
        <w:spacing w:before="100" w:beforeAutospacing="1"/>
      </w:pPr>
      <w:r w:rsidRPr="00CC6A00">
        <w:lastRenderedPageBreak/>
        <w:t>Purpose</w:t>
      </w:r>
    </w:p>
    <w:p w14:paraId="2F51A1FB" w14:textId="77777777" w:rsidR="001B435E" w:rsidRDefault="00AC6665" w:rsidP="00DE5089">
      <w:r>
        <w:t>This</w:t>
      </w:r>
      <w:r w:rsidR="001B435E" w:rsidRPr="00BB0E6A">
        <w:t xml:space="preserve"> </w:t>
      </w:r>
      <w:r w:rsidR="001B435E">
        <w:t>Technical Advisory Group (</w:t>
      </w:r>
      <w:smartTag w:uri="urn:schemas-microsoft-com:office:smarttags" w:element="stockticker">
        <w:r w:rsidR="001B435E">
          <w:t>TAG</w:t>
        </w:r>
      </w:smartTag>
      <w:r w:rsidR="001B435E">
        <w:t xml:space="preserve">) </w:t>
      </w:r>
      <w:r>
        <w:t xml:space="preserve">has been established </w:t>
      </w:r>
      <w:r w:rsidR="001B435E" w:rsidRPr="00BB0E6A">
        <w:t>to</w:t>
      </w:r>
      <w:r w:rsidR="001B435E">
        <w:t xml:space="preserve"> provide the specific knowledge and expertise to inform and guide the information and processes necessary to complete a national service improvement project.</w:t>
      </w:r>
    </w:p>
    <w:p w14:paraId="69BFF3B8" w14:textId="77777777" w:rsidR="001B435E" w:rsidRPr="00583A00" w:rsidRDefault="001B435E" w:rsidP="001B435E">
      <w:pPr>
        <w:pStyle w:val="Heading2"/>
      </w:pPr>
      <w:r w:rsidRPr="00583A00">
        <w:t xml:space="preserve">Functions and Roles </w:t>
      </w:r>
    </w:p>
    <w:p w14:paraId="03F5DC5F" w14:textId="77777777" w:rsidR="00DE5089" w:rsidRDefault="00DE5089" w:rsidP="00BE201F">
      <w:r w:rsidRPr="00225464">
        <w:t xml:space="preserve">The main objectives of the </w:t>
      </w:r>
      <w:r>
        <w:t>project</w:t>
      </w:r>
      <w:r w:rsidRPr="00225464">
        <w:t xml:space="preserve"> are to:</w:t>
      </w:r>
    </w:p>
    <w:p w14:paraId="0A13EC07" w14:textId="77777777" w:rsidR="00DE5089" w:rsidRDefault="00DE5089" w:rsidP="00BE201F">
      <w:pPr>
        <w:pStyle w:val="ListParagraph"/>
        <w:numPr>
          <w:ilvl w:val="0"/>
          <w:numId w:val="12"/>
        </w:numPr>
        <w:spacing w:after="0"/>
        <w:ind w:hanging="357"/>
        <w:rPr>
          <w:rFonts w:asciiTheme="minorHAnsi" w:hAnsiTheme="minorHAnsi"/>
          <w:sz w:val="22"/>
        </w:rPr>
      </w:pPr>
      <w:r w:rsidRPr="00BE201F">
        <w:rPr>
          <w:rFonts w:asciiTheme="minorHAnsi" w:hAnsiTheme="minorHAnsi"/>
          <w:sz w:val="22"/>
        </w:rPr>
        <w:t>Improve understanding of the level of need for and current provision of care for</w:t>
      </w:r>
      <w:r w:rsidR="00DD4EEA">
        <w:rPr>
          <w:rFonts w:asciiTheme="minorHAnsi" w:hAnsiTheme="minorHAnsi"/>
          <w:sz w:val="22"/>
        </w:rPr>
        <w:t xml:space="preserve"> patients with</w:t>
      </w:r>
      <w:r w:rsidR="00C37D11">
        <w:rPr>
          <w:rFonts w:asciiTheme="minorHAnsi" w:hAnsiTheme="minorHAnsi"/>
          <w:sz w:val="22"/>
        </w:rPr>
        <w:t xml:space="preserve"> </w:t>
      </w:r>
      <w:r w:rsidR="00AA511C">
        <w:rPr>
          <w:rFonts w:asciiTheme="minorHAnsi" w:hAnsiTheme="minorHAnsi"/>
          <w:sz w:val="22"/>
        </w:rPr>
        <w:t>complex e</w:t>
      </w:r>
      <w:r w:rsidRPr="00BE201F">
        <w:rPr>
          <w:rFonts w:asciiTheme="minorHAnsi" w:hAnsiTheme="minorHAnsi"/>
          <w:sz w:val="22"/>
        </w:rPr>
        <w:t>pilepsy</w:t>
      </w:r>
    </w:p>
    <w:p w14:paraId="39526EE8" w14:textId="77777777" w:rsidR="00BE201F" w:rsidRPr="00BE201F" w:rsidRDefault="00BE201F" w:rsidP="00BE201F">
      <w:pPr>
        <w:spacing w:after="0"/>
        <w:ind w:left="3"/>
      </w:pPr>
    </w:p>
    <w:p w14:paraId="2A75941F" w14:textId="77777777" w:rsidR="00DE5089" w:rsidRDefault="00DE5089" w:rsidP="00BE201F">
      <w:pPr>
        <w:pStyle w:val="ListParagraph"/>
        <w:numPr>
          <w:ilvl w:val="0"/>
          <w:numId w:val="12"/>
        </w:numPr>
        <w:spacing w:after="0"/>
        <w:ind w:hanging="357"/>
        <w:rPr>
          <w:rFonts w:asciiTheme="minorHAnsi" w:hAnsiTheme="minorHAnsi"/>
          <w:sz w:val="22"/>
        </w:rPr>
      </w:pPr>
      <w:r w:rsidRPr="00BE201F">
        <w:rPr>
          <w:rFonts w:asciiTheme="minorHAnsi" w:hAnsiTheme="minorHAnsi"/>
          <w:sz w:val="22"/>
        </w:rPr>
        <w:t>Develop New Zealand appropriate guidelines and pathways for the effective management of patients with epilepsy:</w:t>
      </w:r>
    </w:p>
    <w:p w14:paraId="7BC03AEE" w14:textId="77777777" w:rsidR="00BE201F" w:rsidRPr="00BE201F" w:rsidRDefault="00BE201F" w:rsidP="00BE201F">
      <w:pPr>
        <w:pStyle w:val="ListParagraph"/>
        <w:rPr>
          <w:rFonts w:asciiTheme="minorHAnsi" w:hAnsiTheme="minorHAnsi"/>
          <w:sz w:val="22"/>
        </w:rPr>
      </w:pPr>
    </w:p>
    <w:p w14:paraId="18A1BC37" w14:textId="77777777" w:rsidR="00DE5089" w:rsidRPr="00BE201F" w:rsidRDefault="00DE5089" w:rsidP="00BE201F">
      <w:pPr>
        <w:pStyle w:val="ListParagraph"/>
        <w:numPr>
          <w:ilvl w:val="1"/>
          <w:numId w:val="12"/>
        </w:numPr>
        <w:spacing w:before="240"/>
        <w:ind w:hanging="357"/>
        <w:rPr>
          <w:rFonts w:asciiTheme="minorHAnsi" w:hAnsiTheme="minorHAnsi"/>
          <w:sz w:val="22"/>
        </w:rPr>
      </w:pPr>
      <w:r w:rsidRPr="00BE201F">
        <w:rPr>
          <w:rFonts w:asciiTheme="minorHAnsi" w:hAnsiTheme="minorHAnsi"/>
          <w:sz w:val="22"/>
        </w:rPr>
        <w:t>across the continuum of care</w:t>
      </w:r>
      <w:r w:rsidR="00BE201F" w:rsidRPr="00BE201F">
        <w:rPr>
          <w:rFonts w:asciiTheme="minorHAnsi" w:hAnsiTheme="minorHAnsi"/>
          <w:sz w:val="22"/>
        </w:rPr>
        <w:t>, including an outpatient model of care</w:t>
      </w:r>
    </w:p>
    <w:p w14:paraId="0FBE5849" w14:textId="77777777" w:rsidR="00DE5089" w:rsidRPr="00BE201F" w:rsidRDefault="00DE5089" w:rsidP="00BE201F">
      <w:pPr>
        <w:pStyle w:val="ListParagraph"/>
        <w:numPr>
          <w:ilvl w:val="1"/>
          <w:numId w:val="12"/>
        </w:numPr>
        <w:spacing w:before="240"/>
        <w:ind w:hanging="357"/>
        <w:rPr>
          <w:rFonts w:asciiTheme="minorHAnsi" w:hAnsiTheme="minorHAnsi"/>
          <w:sz w:val="22"/>
        </w:rPr>
      </w:pPr>
      <w:r w:rsidRPr="00BE201F">
        <w:rPr>
          <w:rFonts w:asciiTheme="minorHAnsi" w:hAnsiTheme="minorHAnsi"/>
          <w:sz w:val="22"/>
        </w:rPr>
        <w:t>focused on early diagnosis and appropriate referral for specialist care</w:t>
      </w:r>
    </w:p>
    <w:p w14:paraId="144D94E1" w14:textId="77777777" w:rsidR="00DE5089" w:rsidRPr="00BE201F" w:rsidRDefault="00DE5089" w:rsidP="00BE201F">
      <w:pPr>
        <w:pStyle w:val="ListParagraph"/>
        <w:numPr>
          <w:ilvl w:val="1"/>
          <w:numId w:val="12"/>
        </w:numPr>
        <w:spacing w:after="0"/>
        <w:ind w:hanging="357"/>
        <w:rPr>
          <w:rFonts w:asciiTheme="minorHAnsi" w:hAnsiTheme="minorHAnsi"/>
          <w:sz w:val="22"/>
        </w:rPr>
      </w:pPr>
      <w:r w:rsidRPr="00BE201F">
        <w:rPr>
          <w:rFonts w:asciiTheme="minorHAnsi" w:hAnsiTheme="minorHAnsi"/>
          <w:sz w:val="22"/>
        </w:rPr>
        <w:t>supporting chronic condition management in the community.</w:t>
      </w:r>
    </w:p>
    <w:p w14:paraId="7F554397" w14:textId="77777777" w:rsidR="00BE201F" w:rsidRPr="00BE201F" w:rsidRDefault="00BE201F" w:rsidP="00BE201F">
      <w:pPr>
        <w:spacing w:after="0"/>
        <w:ind w:left="3"/>
      </w:pPr>
    </w:p>
    <w:p w14:paraId="050EFF7B" w14:textId="77777777" w:rsidR="00DE5089" w:rsidRPr="00BE201F" w:rsidRDefault="00BE201F" w:rsidP="00BE201F">
      <w:pPr>
        <w:pStyle w:val="ListParagraph"/>
        <w:numPr>
          <w:ilvl w:val="0"/>
          <w:numId w:val="12"/>
        </w:numPr>
        <w:spacing w:after="0"/>
        <w:ind w:hanging="357"/>
        <w:rPr>
          <w:rFonts w:asciiTheme="minorHAnsi" w:hAnsiTheme="minorHAnsi"/>
          <w:sz w:val="22"/>
        </w:rPr>
      </w:pPr>
      <w:r>
        <w:rPr>
          <w:rFonts w:asciiTheme="minorHAnsi" w:hAnsiTheme="minorHAnsi"/>
          <w:sz w:val="22"/>
        </w:rPr>
        <w:t>I</w:t>
      </w:r>
      <w:r w:rsidR="00DE5089" w:rsidRPr="00BE201F">
        <w:rPr>
          <w:rFonts w:asciiTheme="minorHAnsi" w:hAnsiTheme="minorHAnsi"/>
          <w:sz w:val="22"/>
        </w:rPr>
        <w:t>dentify and recommend the optimal provision of specialist interventions such as neurosurgery, pharmaceutical trials and diets for that group of patients for whom these interventions provide the only hope of managing their condition.</w:t>
      </w:r>
    </w:p>
    <w:p w14:paraId="2B6BBC78" w14:textId="77777777" w:rsidR="001B435E" w:rsidRDefault="001B435E" w:rsidP="001B435E">
      <w:pPr>
        <w:pStyle w:val="Heading2"/>
      </w:pPr>
      <w:r w:rsidRPr="00CC6A00">
        <w:t>Membership</w:t>
      </w:r>
    </w:p>
    <w:p w14:paraId="5F2A1691" w14:textId="77777777" w:rsidR="00BE201F" w:rsidRPr="00BE201F" w:rsidRDefault="005D4F3B" w:rsidP="00BE201F">
      <w:pPr>
        <w:rPr>
          <w:rFonts w:cs="Arial"/>
        </w:rPr>
      </w:pPr>
      <w:r>
        <w:rPr>
          <w:rFonts w:cs="Arial"/>
        </w:rPr>
        <w:t>The TAG should include the following members/disciplines to ensure consideration of all aspects of a complex epilepsy model of care</w:t>
      </w:r>
    </w:p>
    <w:p w14:paraId="6CB0A3BF" w14:textId="77777777" w:rsidR="00BE201F" w:rsidRPr="00BE201F" w:rsidRDefault="00BE201F" w:rsidP="00BE201F">
      <w:pPr>
        <w:numPr>
          <w:ilvl w:val="0"/>
          <w:numId w:val="6"/>
        </w:numPr>
        <w:spacing w:after="0" w:line="240" w:lineRule="auto"/>
        <w:rPr>
          <w:rFonts w:cs="Arial"/>
        </w:rPr>
      </w:pPr>
      <w:r w:rsidRPr="00BE201F">
        <w:rPr>
          <w:rFonts w:cs="Arial"/>
        </w:rPr>
        <w:t>DHB Clinician</w:t>
      </w:r>
      <w:r w:rsidR="005D4F3B">
        <w:rPr>
          <w:rFonts w:cs="Arial"/>
        </w:rPr>
        <w:t>/s</w:t>
      </w:r>
      <w:r w:rsidRPr="00BE201F">
        <w:rPr>
          <w:rFonts w:cs="Arial"/>
        </w:rPr>
        <w:t xml:space="preserve"> (Adult focus)</w:t>
      </w:r>
      <w:r w:rsidR="00C37D11">
        <w:rPr>
          <w:rFonts w:cs="Arial"/>
        </w:rPr>
        <w:t xml:space="preserve"> </w:t>
      </w:r>
    </w:p>
    <w:p w14:paraId="4F86C5E1" w14:textId="77777777" w:rsidR="00BE201F" w:rsidRPr="00BE201F" w:rsidRDefault="00BE201F" w:rsidP="00BE201F">
      <w:pPr>
        <w:numPr>
          <w:ilvl w:val="0"/>
          <w:numId w:val="6"/>
        </w:numPr>
        <w:spacing w:after="0" w:line="240" w:lineRule="auto"/>
        <w:rPr>
          <w:rFonts w:cs="Arial"/>
        </w:rPr>
      </w:pPr>
      <w:r w:rsidRPr="00BE201F">
        <w:rPr>
          <w:rFonts w:cs="Arial"/>
        </w:rPr>
        <w:t>DHB Clinician</w:t>
      </w:r>
      <w:r w:rsidR="005D4F3B">
        <w:rPr>
          <w:rFonts w:cs="Arial"/>
        </w:rPr>
        <w:t>/s</w:t>
      </w:r>
      <w:r w:rsidRPr="00BE201F">
        <w:rPr>
          <w:rFonts w:cs="Arial"/>
        </w:rPr>
        <w:t xml:space="preserve"> (Paediatric focus)</w:t>
      </w:r>
      <w:r w:rsidR="00C37D11">
        <w:rPr>
          <w:rFonts w:cs="Arial"/>
        </w:rPr>
        <w:t xml:space="preserve"> </w:t>
      </w:r>
    </w:p>
    <w:p w14:paraId="00622D5F" w14:textId="77777777" w:rsidR="00BE201F" w:rsidRDefault="00BE201F" w:rsidP="00BE201F">
      <w:pPr>
        <w:numPr>
          <w:ilvl w:val="0"/>
          <w:numId w:val="6"/>
        </w:numPr>
        <w:spacing w:after="0" w:line="240" w:lineRule="auto"/>
        <w:rPr>
          <w:rFonts w:cs="Arial"/>
        </w:rPr>
      </w:pPr>
      <w:r w:rsidRPr="00BE201F">
        <w:rPr>
          <w:rFonts w:cs="Arial"/>
        </w:rPr>
        <w:t>DHB Clinician</w:t>
      </w:r>
      <w:r w:rsidR="005D4F3B">
        <w:rPr>
          <w:rFonts w:cs="Arial"/>
        </w:rPr>
        <w:t xml:space="preserve"> –</w:t>
      </w:r>
      <w:r w:rsidRPr="00BE201F">
        <w:rPr>
          <w:rFonts w:cs="Arial"/>
        </w:rPr>
        <w:t xml:space="preserve"> Nutrition</w:t>
      </w:r>
    </w:p>
    <w:p w14:paraId="517346D0" w14:textId="77777777" w:rsidR="005D4F3B" w:rsidRPr="00BE201F" w:rsidRDefault="005D4F3B" w:rsidP="00BE201F">
      <w:pPr>
        <w:numPr>
          <w:ilvl w:val="0"/>
          <w:numId w:val="6"/>
        </w:numPr>
        <w:spacing w:after="0" w:line="240" w:lineRule="auto"/>
        <w:rPr>
          <w:rFonts w:cs="Arial"/>
        </w:rPr>
      </w:pPr>
      <w:r>
        <w:rPr>
          <w:rFonts w:cs="Arial"/>
        </w:rPr>
        <w:t>Nurse specialist</w:t>
      </w:r>
    </w:p>
    <w:p w14:paraId="4E708755" w14:textId="77777777" w:rsidR="00BE201F" w:rsidRDefault="005D4F3B" w:rsidP="00BE201F">
      <w:pPr>
        <w:numPr>
          <w:ilvl w:val="0"/>
          <w:numId w:val="6"/>
        </w:numPr>
        <w:spacing w:after="0" w:line="240" w:lineRule="auto"/>
        <w:rPr>
          <w:rFonts w:cs="Arial"/>
        </w:rPr>
      </w:pPr>
      <w:r>
        <w:rPr>
          <w:rFonts w:cs="Arial"/>
        </w:rPr>
        <w:t>Referring DHB Neurologist</w:t>
      </w:r>
    </w:p>
    <w:p w14:paraId="4E04B413" w14:textId="77777777" w:rsidR="005D4F3B" w:rsidRPr="00BE201F" w:rsidRDefault="005D4F3B" w:rsidP="00BE201F">
      <w:pPr>
        <w:numPr>
          <w:ilvl w:val="0"/>
          <w:numId w:val="6"/>
        </w:numPr>
        <w:spacing w:after="0" w:line="240" w:lineRule="auto"/>
        <w:rPr>
          <w:rFonts w:cs="Arial"/>
        </w:rPr>
      </w:pPr>
      <w:r>
        <w:rPr>
          <w:rFonts w:cs="Arial"/>
        </w:rPr>
        <w:t>Referring DHB Paediatrician</w:t>
      </w:r>
    </w:p>
    <w:p w14:paraId="257D21D5" w14:textId="77777777" w:rsidR="00BE201F" w:rsidRPr="00BE201F" w:rsidRDefault="00BE201F" w:rsidP="00BE201F">
      <w:pPr>
        <w:numPr>
          <w:ilvl w:val="0"/>
          <w:numId w:val="6"/>
        </w:numPr>
        <w:spacing w:after="0" w:line="240" w:lineRule="auto"/>
        <w:rPr>
          <w:rFonts w:cs="Arial"/>
        </w:rPr>
      </w:pPr>
      <w:r w:rsidRPr="00BE201F">
        <w:rPr>
          <w:rFonts w:cs="Arial"/>
        </w:rPr>
        <w:t>DHB Planning and Funding Manager</w:t>
      </w:r>
    </w:p>
    <w:p w14:paraId="4C87B58E" w14:textId="77777777" w:rsidR="00BE201F" w:rsidRPr="00BE201F" w:rsidRDefault="00BE201F" w:rsidP="00BE201F">
      <w:pPr>
        <w:numPr>
          <w:ilvl w:val="0"/>
          <w:numId w:val="6"/>
        </w:numPr>
        <w:spacing w:after="0" w:line="240" w:lineRule="auto"/>
        <w:rPr>
          <w:rFonts w:cs="Arial"/>
        </w:rPr>
      </w:pPr>
      <w:r w:rsidRPr="00BE201F">
        <w:rPr>
          <w:rFonts w:cs="Arial"/>
        </w:rPr>
        <w:t>DHB Service Manager</w:t>
      </w:r>
    </w:p>
    <w:p w14:paraId="0D4CE5E0" w14:textId="77777777" w:rsidR="00BE201F" w:rsidRDefault="005D4F3B" w:rsidP="00BE201F">
      <w:pPr>
        <w:numPr>
          <w:ilvl w:val="0"/>
          <w:numId w:val="6"/>
        </w:numPr>
        <w:spacing w:after="0" w:line="240" w:lineRule="auto"/>
        <w:rPr>
          <w:rFonts w:cs="Arial"/>
        </w:rPr>
      </w:pPr>
      <w:r>
        <w:rPr>
          <w:rFonts w:cs="Arial"/>
        </w:rPr>
        <w:t>Consumer/Family</w:t>
      </w:r>
      <w:r w:rsidR="00C37D11">
        <w:rPr>
          <w:rFonts w:cs="Arial"/>
        </w:rPr>
        <w:t xml:space="preserve"> </w:t>
      </w:r>
      <w:r>
        <w:rPr>
          <w:rFonts w:cs="Arial"/>
        </w:rPr>
        <w:t>representative</w:t>
      </w:r>
    </w:p>
    <w:p w14:paraId="5A1B7B52" w14:textId="77777777" w:rsidR="005D4F3B" w:rsidRDefault="005D4F3B" w:rsidP="00BE201F">
      <w:pPr>
        <w:numPr>
          <w:ilvl w:val="0"/>
          <w:numId w:val="6"/>
        </w:numPr>
        <w:spacing w:after="0" w:line="240" w:lineRule="auto"/>
        <w:rPr>
          <w:rFonts w:cs="Arial"/>
        </w:rPr>
      </w:pPr>
      <w:r>
        <w:rPr>
          <w:rFonts w:cs="Arial"/>
        </w:rPr>
        <w:t>Epilepsy New Zealand representative</w:t>
      </w:r>
    </w:p>
    <w:p w14:paraId="6B56D46D" w14:textId="77777777" w:rsidR="005D4F3B" w:rsidRPr="00BE201F" w:rsidRDefault="005D4F3B" w:rsidP="00BE201F">
      <w:pPr>
        <w:numPr>
          <w:ilvl w:val="0"/>
          <w:numId w:val="6"/>
        </w:numPr>
        <w:spacing w:after="0" w:line="240" w:lineRule="auto"/>
        <w:rPr>
          <w:rFonts w:cs="Arial"/>
        </w:rPr>
      </w:pPr>
      <w:r>
        <w:rPr>
          <w:rFonts w:cs="Arial"/>
        </w:rPr>
        <w:t>Primary care practitioner</w:t>
      </w:r>
    </w:p>
    <w:p w14:paraId="7D20390E" w14:textId="77777777" w:rsidR="00BE201F" w:rsidRPr="00BE201F" w:rsidRDefault="005D4F3B" w:rsidP="00BE201F">
      <w:pPr>
        <w:numPr>
          <w:ilvl w:val="0"/>
          <w:numId w:val="6"/>
        </w:numPr>
        <w:spacing w:after="0" w:line="240" w:lineRule="auto"/>
        <w:rPr>
          <w:rFonts w:cs="Arial"/>
        </w:rPr>
      </w:pPr>
      <w:r>
        <w:rPr>
          <w:rFonts w:cs="Arial"/>
        </w:rPr>
        <w:t>Ministry of Health</w:t>
      </w:r>
    </w:p>
    <w:p w14:paraId="5839B7CF" w14:textId="77777777" w:rsidR="005D4F3B" w:rsidRDefault="00BE201F" w:rsidP="005D4F3B">
      <w:pPr>
        <w:spacing w:before="240"/>
        <w:rPr>
          <w:color w:val="000000"/>
          <w:lang w:val="en-GB" w:eastAsia="en-GB"/>
        </w:rPr>
      </w:pPr>
      <w:r>
        <w:t>Additional expertise may be co-opted at any time as needed</w:t>
      </w:r>
      <w:r w:rsidR="005D4F3B">
        <w:rPr>
          <w:color w:val="000000"/>
          <w:lang w:val="en-GB" w:eastAsia="en-GB"/>
        </w:rPr>
        <w:t>.</w:t>
      </w:r>
    </w:p>
    <w:p w14:paraId="394D656E" w14:textId="77777777" w:rsidR="005D4F3B" w:rsidRDefault="005D4F3B" w:rsidP="005D4F3B">
      <w:pPr>
        <w:rPr>
          <w:color w:val="000000"/>
          <w:lang w:val="en-GB" w:eastAsia="en-GB"/>
        </w:rPr>
      </w:pPr>
      <w:r>
        <w:rPr>
          <w:color w:val="000000"/>
          <w:lang w:val="en-GB" w:eastAsia="en-GB"/>
        </w:rPr>
        <w:t>Other interested parties and consumer groups will not be part of the Advisory Group but will be invited to provide feedback on drafts for discussion by the working party before the drafts are circulated for DHB endorsement.</w:t>
      </w:r>
    </w:p>
    <w:p w14:paraId="6938EFA5" w14:textId="77777777" w:rsidR="001B435E" w:rsidRPr="00CC6A00" w:rsidRDefault="001B435E" w:rsidP="001B435E">
      <w:pPr>
        <w:pStyle w:val="Heading2"/>
      </w:pPr>
      <w:r w:rsidRPr="00CC6A00">
        <w:lastRenderedPageBreak/>
        <w:t>Chairperson</w:t>
      </w:r>
    </w:p>
    <w:p w14:paraId="484E801B" w14:textId="77777777" w:rsidR="001B435E" w:rsidRDefault="001B435E" w:rsidP="001B435E">
      <w:pPr>
        <w:spacing w:after="240"/>
        <w:rPr>
          <w:rFonts w:cs="Arial"/>
        </w:rPr>
      </w:pPr>
      <w:r w:rsidRPr="00587FAD">
        <w:rPr>
          <w:rFonts w:cs="Arial"/>
        </w:rPr>
        <w:t>All meetings must be presided over by a chairperson. In the event of the chairperson being absent, an alternative will be elected as acting chairperson by those members present.</w:t>
      </w:r>
      <w:r w:rsidR="00C37D11">
        <w:rPr>
          <w:rFonts w:cs="Arial"/>
        </w:rPr>
        <w:t xml:space="preserve"> </w:t>
      </w:r>
      <w:r w:rsidR="005D4F3B">
        <w:rPr>
          <w:rFonts w:cs="Arial"/>
        </w:rPr>
        <w:t xml:space="preserve">The chair will be confirmed/nominated at the first meeting. </w:t>
      </w:r>
    </w:p>
    <w:p w14:paraId="06956C9F" w14:textId="77777777" w:rsidR="001B435E" w:rsidRDefault="001B435E" w:rsidP="001B435E">
      <w:pPr>
        <w:pStyle w:val="Heading2"/>
      </w:pPr>
      <w:r>
        <w:t>Quorum</w:t>
      </w:r>
    </w:p>
    <w:p w14:paraId="2D74B6F3" w14:textId="77777777" w:rsidR="001B435E" w:rsidRPr="003B3DD2" w:rsidRDefault="00BE201F" w:rsidP="001B435E">
      <w:r>
        <w:t>Half the group</w:t>
      </w:r>
    </w:p>
    <w:p w14:paraId="719B620A" w14:textId="77777777" w:rsidR="001B435E" w:rsidRDefault="001B435E" w:rsidP="001B435E">
      <w:pPr>
        <w:pStyle w:val="Heading2"/>
      </w:pPr>
      <w:r>
        <w:t>Conflicts of interest</w:t>
      </w:r>
    </w:p>
    <w:p w14:paraId="710D0AB2" w14:textId="77777777" w:rsidR="001B435E" w:rsidRDefault="005D4F3B" w:rsidP="005D4F3B">
      <w:pPr>
        <w:rPr>
          <w:b/>
          <w:bCs/>
          <w:lang w:eastAsia="en-GB"/>
        </w:rPr>
      </w:pPr>
      <w:r>
        <w:rPr>
          <w:lang w:eastAsia="en-GB"/>
        </w:rPr>
        <w:t xml:space="preserve">Conflicts of interest will </w:t>
      </w:r>
      <w:r w:rsidR="001B435E">
        <w:rPr>
          <w:lang w:eastAsia="en-GB"/>
        </w:rPr>
        <w:t xml:space="preserve">be declared at the commencement of the meeting, and will be managed by the Chair. </w:t>
      </w:r>
    </w:p>
    <w:p w14:paraId="1C60529E" w14:textId="77777777" w:rsidR="001B435E" w:rsidRDefault="001B435E" w:rsidP="001B435E">
      <w:pPr>
        <w:pStyle w:val="Heading2"/>
      </w:pPr>
      <w:r>
        <w:t>Decision making</w:t>
      </w:r>
    </w:p>
    <w:p w14:paraId="364E25EE" w14:textId="77777777" w:rsidR="001B435E" w:rsidRPr="00587FAD" w:rsidRDefault="001B435E" w:rsidP="001B435E">
      <w:pPr>
        <w:spacing w:after="240"/>
        <w:rPr>
          <w:rFonts w:cs="Arial"/>
        </w:rPr>
      </w:pPr>
      <w:r>
        <w:rPr>
          <w:rFonts w:cs="Arial"/>
        </w:rPr>
        <w:t xml:space="preserve">Decisions and recommendations will be </w:t>
      </w:r>
      <w:r w:rsidRPr="00587FAD">
        <w:rPr>
          <w:rFonts w:cs="Arial"/>
        </w:rPr>
        <w:t xml:space="preserve">consensus agreement </w:t>
      </w:r>
      <w:r>
        <w:rPr>
          <w:rFonts w:cs="Arial"/>
        </w:rPr>
        <w:t>of the group</w:t>
      </w:r>
      <w:r w:rsidRPr="00587FAD">
        <w:rPr>
          <w:rFonts w:cs="Arial"/>
        </w:rPr>
        <w:t>.</w:t>
      </w:r>
      <w:r w:rsidR="00C37D11">
        <w:rPr>
          <w:rFonts w:cs="Arial"/>
        </w:rPr>
        <w:t xml:space="preserve"> </w:t>
      </w:r>
      <w:r>
        <w:rPr>
          <w:rFonts w:cs="Arial"/>
        </w:rPr>
        <w:t>Where a conflict of interest is identified, the relevant parties will abstain from decision making.</w:t>
      </w:r>
      <w:r w:rsidR="00C37D11">
        <w:rPr>
          <w:rFonts w:cs="Arial"/>
        </w:rPr>
        <w:t xml:space="preserve"> </w:t>
      </w:r>
      <w:r>
        <w:rPr>
          <w:rFonts w:cs="Arial"/>
        </w:rPr>
        <w:t xml:space="preserve">The Chair will manage situations where consensus cannot be reached. </w:t>
      </w:r>
    </w:p>
    <w:p w14:paraId="6F11ED94" w14:textId="77777777" w:rsidR="001B435E" w:rsidRPr="00CC6A00" w:rsidRDefault="001B435E" w:rsidP="001B435E">
      <w:pPr>
        <w:pStyle w:val="Heading2"/>
      </w:pPr>
      <w:r w:rsidRPr="00CC6A00">
        <w:t>Accountability</w:t>
      </w:r>
    </w:p>
    <w:p w14:paraId="1DD449F8" w14:textId="77777777" w:rsidR="00BE201F" w:rsidRDefault="00BE201F" w:rsidP="005D4F3B">
      <w:r w:rsidRPr="00BB0E6A">
        <w:t xml:space="preserve">Each member is accountable to his/her </w:t>
      </w:r>
      <w:r>
        <w:t>organisation.</w:t>
      </w:r>
      <w:r w:rsidR="00C37D11">
        <w:t xml:space="preserve"> </w:t>
      </w:r>
      <w:r w:rsidRPr="00BB0E6A">
        <w:t>They shall inform the</w:t>
      </w:r>
      <w:r w:rsidR="00450B96">
        <w:t>ir organisation</w:t>
      </w:r>
      <w:r w:rsidRPr="00BB0E6A">
        <w:t xml:space="preserve"> of the </w:t>
      </w:r>
      <w:smartTag w:uri="urn:schemas-microsoft-com:office:smarttags" w:element="stockticker">
        <w:r>
          <w:t>TAG</w:t>
        </w:r>
      </w:smartTag>
      <w:r>
        <w:t xml:space="preserve"> </w:t>
      </w:r>
      <w:r w:rsidRPr="00BB0E6A">
        <w:t>activities, and communicate both agenda and minutes.</w:t>
      </w:r>
      <w:r w:rsidR="005D4F3B">
        <w:t xml:space="preserve"> </w:t>
      </w:r>
    </w:p>
    <w:p w14:paraId="742664AA" w14:textId="77777777" w:rsidR="005D4F3B" w:rsidRPr="00BB0E6A" w:rsidRDefault="005D4F3B" w:rsidP="005D4F3B">
      <w:r>
        <w:t>The TAG is accountable to the Ministry of Health for the delivery of the agreed functions and roles.</w:t>
      </w:r>
      <w:r w:rsidR="00C37D11">
        <w:t xml:space="preserve"> </w:t>
      </w:r>
    </w:p>
    <w:p w14:paraId="7FF0C916" w14:textId="77777777" w:rsidR="001B435E" w:rsidRPr="00CC6A00" w:rsidRDefault="001B435E" w:rsidP="001B435E">
      <w:pPr>
        <w:pStyle w:val="Heading2"/>
      </w:pPr>
      <w:r w:rsidRPr="00CC6A00">
        <w:t>Working arrangements</w:t>
      </w:r>
    </w:p>
    <w:p w14:paraId="535F5098" w14:textId="77777777" w:rsidR="005D4F3B" w:rsidRDefault="00450B96" w:rsidP="001B435E">
      <w:pPr>
        <w:spacing w:after="240"/>
        <w:rPr>
          <w:rFonts w:cs="Arial"/>
        </w:rPr>
      </w:pPr>
      <w:r>
        <w:rPr>
          <w:rFonts w:cs="Arial"/>
        </w:rPr>
        <w:t>It is expected the project will be of 12</w:t>
      </w:r>
      <w:r w:rsidR="00C37D11">
        <w:rPr>
          <w:rFonts w:cs="Arial"/>
        </w:rPr>
        <w:t>–</w:t>
      </w:r>
      <w:r w:rsidR="001A23B1">
        <w:rPr>
          <w:rFonts w:cs="Arial"/>
        </w:rPr>
        <w:t>18</w:t>
      </w:r>
      <w:r>
        <w:rPr>
          <w:rFonts w:cs="Arial"/>
        </w:rPr>
        <w:t xml:space="preserve"> months duration, and that there will be 2</w:t>
      </w:r>
      <w:r w:rsidR="00C37D11">
        <w:rPr>
          <w:rFonts w:cs="Arial"/>
        </w:rPr>
        <w:t>–</w:t>
      </w:r>
      <w:r>
        <w:rPr>
          <w:rFonts w:cs="Arial"/>
        </w:rPr>
        <w:t>3</w:t>
      </w:r>
      <w:r w:rsidR="005D4F3B">
        <w:rPr>
          <w:rFonts w:cs="Arial"/>
        </w:rPr>
        <w:t xml:space="preserve"> face to face meetings, and teleconferences as required to progress the agreed work plan. </w:t>
      </w:r>
    </w:p>
    <w:p w14:paraId="0AA3BDF3" w14:textId="77777777" w:rsidR="00450B96" w:rsidRDefault="00450B96" w:rsidP="00450B96">
      <w:pPr>
        <w:spacing w:before="240" w:after="240"/>
        <w:rPr>
          <w:rFonts w:cs="Arial"/>
        </w:rPr>
      </w:pPr>
      <w:r w:rsidRPr="00587FAD">
        <w:rPr>
          <w:rFonts w:cs="Arial"/>
        </w:rPr>
        <w:t xml:space="preserve">The </w:t>
      </w:r>
      <w:r>
        <w:rPr>
          <w:rFonts w:cs="Arial"/>
        </w:rPr>
        <w:t>Ministry of Health</w:t>
      </w:r>
      <w:r w:rsidRPr="00587FAD">
        <w:rPr>
          <w:rFonts w:cs="Arial"/>
        </w:rPr>
        <w:t xml:space="preserve"> will provide a secretariat function for the </w:t>
      </w:r>
      <w:r>
        <w:rPr>
          <w:rFonts w:cs="Arial"/>
        </w:rPr>
        <w:t>TAG</w:t>
      </w:r>
      <w:r w:rsidRPr="00587FAD">
        <w:rPr>
          <w:rFonts w:cs="Arial"/>
        </w:rPr>
        <w:t>.</w:t>
      </w:r>
      <w:r w:rsidR="00C37D11">
        <w:rPr>
          <w:rFonts w:cs="Arial"/>
        </w:rPr>
        <w:t xml:space="preserve"> </w:t>
      </w:r>
      <w:r>
        <w:rPr>
          <w:rFonts w:cs="Arial"/>
        </w:rPr>
        <w:t xml:space="preserve">Minutes will be issued within a week of the meeting, and finalised at the next meeting. </w:t>
      </w:r>
    </w:p>
    <w:p w14:paraId="46BAC7E0" w14:textId="77777777" w:rsidR="00450B96" w:rsidRDefault="00450B96" w:rsidP="00450B96">
      <w:pPr>
        <w:spacing w:before="240" w:after="240"/>
        <w:rPr>
          <w:rFonts w:cs="Arial"/>
        </w:rPr>
      </w:pPr>
      <w:r w:rsidRPr="001A23B1">
        <w:rPr>
          <w:rFonts w:cs="Arial"/>
        </w:rPr>
        <w:t>DHBs and other health organisations are expected to support the attendance of their staff at the meetings</w:t>
      </w:r>
      <w:r w:rsidR="004A38DC" w:rsidRPr="001A23B1">
        <w:rPr>
          <w:rFonts w:cs="Arial"/>
        </w:rPr>
        <w:t xml:space="preserve"> and make travel arrangements</w:t>
      </w:r>
      <w:r w:rsidRPr="001A23B1">
        <w:rPr>
          <w:rFonts w:cs="Arial"/>
        </w:rPr>
        <w:t>.</w:t>
      </w:r>
      <w:r w:rsidR="00C37D11">
        <w:rPr>
          <w:rFonts w:cs="Arial"/>
        </w:rPr>
        <w:t xml:space="preserve"> </w:t>
      </w:r>
      <w:r w:rsidR="004A38DC" w:rsidRPr="001A23B1">
        <w:rPr>
          <w:rFonts w:cs="Arial"/>
        </w:rPr>
        <w:t xml:space="preserve">Consumer </w:t>
      </w:r>
      <w:r w:rsidR="001A23B1">
        <w:rPr>
          <w:rFonts w:cs="Arial"/>
        </w:rPr>
        <w:t xml:space="preserve">and primary care </w:t>
      </w:r>
      <w:r w:rsidR="004A38DC" w:rsidRPr="001A23B1">
        <w:rPr>
          <w:rFonts w:cs="Arial"/>
        </w:rPr>
        <w:t>representatives’ a</w:t>
      </w:r>
      <w:r w:rsidRPr="001A23B1">
        <w:rPr>
          <w:rFonts w:cs="Arial"/>
        </w:rPr>
        <w:t>ttendance fees and travel costs will be met in accordance with Ministry of Health</w:t>
      </w:r>
      <w:r>
        <w:rPr>
          <w:rFonts w:cs="Arial"/>
        </w:rPr>
        <w:t xml:space="preserve"> policy. </w:t>
      </w:r>
    </w:p>
    <w:p w14:paraId="0692C9D9" w14:textId="77777777" w:rsidR="00A41D58" w:rsidRDefault="002E026E" w:rsidP="00450B96">
      <w:pPr>
        <w:pStyle w:val="Caption"/>
      </w:pPr>
    </w:p>
    <w:sectPr w:rsidR="00A41D58" w:rsidSect="00306D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D3C1" w14:textId="77777777" w:rsidR="002E026E" w:rsidRDefault="002E026E">
      <w:pPr>
        <w:spacing w:after="0" w:line="240" w:lineRule="auto"/>
      </w:pPr>
      <w:r>
        <w:separator/>
      </w:r>
    </w:p>
  </w:endnote>
  <w:endnote w:type="continuationSeparator" w:id="0">
    <w:p w14:paraId="38206ACA" w14:textId="77777777" w:rsidR="002E026E" w:rsidRDefault="002E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27E7" w14:textId="77777777" w:rsidR="00A53D98" w:rsidRDefault="00B1472F">
    <w:pPr>
      <w:pStyle w:val="Footer"/>
      <w:rPr>
        <w:rFonts w:ascii="Arial" w:hAnsi="Arial" w:cs="Arial"/>
        <w:sz w:val="20"/>
        <w:szCs w:val="20"/>
      </w:rPr>
    </w:pPr>
    <w:r>
      <w:rPr>
        <w:rFonts w:ascii="Arial" w:hAnsi="Arial" w:cs="Arial"/>
        <w:sz w:val="20"/>
        <w:szCs w:val="20"/>
      </w:rPr>
      <w:t>Final:</w:t>
    </w:r>
    <w:r w:rsidR="00C37D11">
      <w:rPr>
        <w:rFonts w:ascii="Arial" w:hAnsi="Arial" w:cs="Arial"/>
        <w:sz w:val="20"/>
        <w:szCs w:val="20"/>
      </w:rPr>
      <w:t xml:space="preserve"> </w:t>
    </w:r>
    <w:r>
      <w:rPr>
        <w:rFonts w:ascii="Arial" w:hAnsi="Arial" w:cs="Arial"/>
        <w:sz w:val="20"/>
        <w:szCs w:val="20"/>
      </w:rPr>
      <w:t>16 December 2016</w:t>
    </w:r>
  </w:p>
  <w:p w14:paraId="21E6B99D" w14:textId="77777777" w:rsidR="00A53D98" w:rsidRPr="00DF0A9F" w:rsidRDefault="00B34F12">
    <w:pPr>
      <w:pStyle w:val="Footer"/>
      <w:rPr>
        <w:rFonts w:ascii="Arial" w:hAnsi="Arial" w:cs="Arial"/>
        <w:sz w:val="16"/>
        <w:szCs w:val="16"/>
      </w:rPr>
    </w:pPr>
    <w:r>
      <w:rPr>
        <w:rFonts w:ascii="Arial" w:hAnsi="Arial" w:cs="Arial"/>
        <w:sz w:val="20"/>
        <w:szCs w:val="20"/>
      </w:rPr>
      <w:tab/>
    </w:r>
    <w:r>
      <w:rPr>
        <w:rFonts w:ascii="Arial" w:hAnsi="Arial" w:cs="Arial"/>
        <w:sz w:val="20"/>
        <w:szCs w:val="20"/>
      </w:rPr>
      <w:tab/>
    </w:r>
    <w:r w:rsidRPr="00DF0A9F">
      <w:rPr>
        <w:rFonts w:ascii="Arial" w:hAnsi="Arial" w:cs="Arial"/>
        <w:sz w:val="16"/>
        <w:szCs w:val="16"/>
      </w:rPr>
      <w:t xml:space="preserve">Page </w:t>
    </w:r>
    <w:r w:rsidRPr="00DF0A9F">
      <w:rPr>
        <w:rStyle w:val="PageNumber"/>
        <w:sz w:val="16"/>
        <w:szCs w:val="16"/>
      </w:rPr>
      <w:fldChar w:fldCharType="begin"/>
    </w:r>
    <w:r w:rsidRPr="00DF0A9F">
      <w:rPr>
        <w:rStyle w:val="PageNumber"/>
        <w:sz w:val="16"/>
        <w:szCs w:val="16"/>
      </w:rPr>
      <w:instrText xml:space="preserve"> PAGE </w:instrText>
    </w:r>
    <w:r w:rsidRPr="00DF0A9F">
      <w:rPr>
        <w:rStyle w:val="PageNumber"/>
        <w:sz w:val="16"/>
        <w:szCs w:val="16"/>
      </w:rPr>
      <w:fldChar w:fldCharType="separate"/>
    </w:r>
    <w:r w:rsidR="0016243F">
      <w:rPr>
        <w:rStyle w:val="PageNumber"/>
        <w:noProof/>
        <w:sz w:val="16"/>
        <w:szCs w:val="16"/>
      </w:rPr>
      <w:t>1</w:t>
    </w:r>
    <w:r w:rsidRPr="00DF0A9F">
      <w:rPr>
        <w:rStyle w:val="PageNumber"/>
        <w:sz w:val="16"/>
        <w:szCs w:val="16"/>
      </w:rPr>
      <w:fldChar w:fldCharType="end"/>
    </w:r>
    <w:r w:rsidRPr="00DF0A9F">
      <w:rPr>
        <w:rStyle w:val="PageNumber"/>
        <w:sz w:val="16"/>
        <w:szCs w:val="16"/>
      </w:rPr>
      <w:t xml:space="preserve"> of </w:t>
    </w:r>
    <w:r w:rsidRPr="00DF0A9F">
      <w:rPr>
        <w:rStyle w:val="PageNumber"/>
        <w:sz w:val="16"/>
        <w:szCs w:val="16"/>
      </w:rPr>
      <w:fldChar w:fldCharType="begin"/>
    </w:r>
    <w:r w:rsidRPr="00DF0A9F">
      <w:rPr>
        <w:rStyle w:val="PageNumber"/>
        <w:sz w:val="16"/>
        <w:szCs w:val="16"/>
      </w:rPr>
      <w:instrText xml:space="preserve"> NUMPAGES </w:instrText>
    </w:r>
    <w:r w:rsidRPr="00DF0A9F">
      <w:rPr>
        <w:rStyle w:val="PageNumber"/>
        <w:sz w:val="16"/>
        <w:szCs w:val="16"/>
      </w:rPr>
      <w:fldChar w:fldCharType="separate"/>
    </w:r>
    <w:r w:rsidR="0016243F">
      <w:rPr>
        <w:rStyle w:val="PageNumber"/>
        <w:noProof/>
        <w:sz w:val="16"/>
        <w:szCs w:val="16"/>
      </w:rPr>
      <w:t>3</w:t>
    </w:r>
    <w:r w:rsidRPr="00DF0A9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6A17" w14:textId="77777777" w:rsidR="002E026E" w:rsidRDefault="002E026E">
      <w:pPr>
        <w:spacing w:after="0" w:line="240" w:lineRule="auto"/>
      </w:pPr>
      <w:r>
        <w:separator/>
      </w:r>
    </w:p>
  </w:footnote>
  <w:footnote w:type="continuationSeparator" w:id="0">
    <w:p w14:paraId="589418C2" w14:textId="77777777" w:rsidR="002E026E" w:rsidRDefault="002E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D7EF5"/>
    <w:multiLevelType w:val="multilevel"/>
    <w:tmpl w:val="02E2E0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E77D8C"/>
    <w:multiLevelType w:val="hybridMultilevel"/>
    <w:tmpl w:val="D9563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A1CBC"/>
    <w:multiLevelType w:val="hybridMultilevel"/>
    <w:tmpl w:val="FEC2E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37E23"/>
    <w:multiLevelType w:val="hybridMultilevel"/>
    <w:tmpl w:val="A06A8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E43EB"/>
    <w:multiLevelType w:val="hybridMultilevel"/>
    <w:tmpl w:val="A7108F76"/>
    <w:lvl w:ilvl="0" w:tplc="08090001">
      <w:start w:val="1"/>
      <w:numFmt w:val="bullet"/>
      <w:lvlText w:val=""/>
      <w:lvlJc w:val="left"/>
      <w:pPr>
        <w:tabs>
          <w:tab w:val="num" w:pos="420"/>
        </w:tabs>
        <w:ind w:left="420" w:hanging="360"/>
      </w:pPr>
      <w:rPr>
        <w:rFonts w:ascii="Symbol" w:hAnsi="Symbol"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15:restartNumberingAfterBreak="0">
    <w:nsid w:val="628E2946"/>
    <w:multiLevelType w:val="hybridMultilevel"/>
    <w:tmpl w:val="91FE33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55C4298"/>
    <w:multiLevelType w:val="hybridMultilevel"/>
    <w:tmpl w:val="339064A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7B44378"/>
    <w:multiLevelType w:val="hybridMultilevel"/>
    <w:tmpl w:val="1EDAD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546FDB"/>
    <w:multiLevelType w:val="hybridMultilevel"/>
    <w:tmpl w:val="FD508050"/>
    <w:lvl w:ilvl="0" w:tplc="1409000F">
      <w:start w:val="1"/>
      <w:numFmt w:val="decimal"/>
      <w:lvlText w:val="%1."/>
      <w:lvlJc w:val="left"/>
      <w:pPr>
        <w:ind w:left="502" w:hanging="360"/>
      </w:pPr>
      <w:rPr>
        <w:rFonts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9" w15:restartNumberingAfterBreak="0">
    <w:nsid w:val="6BC4185F"/>
    <w:multiLevelType w:val="hybridMultilevel"/>
    <w:tmpl w:val="FA2CF72A"/>
    <w:lvl w:ilvl="0" w:tplc="C19E66FA">
      <w:start w:val="9"/>
      <w:numFmt w:val="decimal"/>
      <w:lvlText w:val="%1."/>
      <w:lvlJc w:val="left"/>
      <w:pPr>
        <w:tabs>
          <w:tab w:val="num" w:pos="720"/>
        </w:tabs>
        <w:ind w:left="720" w:hanging="6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0" w15:restartNumberingAfterBreak="0">
    <w:nsid w:val="6C5121C0"/>
    <w:multiLevelType w:val="hybridMultilevel"/>
    <w:tmpl w:val="0974E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367EB6"/>
    <w:multiLevelType w:val="hybridMultilevel"/>
    <w:tmpl w:val="DA3829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F265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EEF6331"/>
    <w:multiLevelType w:val="hybridMultilevel"/>
    <w:tmpl w:val="5E7C5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3"/>
  </w:num>
  <w:num w:numId="4">
    <w:abstractNumId w:val="3"/>
  </w:num>
  <w:num w:numId="5">
    <w:abstractNumId w:val="2"/>
  </w:num>
  <w:num w:numId="6">
    <w:abstractNumId w:val="11"/>
  </w:num>
  <w:num w:numId="7">
    <w:abstractNumId w:val="7"/>
  </w:num>
  <w:num w:numId="8">
    <w:abstractNumId w:val="0"/>
  </w:num>
  <w:num w:numId="9">
    <w:abstractNumId w:val="10"/>
  </w:num>
  <w:num w:numId="10">
    <w:abstractNumId w:val="5"/>
  </w:num>
  <w:num w:numId="11">
    <w:abstractNumId w:val="8"/>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12"/>
    <w:rsid w:val="000A72B3"/>
    <w:rsid w:val="00124BDC"/>
    <w:rsid w:val="0016243F"/>
    <w:rsid w:val="001A23B1"/>
    <w:rsid w:val="001B435E"/>
    <w:rsid w:val="002726B4"/>
    <w:rsid w:val="002E026E"/>
    <w:rsid w:val="00416442"/>
    <w:rsid w:val="00450B96"/>
    <w:rsid w:val="004A38DC"/>
    <w:rsid w:val="00543E07"/>
    <w:rsid w:val="005A1943"/>
    <w:rsid w:val="005A68D7"/>
    <w:rsid w:val="005D4F3B"/>
    <w:rsid w:val="00757DF3"/>
    <w:rsid w:val="007D5EFB"/>
    <w:rsid w:val="008974EA"/>
    <w:rsid w:val="00AA511C"/>
    <w:rsid w:val="00AC6665"/>
    <w:rsid w:val="00B1472F"/>
    <w:rsid w:val="00B34F12"/>
    <w:rsid w:val="00BA2DE9"/>
    <w:rsid w:val="00BE201F"/>
    <w:rsid w:val="00C37D11"/>
    <w:rsid w:val="00CD0C2C"/>
    <w:rsid w:val="00D55E2D"/>
    <w:rsid w:val="00DD4EEA"/>
    <w:rsid w:val="00DE5089"/>
    <w:rsid w:val="00E05CC0"/>
    <w:rsid w:val="00F035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FBD49F"/>
  <w15:chartTrackingRefBased/>
  <w15:docId w15:val="{0AFFEA16-8411-4787-81F0-41A9CCB5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12"/>
    <w:pPr>
      <w:spacing w:after="200" w:line="276" w:lineRule="auto"/>
    </w:pPr>
  </w:style>
  <w:style w:type="paragraph" w:styleId="Heading1">
    <w:name w:val="heading 1"/>
    <w:basedOn w:val="Normal"/>
    <w:next w:val="Normal"/>
    <w:link w:val="Heading1Char"/>
    <w:uiPriority w:val="9"/>
    <w:qFormat/>
    <w:rsid w:val="001B435E"/>
    <w:pPr>
      <w:keepNext/>
      <w:keepLines/>
      <w:spacing w:before="480" w:after="0"/>
      <w:outlineLvl w:val="0"/>
    </w:pPr>
    <w:rPr>
      <w:rFonts w:asciiTheme="majorHAnsi" w:eastAsiaTheme="majorEastAsia" w:hAnsiTheme="majorHAnsi" w:cstheme="majorBidi"/>
      <w:b/>
      <w:bCs/>
      <w:color w:val="2E74B5" w:themeColor="accent1" w:themeShade="BF"/>
      <w:sz w:val="36"/>
      <w:szCs w:val="28"/>
    </w:rPr>
  </w:style>
  <w:style w:type="paragraph" w:styleId="Heading2">
    <w:name w:val="heading 2"/>
    <w:basedOn w:val="Normal"/>
    <w:next w:val="Normal"/>
    <w:link w:val="Heading2Char"/>
    <w:uiPriority w:val="9"/>
    <w:unhideWhenUsed/>
    <w:qFormat/>
    <w:rsid w:val="001B435E"/>
    <w:pPr>
      <w:keepNext/>
      <w:keepLines/>
      <w:spacing w:before="200" w:after="0"/>
      <w:outlineLvl w:val="1"/>
    </w:pPr>
    <w:rPr>
      <w:rFonts w:asciiTheme="majorHAnsi" w:eastAsiaTheme="majorEastAsia" w:hAnsiTheme="majorHAnsi" w:cstheme="majorBidi"/>
      <w:b/>
      <w:bC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F12"/>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B34F1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B34F12"/>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B34F12"/>
    <w:rPr>
      <w:rFonts w:ascii="Times New Roman" w:eastAsia="Times New Roman" w:hAnsi="Times New Roman" w:cs="Times New Roman"/>
      <w:sz w:val="24"/>
      <w:szCs w:val="24"/>
      <w:lang w:val="en-GB" w:eastAsia="en-GB"/>
    </w:rPr>
  </w:style>
  <w:style w:type="character" w:styleId="PageNumber">
    <w:name w:val="page number"/>
    <w:basedOn w:val="DefaultParagraphFont"/>
    <w:rsid w:val="00B34F12"/>
  </w:style>
  <w:style w:type="paragraph" w:styleId="BlockText">
    <w:name w:val="Block Text"/>
    <w:aliases w:val="Block Text - Numbered"/>
    <w:basedOn w:val="Normal"/>
    <w:rsid w:val="00B34F12"/>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1B435E"/>
    <w:rPr>
      <w:rFonts w:asciiTheme="majorHAnsi" w:eastAsiaTheme="majorEastAsia" w:hAnsiTheme="majorHAnsi" w:cstheme="majorBidi"/>
      <w:b/>
      <w:bCs/>
      <w:color w:val="2E74B5" w:themeColor="accent1" w:themeShade="BF"/>
      <w:sz w:val="36"/>
      <w:szCs w:val="28"/>
    </w:rPr>
  </w:style>
  <w:style w:type="character" w:customStyle="1" w:styleId="Heading2Char">
    <w:name w:val="Heading 2 Char"/>
    <w:basedOn w:val="DefaultParagraphFont"/>
    <w:link w:val="Heading2"/>
    <w:uiPriority w:val="9"/>
    <w:rsid w:val="001B435E"/>
    <w:rPr>
      <w:rFonts w:asciiTheme="majorHAnsi" w:eastAsiaTheme="majorEastAsia" w:hAnsiTheme="majorHAnsi" w:cstheme="majorBidi"/>
      <w:b/>
      <w:bCs/>
      <w:color w:val="5B9BD5" w:themeColor="accent1"/>
      <w:sz w:val="28"/>
      <w:szCs w:val="26"/>
    </w:rPr>
  </w:style>
  <w:style w:type="paragraph" w:styleId="ListParagraph">
    <w:name w:val="List Paragraph"/>
    <w:basedOn w:val="Normal"/>
    <w:uiPriority w:val="34"/>
    <w:qFormat/>
    <w:rsid w:val="001B435E"/>
    <w:pPr>
      <w:ind w:left="720"/>
      <w:contextualSpacing/>
    </w:pPr>
    <w:rPr>
      <w:rFonts w:ascii="Arial" w:eastAsia="Calibri" w:hAnsi="Arial" w:cs="Times New Roman"/>
      <w:sz w:val="24"/>
    </w:rPr>
  </w:style>
  <w:style w:type="paragraph" w:customStyle="1" w:styleId="Bullet">
    <w:name w:val="Bullet"/>
    <w:basedOn w:val="Normal"/>
    <w:rsid w:val="001B435E"/>
    <w:pPr>
      <w:spacing w:before="120" w:after="0" w:line="264" w:lineRule="auto"/>
    </w:pPr>
    <w:rPr>
      <w:rFonts w:ascii="Georgia" w:eastAsia="Times New Roman" w:hAnsi="Georgia" w:cs="Times New Roman"/>
      <w:szCs w:val="20"/>
      <w:lang w:eastAsia="en-GB"/>
    </w:rPr>
  </w:style>
  <w:style w:type="paragraph" w:styleId="NoSpacing">
    <w:name w:val="No Spacing"/>
    <w:uiPriority w:val="1"/>
    <w:qFormat/>
    <w:rsid w:val="001B435E"/>
    <w:pPr>
      <w:spacing w:after="0" w:line="240" w:lineRule="auto"/>
    </w:pPr>
    <w:rPr>
      <w:rFonts w:ascii="Arial" w:eastAsia="Times New Roman" w:hAnsi="Arial" w:cs="Times New Roman"/>
      <w:szCs w:val="20"/>
      <w:lang w:eastAsia="en-GB"/>
    </w:rPr>
  </w:style>
  <w:style w:type="paragraph" w:styleId="Caption">
    <w:name w:val="caption"/>
    <w:basedOn w:val="Normal"/>
    <w:next w:val="Normal"/>
    <w:uiPriority w:val="35"/>
    <w:unhideWhenUsed/>
    <w:qFormat/>
    <w:rsid w:val="001B435E"/>
    <w:pPr>
      <w:spacing w:line="240" w:lineRule="auto"/>
    </w:pPr>
    <w:rPr>
      <w:rFonts w:ascii="Arial" w:eastAsia="Times New Roman" w:hAnsi="Arial" w:cs="Times New Roman"/>
      <w:b/>
      <w:bCs/>
      <w:color w:val="5B9BD5" w:themeColor="accent1"/>
      <w:sz w:val="18"/>
      <w:szCs w:val="18"/>
      <w:lang w:eastAsia="en-GB"/>
    </w:rPr>
  </w:style>
  <w:style w:type="paragraph" w:styleId="BalloonText">
    <w:name w:val="Balloon Text"/>
    <w:basedOn w:val="Normal"/>
    <w:link w:val="BalloonTextChar"/>
    <w:uiPriority w:val="99"/>
    <w:semiHidden/>
    <w:unhideWhenUsed/>
    <w:rsid w:val="00DD4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Terms of reference: Technical Advisory Group: Complex Epilepsy National Service Improvement Project</vt:lpstr>
    </vt:vector>
  </TitlesOfParts>
  <Company>Ministry of Health</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Technical Advisory Group: Complex Epilepsy National Service Improvement Project</dc:title>
  <dc:subject/>
  <dc:creator>Ministry of Health</dc:creator>
  <cp:keywords/>
  <dc:description/>
  <cp:lastModifiedBy>Gemma Manning</cp:lastModifiedBy>
  <cp:revision>2</cp:revision>
  <cp:lastPrinted>2016-05-19T02:26:00Z</cp:lastPrinted>
  <dcterms:created xsi:type="dcterms:W3CDTF">2023-06-22T11:44:00Z</dcterms:created>
  <dcterms:modified xsi:type="dcterms:W3CDTF">2023-06-22T11:44:00Z</dcterms:modified>
</cp:coreProperties>
</file>