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1FA5" w14:textId="77777777" w:rsidR="001D3E9B" w:rsidRPr="006A4355" w:rsidRDefault="001D3E9B" w:rsidP="001D3E9B">
      <w:pPr>
        <w:pStyle w:val="Heading1"/>
      </w:pPr>
      <w:bookmarkStart w:id="0" w:name="_Toc114562048"/>
      <w:r w:rsidRPr="006A4355">
        <w:t>Glossary</w:t>
      </w:r>
      <w:bookmarkEnd w:id="0"/>
    </w:p>
    <w:p w14:paraId="5545ED08" w14:textId="77777777" w:rsidR="001D3E9B" w:rsidRDefault="001D3E9B" w:rsidP="001D3E9B">
      <w:pPr>
        <w:pStyle w:val="Heading2"/>
        <w:rPr>
          <w:lang w:val="en-GB"/>
        </w:rPr>
      </w:pPr>
      <w:r>
        <w:rPr>
          <w:lang w:val="en-GB"/>
        </w:rPr>
        <w:t>Acronyms and abbreviations</w:t>
      </w:r>
    </w:p>
    <w:tbl>
      <w:tblPr>
        <w:tblStyle w:val="TableGrid"/>
        <w:tblW w:w="0" w:type="auto"/>
        <w:tblLook w:val="04A0" w:firstRow="1" w:lastRow="0" w:firstColumn="1" w:lastColumn="0" w:noHBand="0" w:noVBand="1"/>
      </w:tblPr>
      <w:tblGrid>
        <w:gridCol w:w="4034"/>
        <w:gridCol w:w="4035"/>
      </w:tblGrid>
      <w:tr w:rsidR="001D3E9B" w14:paraId="4AB7B9E1" w14:textId="77777777" w:rsidTr="00F43505">
        <w:tc>
          <w:tcPr>
            <w:tcW w:w="4034" w:type="dxa"/>
            <w:shd w:val="clear" w:color="auto" w:fill="C7EBF5" w:themeFill="text1" w:themeFillTint="33"/>
          </w:tcPr>
          <w:p w14:paraId="76A341EA" w14:textId="77777777" w:rsidR="001D3E9B" w:rsidRDefault="001D3E9B" w:rsidP="00F43505">
            <w:pPr>
              <w:rPr>
                <w:lang w:val="en-GB"/>
              </w:rPr>
            </w:pPr>
            <w:r>
              <w:rPr>
                <w:lang w:val="en-GB"/>
              </w:rPr>
              <w:t>Abbreviation</w:t>
            </w:r>
          </w:p>
        </w:tc>
        <w:tc>
          <w:tcPr>
            <w:tcW w:w="4035" w:type="dxa"/>
            <w:shd w:val="clear" w:color="auto" w:fill="C7EBF5" w:themeFill="text1" w:themeFillTint="33"/>
          </w:tcPr>
          <w:p w14:paraId="7024B16E" w14:textId="77777777" w:rsidR="001D3E9B" w:rsidRDefault="001D3E9B" w:rsidP="00F43505">
            <w:pPr>
              <w:rPr>
                <w:lang w:val="en-GB"/>
              </w:rPr>
            </w:pPr>
            <w:r>
              <w:rPr>
                <w:lang w:val="en-GB"/>
              </w:rPr>
              <w:t>Meaning</w:t>
            </w:r>
          </w:p>
        </w:tc>
      </w:tr>
      <w:tr w:rsidR="001D3E9B" w14:paraId="740179F2" w14:textId="77777777" w:rsidTr="00F43505">
        <w:tc>
          <w:tcPr>
            <w:tcW w:w="4034" w:type="dxa"/>
          </w:tcPr>
          <w:p w14:paraId="0562BC64" w14:textId="77777777" w:rsidR="001D3E9B" w:rsidRDefault="001D3E9B" w:rsidP="00F43505">
            <w:pPr>
              <w:rPr>
                <w:lang w:val="en-GB"/>
              </w:rPr>
            </w:pPr>
            <w:r>
              <w:rPr>
                <w:lang w:val="en-GB"/>
              </w:rPr>
              <w:t>CGI</w:t>
            </w:r>
          </w:p>
        </w:tc>
        <w:tc>
          <w:tcPr>
            <w:tcW w:w="4035" w:type="dxa"/>
          </w:tcPr>
          <w:p w14:paraId="37E1FF07" w14:textId="77777777" w:rsidR="001D3E9B" w:rsidRDefault="001D3E9B" w:rsidP="00F43505">
            <w:pPr>
              <w:rPr>
                <w:lang w:val="en-GB"/>
              </w:rPr>
            </w:pPr>
            <w:r>
              <w:rPr>
                <w:lang w:val="en-GB"/>
              </w:rPr>
              <w:t>COVID-19 Genomics Insights</w:t>
            </w:r>
          </w:p>
        </w:tc>
      </w:tr>
      <w:tr w:rsidR="001D3E9B" w14:paraId="79E6F0D1" w14:textId="77777777" w:rsidTr="00F43505">
        <w:tc>
          <w:tcPr>
            <w:tcW w:w="4034" w:type="dxa"/>
          </w:tcPr>
          <w:p w14:paraId="77B020E9" w14:textId="77777777" w:rsidR="001D3E9B" w:rsidRDefault="001D3E9B" w:rsidP="00F43505">
            <w:pPr>
              <w:rPr>
                <w:lang w:val="en-GB"/>
              </w:rPr>
            </w:pPr>
            <w:r>
              <w:rPr>
                <w:lang w:val="en-GB"/>
              </w:rPr>
              <w:t>ESR</w:t>
            </w:r>
          </w:p>
        </w:tc>
        <w:tc>
          <w:tcPr>
            <w:tcW w:w="4035" w:type="dxa"/>
          </w:tcPr>
          <w:p w14:paraId="3AEB8F58" w14:textId="77777777" w:rsidR="001D3E9B" w:rsidRDefault="001D3E9B" w:rsidP="00F43505">
            <w:pPr>
              <w:rPr>
                <w:lang w:val="en-GB"/>
              </w:rPr>
            </w:pPr>
            <w:r>
              <w:rPr>
                <w:lang w:val="en-GB"/>
              </w:rPr>
              <w:t>Environmental Science and Research</w:t>
            </w:r>
          </w:p>
        </w:tc>
      </w:tr>
      <w:tr w:rsidR="001D3E9B" w14:paraId="302282F1" w14:textId="77777777" w:rsidTr="00F43505">
        <w:tc>
          <w:tcPr>
            <w:tcW w:w="4034" w:type="dxa"/>
          </w:tcPr>
          <w:p w14:paraId="2BB17791" w14:textId="77777777" w:rsidR="001D3E9B" w:rsidRDefault="001D3E9B" w:rsidP="00F43505">
            <w:pPr>
              <w:rPr>
                <w:lang w:val="en-GB"/>
              </w:rPr>
            </w:pPr>
            <w:r>
              <w:rPr>
                <w:lang w:val="en-GB"/>
              </w:rPr>
              <w:t>GISAID</w:t>
            </w:r>
          </w:p>
        </w:tc>
        <w:tc>
          <w:tcPr>
            <w:tcW w:w="4035" w:type="dxa"/>
          </w:tcPr>
          <w:p w14:paraId="5244B00B" w14:textId="77777777" w:rsidR="001D3E9B" w:rsidRDefault="001D3E9B" w:rsidP="00F43505">
            <w:pPr>
              <w:rPr>
                <w:lang w:val="en-GB"/>
              </w:rPr>
            </w:pPr>
            <w:r>
              <w:rPr>
                <w:lang w:val="en-GB"/>
              </w:rPr>
              <w:t>Global Initiative on Sharing Avian Influenza Data</w:t>
            </w:r>
          </w:p>
        </w:tc>
      </w:tr>
      <w:tr w:rsidR="001D3E9B" w14:paraId="2C9E7E7D" w14:textId="77777777" w:rsidTr="00F43505">
        <w:tc>
          <w:tcPr>
            <w:tcW w:w="4034" w:type="dxa"/>
          </w:tcPr>
          <w:p w14:paraId="37063570" w14:textId="77777777" w:rsidR="001D3E9B" w:rsidRDefault="001D3E9B" w:rsidP="00F43505">
            <w:pPr>
              <w:rPr>
                <w:lang w:val="en-GB"/>
              </w:rPr>
            </w:pPr>
            <w:r>
              <w:rPr>
                <w:lang w:val="en-GB"/>
              </w:rPr>
              <w:t>IP</w:t>
            </w:r>
          </w:p>
        </w:tc>
        <w:tc>
          <w:tcPr>
            <w:tcW w:w="4035" w:type="dxa"/>
          </w:tcPr>
          <w:p w14:paraId="043CD405" w14:textId="77777777" w:rsidR="001D3E9B" w:rsidRDefault="001D3E9B" w:rsidP="00F43505">
            <w:pPr>
              <w:rPr>
                <w:lang w:val="en-GB"/>
              </w:rPr>
            </w:pPr>
            <w:r>
              <w:rPr>
                <w:lang w:val="en-GB"/>
              </w:rPr>
              <w:t xml:space="preserve">Inpatient Admission </w:t>
            </w:r>
          </w:p>
        </w:tc>
      </w:tr>
      <w:tr w:rsidR="001D3E9B" w14:paraId="15E73B89" w14:textId="77777777" w:rsidTr="00F43505">
        <w:tc>
          <w:tcPr>
            <w:tcW w:w="4034" w:type="dxa"/>
          </w:tcPr>
          <w:p w14:paraId="57673D80" w14:textId="77777777" w:rsidR="001D3E9B" w:rsidRDefault="001D3E9B" w:rsidP="00F43505">
            <w:pPr>
              <w:rPr>
                <w:lang w:val="en-GB"/>
              </w:rPr>
            </w:pPr>
            <w:r>
              <w:rPr>
                <w:lang w:val="en-GB"/>
              </w:rPr>
              <w:t>NCTS</w:t>
            </w:r>
          </w:p>
        </w:tc>
        <w:tc>
          <w:tcPr>
            <w:tcW w:w="4035" w:type="dxa"/>
          </w:tcPr>
          <w:p w14:paraId="2EAF4B44" w14:textId="77777777" w:rsidR="001D3E9B" w:rsidRDefault="001D3E9B" w:rsidP="00F43505">
            <w:pPr>
              <w:rPr>
                <w:lang w:val="en-GB"/>
              </w:rPr>
            </w:pPr>
            <w:r>
              <w:rPr>
                <w:lang w:val="en-GB"/>
              </w:rPr>
              <w:t>National Contact Tracing Service</w:t>
            </w:r>
          </w:p>
        </w:tc>
      </w:tr>
      <w:tr w:rsidR="001D3E9B" w14:paraId="2DF8AD66" w14:textId="77777777" w:rsidTr="00F43505">
        <w:tc>
          <w:tcPr>
            <w:tcW w:w="4034" w:type="dxa"/>
          </w:tcPr>
          <w:p w14:paraId="62E3A35A" w14:textId="77777777" w:rsidR="001D3E9B" w:rsidRDefault="001D3E9B" w:rsidP="00F43505">
            <w:pPr>
              <w:rPr>
                <w:lang w:val="en-GB"/>
              </w:rPr>
            </w:pPr>
            <w:r w:rsidRPr="000A2F28">
              <w:rPr>
                <w:rFonts w:eastAsia="Segoe UI"/>
                <w:lang w:val="en-GB"/>
              </w:rPr>
              <w:t>NMDS</w:t>
            </w:r>
          </w:p>
        </w:tc>
        <w:tc>
          <w:tcPr>
            <w:tcW w:w="4035" w:type="dxa"/>
          </w:tcPr>
          <w:p w14:paraId="51FE9075" w14:textId="77777777" w:rsidR="001D3E9B" w:rsidRDefault="001D3E9B" w:rsidP="00F43505">
            <w:pPr>
              <w:rPr>
                <w:lang w:val="en-GB"/>
              </w:rPr>
            </w:pPr>
            <w:r w:rsidRPr="000A2F28">
              <w:rPr>
                <w:rFonts w:eastAsia="Segoe UI"/>
                <w:lang w:val="en-GB"/>
              </w:rPr>
              <w:t>National Minimum Dataset</w:t>
            </w:r>
          </w:p>
        </w:tc>
      </w:tr>
      <w:tr w:rsidR="001D3E9B" w14:paraId="4C38C9F0" w14:textId="77777777" w:rsidTr="00F43505">
        <w:tc>
          <w:tcPr>
            <w:tcW w:w="4034" w:type="dxa"/>
          </w:tcPr>
          <w:p w14:paraId="3820F42D" w14:textId="77777777" w:rsidR="001D3E9B" w:rsidRDefault="001D3E9B" w:rsidP="00F43505">
            <w:pPr>
              <w:rPr>
                <w:lang w:val="en-GB"/>
              </w:rPr>
            </w:pPr>
            <w:r>
              <w:rPr>
                <w:lang w:val="en-GB"/>
              </w:rPr>
              <w:t>PCR</w:t>
            </w:r>
          </w:p>
        </w:tc>
        <w:tc>
          <w:tcPr>
            <w:tcW w:w="4035" w:type="dxa"/>
          </w:tcPr>
          <w:p w14:paraId="63443F2F" w14:textId="77777777" w:rsidR="001D3E9B" w:rsidRDefault="001D3E9B" w:rsidP="00F43505">
            <w:pPr>
              <w:rPr>
                <w:lang w:val="en-GB"/>
              </w:rPr>
            </w:pPr>
            <w:r>
              <w:rPr>
                <w:lang w:val="en-GB"/>
              </w:rPr>
              <w:t>Polymerase Chain Reaction</w:t>
            </w:r>
          </w:p>
        </w:tc>
      </w:tr>
      <w:tr w:rsidR="001D3E9B" w14:paraId="466268A5" w14:textId="77777777" w:rsidTr="00F43505">
        <w:tc>
          <w:tcPr>
            <w:tcW w:w="4034" w:type="dxa"/>
          </w:tcPr>
          <w:p w14:paraId="39A7CA30" w14:textId="77777777" w:rsidR="001D3E9B" w:rsidRDefault="001D3E9B" w:rsidP="00F43505">
            <w:pPr>
              <w:rPr>
                <w:lang w:val="en-GB"/>
              </w:rPr>
            </w:pPr>
            <w:r>
              <w:rPr>
                <w:lang w:val="en-GB"/>
              </w:rPr>
              <w:t>WGS</w:t>
            </w:r>
          </w:p>
        </w:tc>
        <w:tc>
          <w:tcPr>
            <w:tcW w:w="4035" w:type="dxa"/>
          </w:tcPr>
          <w:p w14:paraId="750470A5" w14:textId="77777777" w:rsidR="001D3E9B" w:rsidRDefault="001D3E9B" w:rsidP="00F43505">
            <w:pPr>
              <w:rPr>
                <w:lang w:val="en-GB"/>
              </w:rPr>
            </w:pPr>
            <w:r>
              <w:rPr>
                <w:lang w:val="en-GB"/>
              </w:rPr>
              <w:t xml:space="preserve">Whole Genome Sequencing  </w:t>
            </w:r>
          </w:p>
        </w:tc>
      </w:tr>
    </w:tbl>
    <w:p w14:paraId="485561C6" w14:textId="77777777" w:rsidR="001D3E9B" w:rsidRDefault="001D3E9B" w:rsidP="001D3E9B">
      <w:pPr>
        <w:rPr>
          <w:lang w:val="en-GB"/>
        </w:rPr>
      </w:pPr>
    </w:p>
    <w:p w14:paraId="0E94CEFC" w14:textId="77777777" w:rsidR="001D3E9B" w:rsidRPr="00B45C58" w:rsidRDefault="001D3E9B" w:rsidP="001D3E9B">
      <w:pPr>
        <w:pStyle w:val="Heading2"/>
        <w:rPr>
          <w:lang w:val="en-GB"/>
        </w:rPr>
      </w:pPr>
      <w:r w:rsidRPr="00B45C58">
        <w:rPr>
          <w:lang w:val="en-GB"/>
        </w:rPr>
        <w:t>Acknowledgements</w:t>
      </w:r>
      <w:bookmarkStart w:id="1" w:name="_Toc114562049"/>
      <w:r>
        <w:rPr>
          <w:lang w:val="en-GB"/>
        </w:rPr>
        <w:t xml:space="preserve"> and </w:t>
      </w:r>
      <w:r w:rsidRPr="000A2F28">
        <w:rPr>
          <w:rFonts w:eastAsia="Calibri Light"/>
          <w:lang w:val="en-GB" w:eastAsia="en-US"/>
        </w:rPr>
        <w:t>Data Sources</w:t>
      </w:r>
      <w:bookmarkEnd w:id="1"/>
    </w:p>
    <w:p w14:paraId="7DD55C28" w14:textId="77777777" w:rsidR="001D3E9B" w:rsidRPr="000A2F28" w:rsidRDefault="001D3E9B" w:rsidP="001D3E9B">
      <w:pPr>
        <w:pStyle w:val="Heading3"/>
        <w:rPr>
          <w:rFonts w:eastAsia="Calibri Light"/>
          <w:lang w:val="en-GB"/>
        </w:rPr>
      </w:pPr>
      <w:r w:rsidRPr="000A2F28">
        <w:rPr>
          <w:rFonts w:eastAsia="Calibri Light"/>
          <w:lang w:val="en-GB"/>
        </w:rPr>
        <w:t>Community Cases</w:t>
      </w:r>
    </w:p>
    <w:p w14:paraId="7D3D56B9" w14:textId="77777777" w:rsidR="001D3E9B" w:rsidRPr="000A2F28" w:rsidRDefault="001D3E9B" w:rsidP="001D3E9B">
      <w:pPr>
        <w:rPr>
          <w:rFonts w:eastAsia="Calibri Light" w:cs="Segoe UI"/>
          <w:lang w:val="en-GB"/>
        </w:rPr>
      </w:pPr>
      <w:r w:rsidRPr="000A2F28">
        <w:rPr>
          <w:rFonts w:eastAsia="Calibri Light" w:cs="Segoe UI"/>
          <w:lang w:val="en-GB"/>
        </w:rPr>
        <w:t xml:space="preserve">Data on community cases are sourced from a combination of the National Contact Tracing Service (NCTS) and </w:t>
      </w:r>
      <w:proofErr w:type="spellStart"/>
      <w:r w:rsidRPr="000A2F28">
        <w:rPr>
          <w:rFonts w:eastAsia="Calibri Light" w:cs="Segoe UI"/>
          <w:lang w:val="en-GB"/>
        </w:rPr>
        <w:t>EpiSurv</w:t>
      </w:r>
      <w:proofErr w:type="spellEnd"/>
      <w:r w:rsidRPr="000A2F28">
        <w:rPr>
          <w:rFonts w:eastAsia="Calibri Light" w:cs="Segoe UI"/>
          <w:lang w:val="en-GB"/>
        </w:rPr>
        <w:t xml:space="preserve"> (New Zealand’s public health surveillance platform). </w:t>
      </w:r>
    </w:p>
    <w:p w14:paraId="35350280" w14:textId="77777777" w:rsidR="001D3E9B" w:rsidRPr="000A2F28" w:rsidRDefault="001D3E9B" w:rsidP="001D3E9B">
      <w:pPr>
        <w:pStyle w:val="Heading3"/>
        <w:rPr>
          <w:rFonts w:eastAsia="Calibri Light"/>
          <w:lang w:val="en-GB"/>
        </w:rPr>
      </w:pPr>
      <w:r w:rsidRPr="000A2F28">
        <w:rPr>
          <w:rFonts w:eastAsia="Calibri Light"/>
          <w:lang w:val="en-GB"/>
        </w:rPr>
        <w:t>Whole Genome Sequencing (WGS)</w:t>
      </w:r>
    </w:p>
    <w:p w14:paraId="4DADB5C0" w14:textId="77777777" w:rsidR="001D3E9B" w:rsidRPr="000A2F28" w:rsidRDefault="001D3E9B" w:rsidP="001D3E9B">
      <w:pPr>
        <w:rPr>
          <w:rFonts w:eastAsia="Calibri Light" w:cs="Segoe UI"/>
          <w:lang w:val="en-GB"/>
        </w:rPr>
      </w:pPr>
      <w:r w:rsidRPr="6B24E297">
        <w:rPr>
          <w:rFonts w:eastAsia="Calibri Light" w:cs="Segoe UI"/>
          <w:lang w:val="en-GB"/>
        </w:rPr>
        <w:t xml:space="preserve">All information on WGS is sourced from the ESR COVID-19 Genomics Insights (CGI) Report, a weekly overview of SARS-CoV-2 genomic surveillance across the country. </w:t>
      </w:r>
    </w:p>
    <w:p w14:paraId="2EAE7F59" w14:textId="6F275BBE" w:rsidR="001D3E9B" w:rsidRDefault="0E2503CB" w:rsidP="001D3E9B">
      <w:pPr>
        <w:pStyle w:val="Heading3"/>
        <w:rPr>
          <w:rFonts w:eastAsia="Calibri Light"/>
          <w:lang w:val="en-GB"/>
        </w:rPr>
      </w:pPr>
      <w:r w:rsidRPr="6B24E297">
        <w:rPr>
          <w:rFonts w:eastAsia="Calibri Light"/>
          <w:lang w:val="en-GB"/>
        </w:rPr>
        <w:t>Modelling</w:t>
      </w:r>
    </w:p>
    <w:p w14:paraId="22E5CC01" w14:textId="17F5F6A8" w:rsidR="7CB04AE3" w:rsidRDefault="7CB04AE3" w:rsidP="6B24E297">
      <w:pPr>
        <w:spacing w:line="257" w:lineRule="auto"/>
        <w:jc w:val="both"/>
        <w:rPr>
          <w:rFonts w:ascii="Calibri" w:eastAsia="Calibri" w:hAnsi="Calibri" w:cs="Calibri"/>
          <w:sz w:val="22"/>
          <w:szCs w:val="22"/>
          <w:lang w:val="en-GB"/>
        </w:rPr>
      </w:pPr>
      <w:r w:rsidRPr="6B24E297">
        <w:rPr>
          <w:rFonts w:ascii="Calibri" w:eastAsia="Calibri" w:hAnsi="Calibri" w:cs="Calibri"/>
          <w:sz w:val="22"/>
          <w:szCs w:val="22"/>
          <w:lang w:val="en-GB"/>
        </w:rPr>
        <w:t>The baseline model has been updated to include a fit to more recent data, especially to capture the impact of changes to public health measures on 12th September 2022 and the impact of new variants. The baseline model uses 22</w:t>
      </w:r>
      <w:proofErr w:type="gramStart"/>
      <w:r w:rsidRPr="6B24E297">
        <w:rPr>
          <w:rFonts w:ascii="Calibri" w:eastAsia="Calibri" w:hAnsi="Calibri" w:cs="Calibri"/>
          <w:sz w:val="22"/>
          <w:szCs w:val="22"/>
          <w:vertAlign w:val="superscript"/>
          <w:lang w:val="en-GB"/>
        </w:rPr>
        <w:t>nd</w:t>
      </w:r>
      <w:r w:rsidRPr="6B24E297">
        <w:rPr>
          <w:rFonts w:ascii="Calibri" w:eastAsia="Calibri" w:hAnsi="Calibri" w:cs="Calibri"/>
          <w:sz w:val="22"/>
          <w:szCs w:val="22"/>
          <w:lang w:val="en-GB"/>
        </w:rPr>
        <w:t xml:space="preserve">  November</w:t>
      </w:r>
      <w:proofErr w:type="gramEnd"/>
      <w:r w:rsidRPr="6B24E297">
        <w:rPr>
          <w:rFonts w:ascii="Calibri" w:eastAsia="Calibri" w:hAnsi="Calibri" w:cs="Calibri"/>
          <w:sz w:val="22"/>
          <w:szCs w:val="22"/>
          <w:lang w:val="en-GB"/>
        </w:rPr>
        <w:t xml:space="preserve"> 2022 as the transition date where the previous variant BA.5, loses its dominance in the variant profile in the community. </w:t>
      </w:r>
      <w:r w:rsidRPr="6B24E297">
        <w:rPr>
          <w:rFonts w:ascii="Calibri" w:eastAsia="Calibri" w:hAnsi="Calibri" w:cs="Calibri"/>
          <w:color w:val="333333"/>
          <w:sz w:val="22"/>
          <w:szCs w:val="22"/>
          <w:lang w:val="en-GB"/>
        </w:rPr>
        <w:t xml:space="preserve">It is replaced by a new </w:t>
      </w:r>
      <w:proofErr w:type="spellStart"/>
      <w:r w:rsidRPr="6B24E297">
        <w:rPr>
          <w:rFonts w:ascii="Calibri" w:eastAsia="Calibri" w:hAnsi="Calibri" w:cs="Calibri"/>
          <w:color w:val="333333"/>
          <w:sz w:val="22"/>
          <w:szCs w:val="22"/>
          <w:lang w:val="en-GB"/>
        </w:rPr>
        <w:t>VoC</w:t>
      </w:r>
      <w:proofErr w:type="spellEnd"/>
      <w:r w:rsidRPr="6B24E297">
        <w:rPr>
          <w:rFonts w:ascii="Calibri" w:eastAsia="Calibri" w:hAnsi="Calibri" w:cs="Calibri"/>
          <w:color w:val="333333"/>
          <w:sz w:val="22"/>
          <w:szCs w:val="22"/>
          <w:lang w:val="en-GB"/>
        </w:rPr>
        <w:t xml:space="preserve"> </w:t>
      </w:r>
      <w:r w:rsidRPr="6B24E297">
        <w:rPr>
          <w:rFonts w:ascii="Calibri" w:eastAsia="Calibri" w:hAnsi="Calibri" w:cs="Calibri"/>
          <w:sz w:val="22"/>
          <w:szCs w:val="22"/>
          <w:lang w:val="en-GB"/>
        </w:rPr>
        <w:t xml:space="preserve">with an increased ability to evade immunity from both vaccination and prior infection. The increase in immunity evasion is assumed to be </w:t>
      </w:r>
      <w:proofErr w:type="gramStart"/>
      <w:r w:rsidRPr="6B24E297">
        <w:rPr>
          <w:rFonts w:ascii="Calibri" w:eastAsia="Calibri" w:hAnsi="Calibri" w:cs="Calibri"/>
          <w:sz w:val="22"/>
          <w:szCs w:val="22"/>
          <w:lang w:val="en-GB"/>
        </w:rPr>
        <w:t>similar to</w:t>
      </w:r>
      <w:proofErr w:type="gramEnd"/>
      <w:r w:rsidRPr="6B24E297">
        <w:rPr>
          <w:rFonts w:ascii="Calibri" w:eastAsia="Calibri" w:hAnsi="Calibri" w:cs="Calibri"/>
          <w:sz w:val="22"/>
          <w:szCs w:val="22"/>
          <w:lang w:val="en-GB"/>
        </w:rPr>
        <w:t xml:space="preserve"> in magnitude to what was observed in June and July 2022 with the change in variant from BA.1/BA.2 to BA.4/BA.5.</w:t>
      </w:r>
    </w:p>
    <w:p w14:paraId="349DDEDB" w14:textId="581DBD48" w:rsidR="6B24E297" w:rsidRDefault="6B24E297" w:rsidP="6B24E297">
      <w:pPr>
        <w:spacing w:line="257" w:lineRule="auto"/>
        <w:jc w:val="both"/>
        <w:rPr>
          <w:rFonts w:ascii="Calibri" w:eastAsia="Calibri" w:hAnsi="Calibri" w:cs="Calibri"/>
          <w:sz w:val="22"/>
          <w:szCs w:val="22"/>
          <w:lang w:val="en-GB"/>
        </w:rPr>
      </w:pPr>
    </w:p>
    <w:p w14:paraId="050214AB" w14:textId="05FD5B92" w:rsidR="6B24E297" w:rsidRDefault="6B24E297" w:rsidP="6B24E297">
      <w:pPr>
        <w:spacing w:line="257" w:lineRule="auto"/>
        <w:jc w:val="both"/>
        <w:rPr>
          <w:rFonts w:ascii="Calibri" w:eastAsia="Calibri" w:hAnsi="Calibri" w:cs="Calibri"/>
          <w:sz w:val="22"/>
          <w:szCs w:val="22"/>
          <w:lang w:val="en-GB"/>
        </w:rPr>
      </w:pPr>
    </w:p>
    <w:p w14:paraId="521A9AA7" w14:textId="3BEE2319" w:rsidR="75649CB6" w:rsidRDefault="75649CB6" w:rsidP="6B24E297">
      <w:pPr>
        <w:spacing w:line="257" w:lineRule="auto"/>
        <w:jc w:val="both"/>
      </w:pPr>
      <w:r w:rsidRPr="6B24E297">
        <w:rPr>
          <w:rFonts w:ascii="Calibri" w:eastAsia="Calibri" w:hAnsi="Calibri" w:cs="Calibri"/>
          <w:sz w:val="22"/>
          <w:szCs w:val="22"/>
          <w:lang w:val="en-GB"/>
        </w:rPr>
        <w:t xml:space="preserve">Modelling uses </w:t>
      </w:r>
      <w:r w:rsidR="2159F0DE" w:rsidRPr="6B24E297">
        <w:rPr>
          <w:rFonts w:ascii="Calibri" w:eastAsia="Calibri" w:hAnsi="Calibri" w:cs="Calibri"/>
          <w:sz w:val="22"/>
          <w:szCs w:val="22"/>
          <w:lang w:val="en-GB"/>
        </w:rPr>
        <w:t>many</w:t>
      </w:r>
      <w:r w:rsidRPr="6B24E297">
        <w:rPr>
          <w:rFonts w:ascii="Calibri" w:eastAsia="Calibri" w:hAnsi="Calibri" w:cs="Calibri"/>
          <w:sz w:val="22"/>
          <w:szCs w:val="22"/>
          <w:lang w:val="en-GB"/>
        </w:rPr>
        <w:t xml:space="preserve"> assumptions that are important to keep in mind:</w:t>
      </w:r>
    </w:p>
    <w:p w14:paraId="751D65A7" w14:textId="1792C7D2" w:rsidR="75649CB6" w:rsidRDefault="75649CB6" w:rsidP="6B24E297">
      <w:pPr>
        <w:pStyle w:val="ListParagraph"/>
        <w:numPr>
          <w:ilvl w:val="0"/>
          <w:numId w:val="2"/>
        </w:numPr>
        <w:rPr>
          <w:rFonts w:ascii="Segoe UI" w:eastAsia="Segoe UI" w:hAnsi="Segoe UI" w:cs="Segoe UI"/>
          <w:sz w:val="21"/>
          <w:szCs w:val="21"/>
          <w:lang w:val="en-GB"/>
        </w:rPr>
      </w:pPr>
      <w:r w:rsidRPr="6B24E297">
        <w:rPr>
          <w:rFonts w:ascii="Segoe UI" w:eastAsia="Segoe UI" w:hAnsi="Segoe UI" w:cs="Segoe UI"/>
          <w:b/>
          <w:bCs/>
          <w:sz w:val="21"/>
          <w:szCs w:val="21"/>
          <w:lang w:val="en-GB"/>
        </w:rPr>
        <w:t xml:space="preserve">The model assumes no new variants occurring in the future. </w:t>
      </w:r>
      <w:r w:rsidRPr="6B24E297">
        <w:rPr>
          <w:rFonts w:ascii="Segoe UI" w:eastAsia="Segoe UI" w:hAnsi="Segoe UI" w:cs="Segoe UI"/>
          <w:sz w:val="21"/>
          <w:szCs w:val="21"/>
          <w:lang w:val="en-GB"/>
        </w:rPr>
        <w:t xml:space="preserve">Beyond November, simulations do not account for new variants of concern or their potential impact on cases, </w:t>
      </w:r>
      <w:proofErr w:type="gramStart"/>
      <w:r w:rsidRPr="6B24E297">
        <w:rPr>
          <w:rFonts w:ascii="Segoe UI" w:eastAsia="Segoe UI" w:hAnsi="Segoe UI" w:cs="Segoe UI"/>
          <w:sz w:val="21"/>
          <w:szCs w:val="21"/>
          <w:lang w:val="en-GB"/>
        </w:rPr>
        <w:t>hospitalisations</w:t>
      </w:r>
      <w:proofErr w:type="gramEnd"/>
      <w:r w:rsidRPr="6B24E297">
        <w:rPr>
          <w:rFonts w:ascii="Segoe UI" w:eastAsia="Segoe UI" w:hAnsi="Segoe UI" w:cs="Segoe UI"/>
          <w:sz w:val="21"/>
          <w:szCs w:val="21"/>
          <w:lang w:val="en-GB"/>
        </w:rPr>
        <w:t xml:space="preserve"> and deaths. </w:t>
      </w:r>
    </w:p>
    <w:p w14:paraId="431F81D8" w14:textId="5569FE0B" w:rsidR="75649CB6" w:rsidRDefault="75649CB6" w:rsidP="6B24E297">
      <w:pPr>
        <w:pStyle w:val="ListParagraph"/>
        <w:numPr>
          <w:ilvl w:val="0"/>
          <w:numId w:val="2"/>
        </w:numPr>
        <w:rPr>
          <w:rFonts w:ascii="Segoe UI" w:eastAsia="Segoe UI" w:hAnsi="Segoe UI" w:cs="Segoe UI"/>
          <w:sz w:val="21"/>
          <w:szCs w:val="21"/>
          <w:lang w:val="en-GB"/>
        </w:rPr>
      </w:pPr>
      <w:r w:rsidRPr="6B24E297">
        <w:rPr>
          <w:rFonts w:ascii="Segoe UI" w:eastAsia="Segoe UI" w:hAnsi="Segoe UI" w:cs="Segoe UI"/>
          <w:b/>
          <w:bCs/>
          <w:sz w:val="21"/>
          <w:szCs w:val="21"/>
          <w:lang w:val="en-GB"/>
        </w:rPr>
        <w:t>Peaks and troughs assumptions.</w:t>
      </w:r>
      <w:r w:rsidRPr="6B24E297">
        <w:rPr>
          <w:rFonts w:ascii="Segoe UI" w:eastAsia="Segoe UI" w:hAnsi="Segoe UI" w:cs="Segoe UI"/>
          <w:sz w:val="21"/>
          <w:szCs w:val="21"/>
          <w:lang w:val="en-GB"/>
        </w:rPr>
        <w:t xml:space="preserve"> Because this is a single national model, it may not capture the different size, </w:t>
      </w:r>
      <w:proofErr w:type="gramStart"/>
      <w:r w:rsidRPr="6B24E297">
        <w:rPr>
          <w:rFonts w:ascii="Segoe UI" w:eastAsia="Segoe UI" w:hAnsi="Segoe UI" w:cs="Segoe UI"/>
          <w:sz w:val="21"/>
          <w:szCs w:val="21"/>
          <w:lang w:val="en-GB"/>
        </w:rPr>
        <w:t>shape</w:t>
      </w:r>
      <w:proofErr w:type="gramEnd"/>
      <w:r w:rsidRPr="6B24E297">
        <w:rPr>
          <w:rFonts w:ascii="Segoe UI" w:eastAsia="Segoe UI" w:hAnsi="Segoe UI" w:cs="Segoe UI"/>
          <w:sz w:val="21"/>
          <w:szCs w:val="21"/>
          <w:lang w:val="en-GB"/>
        </w:rPr>
        <w:t xml:space="preserve"> and timing of peaks at a district or regional level. Therefore, the model may overestimate peaks and underestimate troughs, if outbreaks in different population groups are not aligned.</w:t>
      </w:r>
    </w:p>
    <w:p w14:paraId="53417AE1" w14:textId="5D775F65" w:rsidR="75649CB6" w:rsidRDefault="75649CB6" w:rsidP="6B24E297">
      <w:pPr>
        <w:pStyle w:val="ListParagraph"/>
        <w:numPr>
          <w:ilvl w:val="0"/>
          <w:numId w:val="2"/>
        </w:numPr>
        <w:rPr>
          <w:rFonts w:ascii="Segoe UI" w:eastAsia="Segoe UI" w:hAnsi="Segoe UI" w:cs="Segoe UI"/>
          <w:sz w:val="21"/>
          <w:szCs w:val="21"/>
          <w:lang w:val="en-GB"/>
        </w:rPr>
      </w:pPr>
      <w:r w:rsidRPr="6B24E297">
        <w:rPr>
          <w:rFonts w:ascii="Segoe UI" w:eastAsia="Segoe UI" w:hAnsi="Segoe UI" w:cs="Segoe UI"/>
          <w:b/>
          <w:bCs/>
          <w:sz w:val="21"/>
          <w:szCs w:val="21"/>
          <w:lang w:val="en-GB"/>
        </w:rPr>
        <w:t xml:space="preserve">Uncertainty around modelled estimates. </w:t>
      </w:r>
      <w:r w:rsidRPr="6B24E297">
        <w:rPr>
          <w:rFonts w:ascii="Segoe UI" w:eastAsia="Segoe UI" w:hAnsi="Segoe UI" w:cs="Segoe UI"/>
          <w:sz w:val="21"/>
          <w:szCs w:val="21"/>
          <w:lang w:val="en-GB"/>
        </w:rPr>
        <w:t xml:space="preserve">The provides credible intervals around estimates of cases, </w:t>
      </w:r>
      <w:proofErr w:type="gramStart"/>
      <w:r w:rsidRPr="6B24E297">
        <w:rPr>
          <w:rFonts w:ascii="Segoe UI" w:eastAsia="Segoe UI" w:hAnsi="Segoe UI" w:cs="Segoe UI"/>
          <w:sz w:val="21"/>
          <w:szCs w:val="21"/>
          <w:lang w:val="en-GB"/>
        </w:rPr>
        <w:t>hospitalisations</w:t>
      </w:r>
      <w:proofErr w:type="gramEnd"/>
      <w:r w:rsidRPr="6B24E297">
        <w:rPr>
          <w:rFonts w:ascii="Segoe UI" w:eastAsia="Segoe UI" w:hAnsi="Segoe UI" w:cs="Segoe UI"/>
          <w:sz w:val="21"/>
          <w:szCs w:val="21"/>
          <w:lang w:val="en-GB"/>
        </w:rPr>
        <w:t xml:space="preserve"> and deaths. This range reflects unknowns such as the share of infections detected and the speed of waning immunity. The model is fit to data up to 15th November 2022, which reduces some of this uncertainty.</w:t>
      </w:r>
    </w:p>
    <w:p w14:paraId="79539FB4" w14:textId="1C7071B6" w:rsidR="76EBE5FB" w:rsidRDefault="76EBE5FB" w:rsidP="6B24E297">
      <w:pPr>
        <w:pStyle w:val="ListParagraph"/>
        <w:numPr>
          <w:ilvl w:val="0"/>
          <w:numId w:val="2"/>
        </w:numPr>
        <w:rPr>
          <w:lang w:val="en-GB"/>
        </w:rPr>
      </w:pPr>
      <w:r w:rsidRPr="6B24E297">
        <w:rPr>
          <w:rFonts w:ascii="Calibri" w:eastAsia="Calibri" w:hAnsi="Calibri" w:cs="Calibri"/>
          <w:b/>
          <w:bCs/>
          <w:sz w:val="22"/>
          <w:lang w:val="en-GB"/>
        </w:rPr>
        <w:t>4</w:t>
      </w:r>
      <w:r w:rsidRPr="6B24E297">
        <w:rPr>
          <w:rFonts w:ascii="Calibri" w:eastAsia="Calibri" w:hAnsi="Calibri" w:cs="Calibri"/>
          <w:b/>
          <w:bCs/>
          <w:sz w:val="22"/>
          <w:vertAlign w:val="superscript"/>
          <w:lang w:val="en-GB"/>
        </w:rPr>
        <w:t>th</w:t>
      </w:r>
      <w:r w:rsidRPr="6B24E297">
        <w:rPr>
          <w:rFonts w:ascii="Calibri" w:eastAsia="Calibri" w:hAnsi="Calibri" w:cs="Calibri"/>
          <w:b/>
          <w:bCs/>
          <w:sz w:val="22"/>
          <w:lang w:val="en-GB"/>
        </w:rPr>
        <w:t xml:space="preserve"> Booster and antivirals</w:t>
      </w:r>
      <w:r w:rsidRPr="6B24E297">
        <w:rPr>
          <w:rFonts w:ascii="Calibri" w:eastAsia="Calibri" w:hAnsi="Calibri" w:cs="Calibri"/>
          <w:sz w:val="22"/>
          <w:lang w:val="en-GB"/>
        </w:rPr>
        <w:t>. The model assumes no fourth dose rollout to those aged under 50. And does not include the impact of antivirals on hospitalisation and mortality rates.</w:t>
      </w:r>
    </w:p>
    <w:p w14:paraId="0477364C" w14:textId="5BFB5C9A" w:rsidR="6B24E297" w:rsidRDefault="6B24E297" w:rsidP="6B24E297">
      <w:pPr>
        <w:rPr>
          <w:lang w:val="en-GB"/>
        </w:rPr>
      </w:pPr>
    </w:p>
    <w:p w14:paraId="32065D3C" w14:textId="097027AB" w:rsidR="001D3E9B" w:rsidRPr="000A2F28" w:rsidRDefault="001D3E9B" w:rsidP="001D3E9B">
      <w:pPr>
        <w:pStyle w:val="Heading3"/>
        <w:rPr>
          <w:rFonts w:eastAsia="Calibri Light"/>
          <w:lang w:val="en-GB"/>
        </w:rPr>
      </w:pPr>
      <w:r w:rsidRPr="6B24E297">
        <w:rPr>
          <w:rFonts w:eastAsia="Calibri Light"/>
          <w:lang w:val="en-GB"/>
        </w:rPr>
        <w:t>Wastewater quantification</w:t>
      </w:r>
    </w:p>
    <w:p w14:paraId="3933A2BC" w14:textId="77777777" w:rsidR="001D3E9B" w:rsidRPr="000A2F28" w:rsidRDefault="001D3E9B" w:rsidP="001D3E9B">
      <w:pPr>
        <w:rPr>
          <w:rFonts w:eastAsia="Calibri Light" w:cs="Segoe UI"/>
          <w:lang w:val="en-GB"/>
        </w:rPr>
      </w:pPr>
      <w:r w:rsidRPr="000A2F28">
        <w:rPr>
          <w:rFonts w:eastAsia="Segoe UI" w:cs="Segoe UI"/>
          <w:lang w:val="en-GB"/>
        </w:rPr>
        <w:t xml:space="preserve">Wastewater quantitation is a measure of the levels of virus circulating in the community. Because infectious individuals tend to shed vastly more viral particles than non-infectious individuals (particularly </w:t>
      </w:r>
      <w:proofErr w:type="gramStart"/>
      <w:r w:rsidRPr="000A2F28">
        <w:rPr>
          <w:rFonts w:eastAsia="Segoe UI" w:cs="Segoe UI"/>
          <w:lang w:val="en-GB"/>
        </w:rPr>
        <w:t>later on</w:t>
      </w:r>
      <w:proofErr w:type="gramEnd"/>
      <w:r w:rsidRPr="000A2F28">
        <w:rPr>
          <w:rFonts w:eastAsia="Segoe UI" w:cs="Segoe UI"/>
          <w:lang w:val="en-GB"/>
        </w:rPr>
        <w:t xml:space="preserve"> in the infection), the wastewater quantitation results are driven largely by infectious individuals, in the first 5-6 days of their infection.</w:t>
      </w:r>
      <w:r w:rsidRPr="000A2F28">
        <w:rPr>
          <w:rFonts w:eastAsia="Calibri Light" w:cs="Segoe UI"/>
          <w:lang w:val="en-GB"/>
        </w:rPr>
        <w:t xml:space="preserve"> Although people can shed detectable virus for some weeks that can be detected by PCR testing, these individuals are unlikely to have a large impact on the quantitation curves. </w:t>
      </w:r>
    </w:p>
    <w:p w14:paraId="0CF6DB45" w14:textId="77777777" w:rsidR="001D3E9B" w:rsidRPr="000A2F28" w:rsidRDefault="001D3E9B" w:rsidP="001D3E9B">
      <w:pPr>
        <w:rPr>
          <w:rFonts w:eastAsia="Segoe UI" w:cs="Segoe UI"/>
          <w:lang w:val="en-GB"/>
        </w:rPr>
      </w:pPr>
    </w:p>
    <w:p w14:paraId="754698CA" w14:textId="77777777" w:rsidR="001D3E9B" w:rsidRPr="000A2F28" w:rsidRDefault="001D3E9B" w:rsidP="001D3E9B">
      <w:pPr>
        <w:rPr>
          <w:rFonts w:eastAsia="Calibri Light" w:cs="Segoe UI"/>
          <w:lang w:val="en-GB"/>
        </w:rPr>
      </w:pPr>
      <w:r w:rsidRPr="000A2F28">
        <w:rPr>
          <w:rFonts w:eastAsia="Calibri Light" w:cs="Segoe UI"/>
          <w:lang w:val="en-GB"/>
        </w:rPr>
        <w:t xml:space="preserve">Wastewater is analysed by ESR’s </w:t>
      </w:r>
      <w:proofErr w:type="spellStart"/>
      <w:r w:rsidRPr="000A2F28">
        <w:rPr>
          <w:rFonts w:eastAsia="Calibri Light" w:cs="Segoe UI"/>
          <w:lang w:val="en-GB"/>
        </w:rPr>
        <w:t>Kenepuru</w:t>
      </w:r>
      <w:proofErr w:type="spellEnd"/>
      <w:r w:rsidRPr="000A2F28">
        <w:rPr>
          <w:rFonts w:eastAsia="Calibri Light" w:cs="Segoe UI"/>
          <w:lang w:val="en-GB"/>
        </w:rPr>
        <w:t xml:space="preserve"> and Christchurch Laboratories.</w:t>
      </w:r>
    </w:p>
    <w:p w14:paraId="30607C76" w14:textId="77777777" w:rsidR="001D3E9B" w:rsidRPr="000A2F28" w:rsidRDefault="001D3E9B" w:rsidP="001D3E9B">
      <w:pPr>
        <w:rPr>
          <w:rFonts w:eastAsia="Calibri Light"/>
          <w:lang w:val="en-GB" w:eastAsia="en-US"/>
        </w:rPr>
      </w:pPr>
    </w:p>
    <w:p w14:paraId="0093971C" w14:textId="77777777" w:rsidR="001D3E9B" w:rsidRPr="000A2F28" w:rsidRDefault="001D3E9B" w:rsidP="001D3E9B">
      <w:pPr>
        <w:rPr>
          <w:rFonts w:eastAsia="Calibri Light"/>
          <w:lang w:val="en-GB" w:eastAsia="en-US"/>
        </w:rPr>
      </w:pPr>
    </w:p>
    <w:p w14:paraId="3918B14A" w14:textId="77777777" w:rsidR="001D3E9B" w:rsidRPr="000A2F28" w:rsidRDefault="001D3E9B" w:rsidP="001D3E9B">
      <w:pPr>
        <w:rPr>
          <w:rFonts w:eastAsia="Calibri Light"/>
          <w:lang w:val="en-GB" w:eastAsia="en-US"/>
        </w:rPr>
        <w:sectPr w:rsidR="001D3E9B" w:rsidRPr="000A2F28" w:rsidSect="006476F2">
          <w:headerReference w:type="even" r:id="rId8"/>
          <w:headerReference w:type="default" r:id="rId9"/>
          <w:footerReference w:type="even" r:id="rId10"/>
          <w:footerReference w:type="default" r:id="rId11"/>
          <w:pgSz w:w="11907" w:h="16834" w:code="9"/>
          <w:pgMar w:top="1418" w:right="1701" w:bottom="1134" w:left="1843" w:header="284" w:footer="425" w:gutter="284"/>
          <w:cols w:space="720"/>
          <w:docGrid w:linePitch="286"/>
        </w:sectPr>
      </w:pPr>
    </w:p>
    <w:p w14:paraId="03562C7E" w14:textId="77777777" w:rsidR="001D3E9B" w:rsidRPr="000A2F28" w:rsidRDefault="001D3E9B" w:rsidP="001D3E9B">
      <w:pPr>
        <w:pStyle w:val="Heading2"/>
        <w:rPr>
          <w:rFonts w:eastAsia="Calibri Light"/>
          <w:i/>
          <w:lang w:val="en-GB"/>
        </w:rPr>
      </w:pPr>
      <w:bookmarkStart w:id="2" w:name="_Toc114562050"/>
      <w:r w:rsidRPr="000A2F28">
        <w:rPr>
          <w:rFonts w:eastAsia="Calibri Light"/>
          <w:lang w:val="en-GB" w:eastAsia="en-US"/>
        </w:rPr>
        <w:lastRenderedPageBreak/>
        <w:t>Data limitations</w:t>
      </w:r>
      <w:bookmarkEnd w:id="2"/>
    </w:p>
    <w:p w14:paraId="1BF59D17" w14:textId="77777777" w:rsidR="001D3E9B" w:rsidRPr="000A2F28" w:rsidRDefault="001D3E9B" w:rsidP="001D3E9B">
      <w:pPr>
        <w:pStyle w:val="Heading3"/>
        <w:rPr>
          <w:rFonts w:eastAsia="Calibri Light"/>
          <w:lang w:val="en-GB"/>
        </w:rPr>
      </w:pPr>
      <w:r w:rsidRPr="6B24E297">
        <w:rPr>
          <w:rFonts w:eastAsia="Calibri Light"/>
          <w:lang w:val="en-GB"/>
        </w:rPr>
        <w:t>Prevalence estimates based on routinely tested populations</w:t>
      </w:r>
    </w:p>
    <w:p w14:paraId="3898417D" w14:textId="77777777" w:rsidR="001D3E9B" w:rsidRPr="000A2F28" w:rsidRDefault="001D3E9B" w:rsidP="001D3E9B">
      <w:pPr>
        <w:pStyle w:val="Bullet"/>
        <w:rPr>
          <w:rFonts w:eastAsia="Calibri Light"/>
          <w:lang w:val="en-GB"/>
        </w:rPr>
      </w:pPr>
      <w:r w:rsidRPr="000A2F28">
        <w:rPr>
          <w:rFonts w:eastAsia="Calibri Light"/>
          <w:lang w:val="en-GB"/>
        </w:rPr>
        <w:t>The groups of routine testers that have been identified (healthcare, border and emergency workers, and hospital inpatients) are not a representative sample of New Zealanders, overall, they are higher risk of COVID-19 infection than the general population.</w:t>
      </w:r>
    </w:p>
    <w:p w14:paraId="441532D9" w14:textId="77777777" w:rsidR="001D3E9B" w:rsidRPr="000A2F28" w:rsidRDefault="001D3E9B" w:rsidP="001D3E9B">
      <w:pPr>
        <w:pStyle w:val="Bullet"/>
        <w:rPr>
          <w:rFonts w:eastAsia="Calibri Light"/>
          <w:lang w:val="en-GB"/>
        </w:rPr>
      </w:pPr>
      <w:r w:rsidRPr="000A2F28">
        <w:rPr>
          <w:rFonts w:eastAsia="Calibri Light"/>
          <w:lang w:val="en-GB"/>
        </w:rPr>
        <w:t xml:space="preserve">The identification of these groups at a national level is based on surveillance codes, which may not be completed accurately, particularly since the introduction of RAT testing. </w:t>
      </w:r>
    </w:p>
    <w:p w14:paraId="7C4C91E2" w14:textId="77777777" w:rsidR="001D3E9B" w:rsidRPr="000A2F28" w:rsidRDefault="001D3E9B" w:rsidP="001D3E9B">
      <w:pPr>
        <w:pStyle w:val="Bullet"/>
        <w:rPr>
          <w:rFonts w:eastAsia="Calibri Light"/>
          <w:lang w:val="en-GB"/>
        </w:rPr>
      </w:pPr>
      <w:r w:rsidRPr="000A2F28">
        <w:rPr>
          <w:rFonts w:eastAsia="Calibri Light"/>
          <w:lang w:val="en-GB"/>
        </w:rPr>
        <w:t>The national estimate is for people who have uploaded at least one test result in the week, so will be an over-estimate if negative test results are not being recorded for these groups.</w:t>
      </w:r>
    </w:p>
    <w:p w14:paraId="20859040" w14:textId="77777777" w:rsidR="001D3E9B" w:rsidRPr="000A2F28" w:rsidRDefault="001D3E9B" w:rsidP="001D3E9B">
      <w:pPr>
        <w:pStyle w:val="Bullet"/>
        <w:rPr>
          <w:rFonts w:eastAsia="Calibri Light"/>
          <w:lang w:val="en-GB"/>
        </w:rPr>
      </w:pPr>
      <w:r w:rsidRPr="000A2F28">
        <w:rPr>
          <w:rFonts w:eastAsia="Calibri Light"/>
          <w:lang w:val="en-GB"/>
        </w:rPr>
        <w:t>National level estimates will be masking differing trends by region.</w:t>
      </w:r>
    </w:p>
    <w:p w14:paraId="3EFBB88C" w14:textId="77777777" w:rsidR="001D3E9B" w:rsidRPr="000A2F28" w:rsidRDefault="001D3E9B" w:rsidP="001D3E9B">
      <w:pPr>
        <w:pStyle w:val="Bullet"/>
        <w:rPr>
          <w:rFonts w:eastAsia="Calibri Light"/>
          <w:lang w:val="en-GB"/>
        </w:rPr>
      </w:pPr>
      <w:r w:rsidRPr="000A2F28">
        <w:rPr>
          <w:rFonts w:eastAsia="Calibri Light"/>
          <w:lang w:val="en-GB"/>
        </w:rPr>
        <w:t xml:space="preserve">Tertiary hospital inpatient data, while likely to be more accurate than the national level data, still reflect a higher-risk group, and neither the estimates nor the trends are generalisable to the rest of the population. </w:t>
      </w:r>
    </w:p>
    <w:p w14:paraId="59E3AFC5" w14:textId="77777777" w:rsidR="001D3E9B" w:rsidRPr="000A2F28" w:rsidRDefault="001D3E9B" w:rsidP="001D3E9B">
      <w:pPr>
        <w:pStyle w:val="Bullet"/>
        <w:rPr>
          <w:rFonts w:eastAsia="Calibri Light"/>
          <w:lang w:val="en-GB"/>
        </w:rPr>
      </w:pPr>
      <w:r w:rsidRPr="000A2F28">
        <w:rPr>
          <w:rFonts w:eastAsia="Calibri Light"/>
          <w:lang w:val="en-GB"/>
        </w:rPr>
        <w:t xml:space="preserve">The identification of these groups is based on surveillance codes, which may not be completed accurately, particularly since the introduction of RAT testing. </w:t>
      </w:r>
    </w:p>
    <w:p w14:paraId="0EDAFB66" w14:textId="77777777" w:rsidR="001D3E9B" w:rsidRPr="000A2F28" w:rsidRDefault="001D3E9B" w:rsidP="001D3E9B">
      <w:pPr>
        <w:pStyle w:val="Bullet"/>
        <w:rPr>
          <w:rFonts w:eastAsia="Calibri Light"/>
          <w:lang w:val="en-GB"/>
        </w:rPr>
      </w:pPr>
      <w:r w:rsidRPr="000A2F28">
        <w:rPr>
          <w:rFonts w:eastAsia="Calibri Light"/>
          <w:lang w:val="en-GB"/>
        </w:rPr>
        <w:t>The population has been identified based on ever having a surveillance code related to the respective workforce and having at least 2 tests (at least one of which was negative) in 2022. A sensitivity check was run using at least 3 tests and while these numbers reduced, the incidence estimates remained very similar.</w:t>
      </w:r>
    </w:p>
    <w:p w14:paraId="01EB41F0" w14:textId="77777777" w:rsidR="001D3E9B" w:rsidRPr="000A2F28" w:rsidRDefault="001D3E9B" w:rsidP="001D3E9B">
      <w:pPr>
        <w:pStyle w:val="Heading3"/>
        <w:rPr>
          <w:rFonts w:eastAsia="Calibri Light"/>
          <w:lang w:val="en-GB"/>
        </w:rPr>
      </w:pPr>
      <w:r w:rsidRPr="6B24E297">
        <w:rPr>
          <w:rFonts w:eastAsia="Calibri Light"/>
          <w:lang w:val="en-GB"/>
        </w:rPr>
        <w:t>Wastewater quantification</w:t>
      </w:r>
    </w:p>
    <w:p w14:paraId="394D4B69" w14:textId="77777777" w:rsidR="001D3E9B" w:rsidRPr="000A2F28" w:rsidRDefault="001D3E9B" w:rsidP="001D3E9B">
      <w:pPr>
        <w:pStyle w:val="Bullet"/>
        <w:rPr>
          <w:rFonts w:eastAsia="Calibri Light"/>
          <w:lang w:val="en-GB"/>
        </w:rPr>
      </w:pPr>
      <w:r w:rsidRPr="000A2F28">
        <w:rPr>
          <w:rFonts w:eastAsia="Calibri Light"/>
          <w:lang w:val="en-GB"/>
        </w:rPr>
        <w:t xml:space="preserve">Approximately 1 million people in New Zealand are not connected to reticulated wastewater systems. </w:t>
      </w:r>
    </w:p>
    <w:p w14:paraId="6552CFF7" w14:textId="77777777" w:rsidR="001D3E9B" w:rsidRPr="000A2F28" w:rsidRDefault="001D3E9B" w:rsidP="001D3E9B">
      <w:pPr>
        <w:pStyle w:val="Bullet"/>
        <w:rPr>
          <w:rFonts w:eastAsia="Calibri Light"/>
          <w:lang w:val="en-GB"/>
        </w:rPr>
      </w:pPr>
      <w:r w:rsidRPr="000A2F28">
        <w:rPr>
          <w:rFonts w:eastAsia="Calibri Light"/>
          <w:lang w:val="en-GB"/>
        </w:rPr>
        <w:t>Samples may be either grab or 24-hour composite samples. Greater variability is expected with grab samples.</w:t>
      </w:r>
    </w:p>
    <w:p w14:paraId="350118E3" w14:textId="77777777" w:rsidR="001D3E9B" w:rsidRPr="000A2F28" w:rsidRDefault="001D3E9B" w:rsidP="001D3E9B">
      <w:pPr>
        <w:pStyle w:val="Bullet"/>
        <w:rPr>
          <w:rFonts w:eastAsia="Calibri Light"/>
          <w:lang w:val="en-GB"/>
        </w:rPr>
      </w:pPr>
      <w:r w:rsidRPr="000A2F28">
        <w:rPr>
          <w:rFonts w:eastAsia="Calibri Light"/>
          <w:lang w:val="en-GB"/>
        </w:rPr>
        <w:t xml:space="preserve">While a standard method is being used, virus recovery can vary from sample to sample. </w:t>
      </w:r>
    </w:p>
    <w:p w14:paraId="0624945C" w14:textId="77777777" w:rsidR="001D3E9B" w:rsidRPr="000A2F28" w:rsidRDefault="001D3E9B" w:rsidP="001D3E9B">
      <w:pPr>
        <w:pStyle w:val="Bullet"/>
        <w:rPr>
          <w:rFonts w:eastAsia="Calibri Light"/>
          <w:lang w:val="en-GB"/>
        </w:rPr>
      </w:pPr>
      <w:r w:rsidRPr="000A2F28">
        <w:rPr>
          <w:rFonts w:eastAsia="Calibri Light"/>
          <w:lang w:val="en-GB"/>
        </w:rPr>
        <w:t>SARS-CoV-2 RNA concentrations should not be compared between wastewater catchments.</w:t>
      </w:r>
    </w:p>
    <w:p w14:paraId="072AA106" w14:textId="1CC08531" w:rsidR="001D3E9B" w:rsidRDefault="001D3E9B" w:rsidP="6B24E297">
      <w:pPr>
        <w:pStyle w:val="Bullet"/>
        <w:rPr>
          <w:rFonts w:eastAsia="Calibri Light"/>
          <w:i/>
          <w:iCs/>
          <w:lang w:val="en-GB"/>
        </w:rPr>
      </w:pPr>
      <w:r w:rsidRPr="6B24E297">
        <w:rPr>
          <w:rFonts w:eastAsia="Calibri Light"/>
          <w:lang w:val="en-GB"/>
        </w:rPr>
        <w:t xml:space="preserve">Day-to-day variability in SARS-CoV-2 RNA concentrations especially in smaller catchment is to be expected. </w:t>
      </w:r>
      <w:r>
        <w:br/>
      </w:r>
    </w:p>
    <w:p w14:paraId="229164F6" w14:textId="4DEC8EAF" w:rsidR="001D3E9B" w:rsidRPr="000A2F28" w:rsidRDefault="001D3E9B" w:rsidP="001D3E9B">
      <w:pPr>
        <w:pStyle w:val="Heading3"/>
        <w:rPr>
          <w:rFonts w:eastAsia="Calibri Light"/>
          <w:lang w:val="en-GB"/>
        </w:rPr>
      </w:pPr>
      <w:r w:rsidRPr="6B24E297">
        <w:rPr>
          <w:rFonts w:eastAsia="Calibri Light"/>
          <w:lang w:val="en-GB"/>
        </w:rPr>
        <w:lastRenderedPageBreak/>
        <w:t>Hospital admissions data</w:t>
      </w:r>
    </w:p>
    <w:p w14:paraId="3EDAF5DA" w14:textId="77777777" w:rsidR="001D3E9B" w:rsidRPr="000A2F28" w:rsidRDefault="001D3E9B" w:rsidP="001D3E9B">
      <w:pPr>
        <w:pStyle w:val="Bullet"/>
        <w:rPr>
          <w:rFonts w:eastAsia="Segoe UI"/>
          <w:lang w:val="en-GB"/>
        </w:rPr>
      </w:pPr>
      <w:r w:rsidRPr="000A2F28">
        <w:rPr>
          <w:rFonts w:eastAsia="Segoe UI"/>
          <w:lang w:val="en-GB"/>
        </w:rPr>
        <w:t xml:space="preserve">The Ministry will begin reporting COVID-19 hospitalisations using two datasets: the inpatient admission (IP) dataset – that only includes data from hospitals in certain regions – and the National Minimum Dataset (NMDS). </w:t>
      </w:r>
      <w:proofErr w:type="gramStart"/>
      <w:r w:rsidRPr="000A2F28">
        <w:rPr>
          <w:rFonts w:eastAsia="Segoe UI"/>
          <w:lang w:val="en-GB"/>
        </w:rPr>
        <w:t>Both of these</w:t>
      </w:r>
      <w:proofErr w:type="gramEnd"/>
      <w:r w:rsidRPr="000A2F28">
        <w:rPr>
          <w:rFonts w:eastAsia="Segoe UI"/>
          <w:lang w:val="en-GB"/>
        </w:rPr>
        <w:t xml:space="preserve"> datasets are patient-level, so they allow demographic and vaccination breakdowns to be calculated.</w:t>
      </w:r>
    </w:p>
    <w:p w14:paraId="711686C8" w14:textId="77777777" w:rsidR="001D3E9B" w:rsidRPr="000A2F28" w:rsidRDefault="001D3E9B" w:rsidP="001D3E9B">
      <w:pPr>
        <w:pStyle w:val="Bullet"/>
        <w:rPr>
          <w:rFonts w:eastAsia="Segoe UI"/>
          <w:lang w:val="en-GB"/>
        </w:rPr>
      </w:pPr>
      <w:r w:rsidRPr="000A2F28">
        <w:rPr>
          <w:rFonts w:eastAsia="Segoe UI"/>
          <w:lang w:val="en-GB"/>
        </w:rPr>
        <w:t xml:space="preserve">Of the two databases, the IP is the more up-to-date data source for admissions. The data provided include a preliminary assessment of hospitalisations where COVID-19 may potentially play a role in the hospitalisation, based on the health specialty associated with the hospitalisation. The IP dataset does not have national coverage; it only covers hospitals in Auckland, Canterbury, Southern, Counties Manukau, Waikato, </w:t>
      </w:r>
      <w:proofErr w:type="gramStart"/>
      <w:r w:rsidRPr="000A2F28">
        <w:rPr>
          <w:rFonts w:eastAsia="Segoe UI"/>
          <w:lang w:val="en-GB"/>
        </w:rPr>
        <w:t>Capital</w:t>
      </w:r>
      <w:proofErr w:type="gramEnd"/>
      <w:r w:rsidRPr="000A2F28">
        <w:rPr>
          <w:rFonts w:eastAsia="Segoe UI"/>
          <w:lang w:val="en-GB"/>
        </w:rPr>
        <w:t xml:space="preserve"> and Coast, </w:t>
      </w:r>
      <w:proofErr w:type="spellStart"/>
      <w:r w:rsidRPr="000A2F28">
        <w:rPr>
          <w:rFonts w:eastAsia="Segoe UI"/>
          <w:lang w:val="en-GB"/>
        </w:rPr>
        <w:t>Waitematā</w:t>
      </w:r>
      <w:proofErr w:type="spellEnd"/>
      <w:r w:rsidRPr="000A2F28">
        <w:rPr>
          <w:rFonts w:eastAsia="Segoe UI"/>
          <w:lang w:val="en-GB"/>
        </w:rPr>
        <w:t xml:space="preserve"> and Northland. The IP dataset can be incomplete and provisional; it is subject to revision as the more comprehensive and more accurate NMDS data become available. One caveat is that the IP dataset does not have a reliable discharge date field. As such, it should only be used to report on admissions, not occupancy.</w:t>
      </w:r>
    </w:p>
    <w:p w14:paraId="083D97A7" w14:textId="77777777" w:rsidR="001D3E9B" w:rsidRPr="000A2F28" w:rsidRDefault="001D3E9B" w:rsidP="001D3E9B">
      <w:pPr>
        <w:pStyle w:val="Bullet"/>
        <w:rPr>
          <w:rFonts w:eastAsia="Segoe UI"/>
          <w:lang w:val="en-GB"/>
        </w:rPr>
      </w:pPr>
      <w:r w:rsidRPr="000A2F28">
        <w:rPr>
          <w:rFonts w:eastAsia="Segoe UI"/>
          <w:lang w:val="en-GB"/>
        </w:rPr>
        <w:t xml:space="preserve">The NMDS has several advantages: It provides national coverage and is a rich source of data, including data on demographics and an evaluation of the disease conditions associated with the hospital stay (including whether the admission was incidental, i.e., not related to COVID-19). However, the NMDS is only available after a significant data lag. The time lag for hospitalisation data can vary but can be approximately 60 days or more. </w:t>
      </w:r>
    </w:p>
    <w:p w14:paraId="3DEF91D9" w14:textId="77777777" w:rsidR="001D3E9B" w:rsidRPr="000A2F28" w:rsidRDefault="001D3E9B" w:rsidP="001D3E9B">
      <w:pPr>
        <w:pStyle w:val="Bullet"/>
        <w:rPr>
          <w:rFonts w:eastAsia="Segoe UI"/>
          <w:lang w:val="en-GB"/>
        </w:rPr>
      </w:pPr>
      <w:r w:rsidRPr="000A2F28">
        <w:rPr>
          <w:rFonts w:eastAsia="Segoe UI"/>
          <w:lang w:val="en-GB"/>
        </w:rPr>
        <w:t>Therefore, we are using a combination of these two databases for hospitalisation: the IP records are included as a provisional tally of more recent COVID-19 hospitalisations for a collection of hospitals, and then these records are overwritten by NMDS records, as soon as the NMDS records are available</w:t>
      </w:r>
    </w:p>
    <w:p w14:paraId="2ABB03CE" w14:textId="77777777" w:rsidR="001D3E9B" w:rsidRPr="000A2F28" w:rsidRDefault="001D3E9B" w:rsidP="001D3E9B">
      <w:pPr>
        <w:pStyle w:val="Bullet"/>
        <w:rPr>
          <w:rFonts w:eastAsia="Segoe UI"/>
          <w:lang w:val="en-GB"/>
        </w:rPr>
      </w:pPr>
      <w:r w:rsidRPr="000A2F28">
        <w:rPr>
          <w:rFonts w:eastAsia="Segoe UI"/>
          <w:lang w:val="en-GB"/>
        </w:rPr>
        <w:t>Note that the definition used for ‘hospitalisation for COVID-19' in both the IP and NMDS tends to be inclusive. For the IP provisional data, the health specialty associated with the hospitalisation is used to estimate whether the hospital stay might be related COVID-19; hospitalisations that are highly unlikely to be related to COVID-19 are ruled out, as opposed to identifying hospitalisations that are likely to be COVID-related. As NMDS data become available, the clinical codes that retrospectively evaluate the reasons for the hospital stay are used to estimate if the stay was potentially related to COVID-19. The NMDS data are more robust estimation of hospitalisations ‘for’ COVID-19.</w:t>
      </w:r>
    </w:p>
    <w:p w14:paraId="638DC4BC" w14:textId="77777777" w:rsidR="001D3E9B" w:rsidRPr="000A2F28" w:rsidRDefault="001D3E9B" w:rsidP="001D3E9B">
      <w:pPr>
        <w:pStyle w:val="Bullet"/>
        <w:rPr>
          <w:rFonts w:eastAsia="Segoe UI"/>
          <w:lang w:val="en-GB"/>
        </w:rPr>
      </w:pPr>
      <w:r w:rsidRPr="000A2F28">
        <w:rPr>
          <w:rFonts w:eastAsia="Segoe UI"/>
          <w:lang w:val="en-GB"/>
        </w:rPr>
        <w:t xml:space="preserve">This new method of data collection for COVID-19 has several advantages over the previous method, as it provides more robust data in a timely manner, using an automated method that is less burdensome and more reliable, and provides access to more detailed data. Most importantly, the new data method provides a timely and reliable way to estimate the number of hospitalisations where COVID-19 could be the reason for the hospital stay (admissions ‘for’ COVID-19, with some caveats). Moving forward, </w:t>
      </w:r>
      <w:proofErr w:type="gramStart"/>
      <w:r w:rsidRPr="000A2F28">
        <w:rPr>
          <w:rFonts w:eastAsia="Segoe UI"/>
          <w:lang w:val="en-GB"/>
        </w:rPr>
        <w:t>the majority of</w:t>
      </w:r>
      <w:proofErr w:type="gramEnd"/>
      <w:r w:rsidRPr="000A2F28">
        <w:rPr>
          <w:rFonts w:eastAsia="Segoe UI"/>
          <w:lang w:val="en-GB"/>
        </w:rPr>
        <w:t xml:space="preserve"> the reporting on hospitalisation will use the ‘for COVID’ definition as described above from the new databases.</w:t>
      </w:r>
    </w:p>
    <w:p w14:paraId="055286F0" w14:textId="77777777" w:rsidR="001D3E9B" w:rsidRDefault="001D3E9B" w:rsidP="001D3E9B">
      <w:pPr>
        <w:pStyle w:val="Bullet"/>
        <w:numPr>
          <w:ilvl w:val="0"/>
          <w:numId w:val="0"/>
        </w:numPr>
        <w:ind w:left="284"/>
        <w:rPr>
          <w:rFonts w:eastAsia="Segoe UI"/>
          <w:lang w:val="en-GB"/>
        </w:rPr>
      </w:pPr>
    </w:p>
    <w:p w14:paraId="4AD1B788" w14:textId="77777777" w:rsidR="001D3E9B" w:rsidRDefault="001D3E9B" w:rsidP="001D3E9B">
      <w:pPr>
        <w:pStyle w:val="Bullet"/>
        <w:numPr>
          <w:ilvl w:val="0"/>
          <w:numId w:val="0"/>
        </w:numPr>
        <w:ind w:left="284"/>
        <w:rPr>
          <w:rFonts w:eastAsia="Segoe UI"/>
          <w:lang w:val="en-GB"/>
        </w:rPr>
      </w:pPr>
    </w:p>
    <w:p w14:paraId="50C14466" w14:textId="4A0F5F8E" w:rsidR="001D3E9B" w:rsidRPr="000A2F28" w:rsidRDefault="001D3E9B" w:rsidP="001D3E9B">
      <w:pPr>
        <w:pStyle w:val="Bullet"/>
        <w:rPr>
          <w:rFonts w:eastAsia="Segoe UI"/>
          <w:lang w:val="en-GB"/>
        </w:rPr>
      </w:pPr>
      <w:r w:rsidRPr="000A2F28">
        <w:rPr>
          <w:rFonts w:eastAsia="Segoe UI"/>
          <w:lang w:val="en-GB"/>
        </w:rPr>
        <w:t xml:space="preserve">Nonetheless, we are also still able to estimate the number of hospitalisations ‘with’ COVID-19, i.e., an estimate of the number of hospitalisations that are associated </w:t>
      </w:r>
      <w:r w:rsidRPr="000A2F28">
        <w:rPr>
          <w:rFonts w:eastAsia="Segoe UI"/>
          <w:lang w:val="en-GB"/>
        </w:rPr>
        <w:lastRenderedPageBreak/>
        <w:t>with a positive test within 28 days of admission.  Hence, in conjunction with the new hospitalisation data, we can also estimate the proportion of the total COVID-19 hospitalisations that are ‘for’ versus ‘with’. Previous analysis has shown that the proportion of the total COVID-19 hospitalisations that are ‘for’ COVID-19 is about 68%.</w:t>
      </w:r>
    </w:p>
    <w:p w14:paraId="2169F0AC" w14:textId="77777777" w:rsidR="001D3E9B" w:rsidRPr="000A2F28" w:rsidRDefault="001D3E9B" w:rsidP="001D3E9B">
      <w:pPr>
        <w:pStyle w:val="Bullet"/>
        <w:rPr>
          <w:rFonts w:eastAsia="Segoe UI"/>
          <w:lang w:val="en-GB"/>
        </w:rPr>
      </w:pPr>
      <w:r w:rsidRPr="000A2F28">
        <w:rPr>
          <w:rFonts w:eastAsia="Segoe UI"/>
          <w:lang w:val="en-GB"/>
        </w:rPr>
        <w:t>In addition, the new system also allows us to estimate the rate of COVID-19 hospital admissions per case or per capita.</w:t>
      </w:r>
    </w:p>
    <w:p w14:paraId="7842B45F" w14:textId="3E75E542" w:rsidR="001D3E9B" w:rsidRDefault="001D3E9B" w:rsidP="001D3E9B">
      <w:pPr>
        <w:pStyle w:val="Bullet"/>
        <w:rPr>
          <w:rFonts w:eastAsia="Segoe UI"/>
          <w:lang w:val="en-GB"/>
        </w:rPr>
      </w:pPr>
      <w:r w:rsidRPr="000A2F28">
        <w:rPr>
          <w:rFonts w:eastAsia="Segoe UI"/>
          <w:lang w:val="en-GB"/>
        </w:rPr>
        <w:t>However, the new data feed cannot be used to estimate the proportion of all hospitalisations nationally that are associated with COVID-19. This is because we do not know the total number of patients that currently are in hospital in New Zealand for any reason at any given time (this information exists in NMDS, but only with a lag of a couple of months). Without this denominator data, we cannot calculate the proportion of all hospitalisations are associated with COVID-19.</w:t>
      </w:r>
    </w:p>
    <w:p w14:paraId="320EA210" w14:textId="6ABD69B3" w:rsidR="001D3E9B" w:rsidRDefault="001D3E9B" w:rsidP="001D3E9B">
      <w:pPr>
        <w:pStyle w:val="Heading3"/>
        <w:rPr>
          <w:rFonts w:eastAsia="Segoe UI"/>
          <w:lang w:val="en-GB"/>
        </w:rPr>
      </w:pPr>
      <w:r w:rsidRPr="6B24E297">
        <w:rPr>
          <w:rFonts w:eastAsia="Segoe UI"/>
          <w:lang w:val="en-GB"/>
        </w:rPr>
        <w:t xml:space="preserve">Mortality </w:t>
      </w:r>
      <w:r w:rsidR="00CB0657" w:rsidRPr="6B24E297">
        <w:rPr>
          <w:rFonts w:eastAsia="Segoe UI"/>
          <w:lang w:val="en-GB"/>
        </w:rPr>
        <w:t>d</w:t>
      </w:r>
      <w:r w:rsidRPr="6B24E297">
        <w:rPr>
          <w:rFonts w:eastAsia="Segoe UI"/>
          <w:lang w:val="en-GB"/>
        </w:rPr>
        <w:t>ata</w:t>
      </w:r>
    </w:p>
    <w:p w14:paraId="1A88ECA0" w14:textId="05F9C0EF" w:rsidR="008351A8" w:rsidRPr="00E97393" w:rsidRDefault="008351A8" w:rsidP="00E97393">
      <w:pPr>
        <w:rPr>
          <w:rFonts w:eastAsia="Segoe UI"/>
        </w:rPr>
      </w:pPr>
      <w:r w:rsidRPr="00E97393">
        <w:rPr>
          <w:rFonts w:eastAsia="Segoe UI"/>
        </w:rPr>
        <w:t>Mortality data is lagged as to account for death coding delays and recent trends</w:t>
      </w:r>
      <w:r w:rsidR="00E97393" w:rsidRPr="00E97393">
        <w:rPr>
          <w:rFonts w:eastAsia="Segoe UI"/>
        </w:rPr>
        <w:t xml:space="preserve"> </w:t>
      </w:r>
      <w:r w:rsidRPr="00E97393">
        <w:rPr>
          <w:rFonts w:eastAsia="Segoe UI"/>
        </w:rPr>
        <w:t>should be interpreted with caution.</w:t>
      </w:r>
    </w:p>
    <w:p w14:paraId="76FA23FD" w14:textId="3E6C64D3" w:rsidR="003D645F" w:rsidRPr="003D645F" w:rsidRDefault="001A0117" w:rsidP="003D645F">
      <w:pPr>
        <w:pStyle w:val="Heading3"/>
        <w:rPr>
          <w:rFonts w:eastAsia="Segoe UI"/>
          <w:lang w:val="en-GB"/>
        </w:rPr>
      </w:pPr>
      <w:r w:rsidRPr="6B24E297">
        <w:rPr>
          <w:rFonts w:eastAsia="Segoe UI"/>
          <w:lang w:val="en-GB"/>
        </w:rPr>
        <w:t xml:space="preserve">Trends by </w:t>
      </w:r>
      <w:r w:rsidR="00CB0657" w:rsidRPr="6B24E297">
        <w:rPr>
          <w:rFonts w:eastAsia="Segoe UI"/>
          <w:lang w:val="en-GB"/>
        </w:rPr>
        <w:t>ethnicity &amp; d</w:t>
      </w:r>
      <w:r w:rsidR="00CB693A" w:rsidRPr="6B24E297">
        <w:rPr>
          <w:rFonts w:eastAsia="Segoe UI"/>
          <w:lang w:val="en-GB"/>
        </w:rPr>
        <w:t>ep</w:t>
      </w:r>
      <w:r w:rsidR="003D645F" w:rsidRPr="6B24E297">
        <w:rPr>
          <w:rFonts w:eastAsia="Segoe UI"/>
          <w:lang w:val="en-GB"/>
        </w:rPr>
        <w:t>rivation</w:t>
      </w:r>
    </w:p>
    <w:p w14:paraId="3A983D57" w14:textId="5CF61449" w:rsidR="00CB0657" w:rsidRPr="0047036C" w:rsidRDefault="0009657F" w:rsidP="0047036C">
      <w:pPr>
        <w:rPr>
          <w:rFonts w:eastAsia="Segoe UI"/>
        </w:rPr>
      </w:pPr>
      <w:r w:rsidRPr="0047036C">
        <w:t xml:space="preserve">Up until </w:t>
      </w:r>
      <w:r w:rsidR="0047036C" w:rsidRPr="0047036C">
        <w:t>09</w:t>
      </w:r>
      <w:r w:rsidR="00787DAA" w:rsidRPr="0047036C">
        <w:t xml:space="preserve"> December, d</w:t>
      </w:r>
      <w:r w:rsidR="00DA4A22" w:rsidRPr="0047036C">
        <w:t>ata has been s</w:t>
      </w:r>
      <w:r w:rsidR="00CB0657" w:rsidRPr="0047036C">
        <w:t xml:space="preserve">tandardised to Māori population </w:t>
      </w:r>
      <w:r w:rsidR="00C45A87">
        <w:t xml:space="preserve">age </w:t>
      </w:r>
      <w:r w:rsidR="00CB0657" w:rsidRPr="0047036C">
        <w:t>structure</w:t>
      </w:r>
      <w:r w:rsidR="0070224D" w:rsidRPr="0047036C">
        <w:t>.</w:t>
      </w:r>
      <w:r w:rsidRPr="0047036C">
        <w:t xml:space="preserve"> </w:t>
      </w:r>
      <w:r w:rsidR="007E0734" w:rsidRPr="0047036C">
        <w:t xml:space="preserve">From </w:t>
      </w:r>
      <w:r w:rsidR="0047036C">
        <w:t>the rep</w:t>
      </w:r>
      <w:r w:rsidR="0070030D">
        <w:t xml:space="preserve">ort released 16 December, we’ll now be adjusting data to the WHO </w:t>
      </w:r>
      <w:r w:rsidR="002D3ADE">
        <w:t>international standard for age standardi</w:t>
      </w:r>
      <w:r w:rsidR="00F50AC3">
        <w:t>s</w:t>
      </w:r>
      <w:r w:rsidR="002D3ADE">
        <w:t xml:space="preserve">ation </w:t>
      </w:r>
      <w:r w:rsidR="004A29A7">
        <w:t>(WHO 2000-2025).</w:t>
      </w:r>
      <w:r w:rsidR="004A29A7">
        <w:rPr>
          <w:rStyle w:val="FootnoteReference"/>
        </w:rPr>
        <w:footnoteReference w:id="1"/>
      </w:r>
      <w:r w:rsidR="00C45A87">
        <w:rPr>
          <w:rStyle w:val="FootnoteReference"/>
        </w:rPr>
        <w:footnoteReference w:id="2"/>
      </w:r>
    </w:p>
    <w:p w14:paraId="68E766ED" w14:textId="77777777" w:rsidR="001B587B" w:rsidRPr="003D645F" w:rsidRDefault="001B587B" w:rsidP="003D645F">
      <w:pPr>
        <w:rPr>
          <w:lang w:val="en-GB"/>
        </w:rPr>
      </w:pPr>
    </w:p>
    <w:sectPr w:rsidR="001B587B" w:rsidRPr="003D645F" w:rsidSect="006476F2">
      <w:footerReference w:type="even" r:id="rId12"/>
      <w:footerReference w:type="default" r:id="rId13"/>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0F3D" w14:textId="77777777" w:rsidR="0024434D" w:rsidRDefault="0024434D">
      <w:r>
        <w:separator/>
      </w:r>
    </w:p>
    <w:p w14:paraId="7A6D6695" w14:textId="77777777" w:rsidR="0024434D" w:rsidRDefault="0024434D"/>
  </w:endnote>
  <w:endnote w:type="continuationSeparator" w:id="0">
    <w:p w14:paraId="30F3C726" w14:textId="77777777" w:rsidR="0024434D" w:rsidRDefault="0024434D">
      <w:r>
        <w:continuationSeparator/>
      </w:r>
    </w:p>
    <w:p w14:paraId="132BC44A" w14:textId="77777777" w:rsidR="0024434D" w:rsidRDefault="00244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Mäori">
    <w:altName w:val="Times New Roman"/>
    <w:panose1 w:val="00000000000000000000"/>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Sans">
    <w:charset w:val="00"/>
    <w:family w:val="swiss"/>
    <w:pitch w:val="variable"/>
    <w:sig w:usb0="600002FF"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ira Sans SemiBold">
    <w:altName w:val="Fira Sans SemiBold"/>
    <w:charset w:val="00"/>
    <w:family w:val="swiss"/>
    <w:pitch w:val="variable"/>
    <w:sig w:usb0="600002FF" w:usb1="00000001" w:usb2="00000000" w:usb3="00000000" w:csb0="0000019F" w:csb1="00000000"/>
  </w:font>
  <w:font w:name="Segoe UI Semibold">
    <w:altName w:val="Segoe UI Semibold"/>
    <w:panose1 w:val="020B07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7938"/>
      <w:gridCol w:w="1134"/>
    </w:tblGrid>
    <w:tr w:rsidR="001D3E9B" w14:paraId="668F2796" w14:textId="77777777" w:rsidTr="00F43505">
      <w:trPr>
        <w:cantSplit/>
      </w:trPr>
      <w:tc>
        <w:tcPr>
          <w:tcW w:w="675" w:type="dxa"/>
          <w:vAlign w:val="center"/>
        </w:tcPr>
        <w:p w14:paraId="3B3DF60B" w14:textId="77777777" w:rsidR="001D3E9B" w:rsidRPr="00931466" w:rsidRDefault="001D3E9B" w:rsidP="001D3E9B">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7938" w:type="dxa"/>
          <w:vAlign w:val="center"/>
        </w:tcPr>
        <w:p w14:paraId="5314E387" w14:textId="77777777" w:rsidR="001D3E9B" w:rsidRDefault="001D3E9B" w:rsidP="001D3E9B">
          <w:pPr>
            <w:pStyle w:val="RectoFooter"/>
            <w:spacing w:before="120"/>
            <w:ind w:left="-108"/>
          </w:pPr>
          <w:r w:rsidRPr="007B47FE">
            <w:t>Covid Trends and Insights Report</w:t>
          </w:r>
        </w:p>
      </w:tc>
      <w:tc>
        <w:tcPr>
          <w:tcW w:w="1134" w:type="dxa"/>
          <w:vAlign w:val="center"/>
        </w:tcPr>
        <w:p w14:paraId="6369A295" w14:textId="77777777" w:rsidR="001D3E9B" w:rsidRDefault="001D3E9B" w:rsidP="001D3E9B">
          <w:pPr>
            <w:pStyle w:val="RectoFooter"/>
            <w:spacing w:before="120"/>
            <w:ind w:left="-108"/>
          </w:pPr>
          <w:r>
            <w:rPr>
              <w:noProof/>
              <w:lang w:eastAsia="en-NZ"/>
            </w:rPr>
            <w:drawing>
              <wp:inline distT="0" distB="0" distL="0" distR="0" wp14:anchorId="1CEE9031" wp14:editId="071E7475">
                <wp:extent cx="548640" cy="353145"/>
                <wp:effectExtent l="0" t="0" r="3810" b="8890"/>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378D0A43" w14:textId="77777777" w:rsidR="001D3E9B" w:rsidRDefault="001D3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1134"/>
      <w:gridCol w:w="6946"/>
      <w:gridCol w:w="709"/>
    </w:tblGrid>
    <w:tr w:rsidR="001D3E9B" w14:paraId="034C301E" w14:textId="77777777" w:rsidTr="00F43505">
      <w:trPr>
        <w:cantSplit/>
      </w:trPr>
      <w:tc>
        <w:tcPr>
          <w:tcW w:w="1134" w:type="dxa"/>
          <w:vAlign w:val="center"/>
        </w:tcPr>
        <w:p w14:paraId="38A33169" w14:textId="77777777" w:rsidR="001D3E9B" w:rsidRDefault="001D3E9B" w:rsidP="001D3E9B">
          <w:pPr>
            <w:pStyle w:val="RectoFooter"/>
            <w:spacing w:before="120"/>
            <w:jc w:val="left"/>
          </w:pPr>
          <w:r>
            <w:rPr>
              <w:noProof/>
              <w:lang w:eastAsia="en-NZ"/>
            </w:rPr>
            <w:drawing>
              <wp:inline distT="0" distB="0" distL="0" distR="0" wp14:anchorId="1CDEA958" wp14:editId="25136286">
                <wp:extent cx="548640" cy="353145"/>
                <wp:effectExtent l="0" t="0" r="3810" b="8890"/>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c>
        <w:tcPr>
          <w:tcW w:w="6946" w:type="dxa"/>
          <w:vAlign w:val="center"/>
        </w:tcPr>
        <w:p w14:paraId="67AB6E5F" w14:textId="77777777" w:rsidR="001D3E9B" w:rsidRDefault="001D3E9B" w:rsidP="001D3E9B">
          <w:pPr>
            <w:pStyle w:val="RectoFooter"/>
            <w:spacing w:before="120"/>
            <w:jc w:val="left"/>
          </w:pPr>
          <w:r w:rsidRPr="007B47FE">
            <w:t>Covid Trends and Insights Report</w:t>
          </w:r>
        </w:p>
      </w:tc>
      <w:tc>
        <w:tcPr>
          <w:tcW w:w="709" w:type="dxa"/>
          <w:vAlign w:val="center"/>
        </w:tcPr>
        <w:p w14:paraId="36B61B90" w14:textId="77777777" w:rsidR="001D3E9B" w:rsidRPr="00931466" w:rsidRDefault="001D3E9B" w:rsidP="001D3E9B">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3AE65B43" w14:textId="77777777" w:rsidR="001D3E9B" w:rsidRDefault="001D3E9B" w:rsidP="001D3E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7938"/>
      <w:gridCol w:w="1134"/>
    </w:tblGrid>
    <w:tr w:rsidR="009355D7" w14:paraId="4906F831" w14:textId="77777777" w:rsidTr="009732B2">
      <w:trPr>
        <w:cantSplit/>
      </w:trPr>
      <w:tc>
        <w:tcPr>
          <w:tcW w:w="675" w:type="dxa"/>
          <w:vAlign w:val="center"/>
        </w:tcPr>
        <w:p w14:paraId="62FD8781" w14:textId="77777777" w:rsidR="009355D7" w:rsidRPr="00931466" w:rsidRDefault="009355D7" w:rsidP="00120C4C">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7938" w:type="dxa"/>
          <w:vAlign w:val="center"/>
        </w:tcPr>
        <w:p w14:paraId="3344429F" w14:textId="05DE8E10" w:rsidR="009355D7" w:rsidRDefault="009355D7" w:rsidP="00120C4C">
          <w:pPr>
            <w:pStyle w:val="RectoFooter"/>
            <w:spacing w:before="120"/>
            <w:ind w:left="-108"/>
          </w:pPr>
          <w:r w:rsidRPr="007B47FE">
            <w:t>Covid Trends and Insights Report</w:t>
          </w:r>
        </w:p>
      </w:tc>
      <w:tc>
        <w:tcPr>
          <w:tcW w:w="1134" w:type="dxa"/>
          <w:vAlign w:val="center"/>
        </w:tcPr>
        <w:p w14:paraId="5CBC90AC" w14:textId="77777777" w:rsidR="009355D7" w:rsidRDefault="009355D7" w:rsidP="00120C4C">
          <w:pPr>
            <w:pStyle w:val="RectoFooter"/>
            <w:spacing w:before="120"/>
            <w:ind w:left="-108"/>
          </w:pPr>
          <w:r>
            <w:rPr>
              <w:noProof/>
              <w:lang w:eastAsia="en-NZ"/>
            </w:rPr>
            <w:drawing>
              <wp:inline distT="0" distB="0" distL="0" distR="0" wp14:anchorId="26CE71E1" wp14:editId="1CD4FA09">
                <wp:extent cx="548640" cy="353145"/>
                <wp:effectExtent l="0" t="0" r="3810" b="889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2B6C443F" w14:textId="77777777" w:rsidR="009355D7" w:rsidRPr="00571223" w:rsidRDefault="009355D7" w:rsidP="00571223">
    <w:pPr>
      <w:pStyle w:val="Verso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1134"/>
      <w:gridCol w:w="6946"/>
      <w:gridCol w:w="709"/>
    </w:tblGrid>
    <w:tr w:rsidR="009355D7" w14:paraId="59AC4176" w14:textId="77777777" w:rsidTr="009732B2">
      <w:trPr>
        <w:cantSplit/>
      </w:trPr>
      <w:tc>
        <w:tcPr>
          <w:tcW w:w="1134" w:type="dxa"/>
          <w:vAlign w:val="center"/>
        </w:tcPr>
        <w:p w14:paraId="01C6AA84" w14:textId="77777777" w:rsidR="009355D7" w:rsidRDefault="009355D7" w:rsidP="00120C4C">
          <w:pPr>
            <w:pStyle w:val="RectoFooter"/>
            <w:spacing w:before="120"/>
            <w:jc w:val="left"/>
          </w:pPr>
          <w:r>
            <w:rPr>
              <w:noProof/>
              <w:lang w:eastAsia="en-NZ"/>
            </w:rPr>
            <w:drawing>
              <wp:inline distT="0" distB="0" distL="0" distR="0" wp14:anchorId="13FDB21D" wp14:editId="6AA38060">
                <wp:extent cx="548640" cy="353145"/>
                <wp:effectExtent l="0" t="0" r="3810" b="889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c>
        <w:tcPr>
          <w:tcW w:w="6946" w:type="dxa"/>
          <w:vAlign w:val="center"/>
        </w:tcPr>
        <w:p w14:paraId="3D883D48" w14:textId="16FE9247" w:rsidR="009355D7" w:rsidRDefault="009355D7" w:rsidP="00120C4C">
          <w:pPr>
            <w:pStyle w:val="RectoFooter"/>
            <w:spacing w:before="120"/>
            <w:jc w:val="left"/>
          </w:pPr>
          <w:r w:rsidRPr="007B47FE">
            <w:t>Covid Trends and Insights Report</w:t>
          </w:r>
        </w:p>
      </w:tc>
      <w:tc>
        <w:tcPr>
          <w:tcW w:w="709" w:type="dxa"/>
          <w:vAlign w:val="center"/>
        </w:tcPr>
        <w:p w14:paraId="2EA3B6E5" w14:textId="77777777" w:rsidR="009355D7" w:rsidRPr="00931466" w:rsidRDefault="009355D7"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405836A4" w14:textId="77777777" w:rsidR="009355D7" w:rsidRPr="00581EB8" w:rsidRDefault="009355D7"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EC8C4" w14:textId="77777777" w:rsidR="0024434D" w:rsidRPr="00A26E6B" w:rsidRDefault="0024434D" w:rsidP="00A26E6B"/>
  </w:footnote>
  <w:footnote w:type="continuationSeparator" w:id="0">
    <w:p w14:paraId="3C6B90DD" w14:textId="77777777" w:rsidR="0024434D" w:rsidRDefault="0024434D">
      <w:r>
        <w:continuationSeparator/>
      </w:r>
    </w:p>
    <w:p w14:paraId="05A1315A" w14:textId="77777777" w:rsidR="0024434D" w:rsidRDefault="0024434D"/>
  </w:footnote>
  <w:footnote w:id="1">
    <w:p w14:paraId="1998DE21" w14:textId="409D5FFD" w:rsidR="004A29A7" w:rsidRDefault="004A29A7">
      <w:pPr>
        <w:pStyle w:val="FootnoteText"/>
      </w:pPr>
      <w:r>
        <w:rPr>
          <w:rStyle w:val="FootnoteReference"/>
        </w:rPr>
        <w:footnoteRef/>
      </w:r>
      <w:r>
        <w:t xml:space="preserve"> </w:t>
      </w:r>
      <w:hyperlink r:id="rId1" w:history="1">
        <w:r w:rsidR="00C45A87" w:rsidRPr="003F5EAD">
          <w:rPr>
            <w:rStyle w:val="Hyperlink"/>
          </w:rPr>
          <w:t>https://seer.cancer.gov/stdpopulations/world.who.html</w:t>
        </w:r>
      </w:hyperlink>
      <w:r w:rsidR="00C45A87">
        <w:t xml:space="preserve"> </w:t>
      </w:r>
    </w:p>
  </w:footnote>
  <w:footnote w:id="2">
    <w:p w14:paraId="677515A0" w14:textId="7A09E6E1" w:rsidR="00C45A87" w:rsidRDefault="00C45A87">
      <w:pPr>
        <w:pStyle w:val="FootnoteText"/>
      </w:pPr>
      <w:r>
        <w:rPr>
          <w:rStyle w:val="FootnoteReference"/>
        </w:rPr>
        <w:footnoteRef/>
      </w:r>
      <w:r>
        <w:t xml:space="preserve"> </w:t>
      </w:r>
      <w:hyperlink r:id="rId2" w:history="1">
        <w:r w:rsidR="00115C71" w:rsidRPr="003F5EAD">
          <w:rPr>
            <w:rStyle w:val="Hyperlink"/>
          </w:rPr>
          <w:t>https://cdn.who.int/media/docs/default-source/gho-documents/global-health-estimates/gpe_discussion_paper_series_paper31_2001_age_standardization_rates.pdf</w:t>
        </w:r>
      </w:hyperlink>
      <w:r w:rsidR="00115C7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150A" w14:textId="6993B3A1" w:rsidR="001D3E9B" w:rsidRDefault="001D3E9B">
    <w:pPr>
      <w:pStyle w:val="Header"/>
    </w:pPr>
    <w:r>
      <w:rPr>
        <w:noProof/>
        <w:sz w:val="16"/>
        <w:szCs w:val="16"/>
      </w:rPr>
      <w:drawing>
        <wp:anchor distT="0" distB="0" distL="114300" distR="114300" simplePos="0" relativeHeight="251663360" behindDoc="1" locked="0" layoutInCell="1" allowOverlap="1" wp14:anchorId="625F210F" wp14:editId="5D6F2D85">
          <wp:simplePos x="0" y="0"/>
          <wp:positionH relativeFrom="page">
            <wp:align>left</wp:align>
          </wp:positionH>
          <wp:positionV relativeFrom="page">
            <wp:align>top</wp:align>
          </wp:positionV>
          <wp:extent cx="7560000" cy="1436400"/>
          <wp:effectExtent l="0" t="0" r="3175" b="0"/>
          <wp:wrapNone/>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436400"/>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rPr>
      <w:drawing>
        <wp:anchor distT="0" distB="0" distL="114300" distR="114300" simplePos="0" relativeHeight="251661312" behindDoc="1" locked="0" layoutInCell="1" allowOverlap="1" wp14:anchorId="3A78877D" wp14:editId="177B8D47">
          <wp:simplePos x="0" y="0"/>
          <wp:positionH relativeFrom="page">
            <wp:align>left</wp:align>
          </wp:positionH>
          <wp:positionV relativeFrom="page">
            <wp:align>top</wp:align>
          </wp:positionV>
          <wp:extent cx="7560000" cy="1436400"/>
          <wp:effectExtent l="0" t="0" r="3175" b="0"/>
          <wp:wrapNone/>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43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90C0" w14:textId="5553280B" w:rsidR="001D3E9B" w:rsidRDefault="001D3E9B">
    <w:pPr>
      <w:pStyle w:val="Header"/>
    </w:pPr>
    <w:r>
      <w:rPr>
        <w:noProof/>
        <w:sz w:val="16"/>
        <w:szCs w:val="16"/>
      </w:rPr>
      <w:drawing>
        <wp:anchor distT="0" distB="0" distL="114300" distR="114300" simplePos="0" relativeHeight="251659264" behindDoc="1" locked="0" layoutInCell="1" allowOverlap="1" wp14:anchorId="72340AC1" wp14:editId="1317C7C3">
          <wp:simplePos x="0" y="0"/>
          <wp:positionH relativeFrom="page">
            <wp:align>right</wp:align>
          </wp:positionH>
          <wp:positionV relativeFrom="page">
            <wp:align>top</wp:align>
          </wp:positionV>
          <wp:extent cx="7560000" cy="1436400"/>
          <wp:effectExtent l="0" t="0" r="3175"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43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D64"/>
    <w:multiLevelType w:val="multilevel"/>
    <w:tmpl w:val="33B63C2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424"/>
        </w:tabs>
        <w:ind w:left="1066" w:hanging="357"/>
      </w:pPr>
      <w:rPr>
        <w:rFonts w:ascii="Symbol" w:hAnsi="Symbol" w:hint="default"/>
        <w:sz w:val="22"/>
        <w:vertAlign w:val="superscript"/>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 w15:restartNumberingAfterBreak="0">
    <w:nsid w:val="00D817C7"/>
    <w:multiLevelType w:val="multilevel"/>
    <w:tmpl w:val="47F2A144"/>
    <w:lvl w:ilvl="0">
      <w:start w:val="1"/>
      <w:numFmt w:val="bullet"/>
      <w:lvlText w:val=""/>
      <w:lvlJc w:val="left"/>
      <w:pPr>
        <w:ind w:left="992" w:hanging="992"/>
      </w:pPr>
      <w:rPr>
        <w:rFonts w:ascii="Symbol" w:hAnsi="Symbol"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623B1E"/>
    <w:multiLevelType w:val="hybridMultilevel"/>
    <w:tmpl w:val="4A3E8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B64AE7"/>
    <w:multiLevelType w:val="hybridMultilevel"/>
    <w:tmpl w:val="7AF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954F30"/>
    <w:multiLevelType w:val="hybridMultilevel"/>
    <w:tmpl w:val="4048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6FA6483"/>
    <w:multiLevelType w:val="hybridMultilevel"/>
    <w:tmpl w:val="8394396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7" w15:restartNumberingAfterBreak="0">
    <w:nsid w:val="076735CD"/>
    <w:multiLevelType w:val="hybridMultilevel"/>
    <w:tmpl w:val="8C50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8142377"/>
    <w:multiLevelType w:val="hybridMultilevel"/>
    <w:tmpl w:val="C02C123E"/>
    <w:lvl w:ilvl="0" w:tplc="78E449E2">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0BA20314"/>
    <w:multiLevelType w:val="multilevel"/>
    <w:tmpl w:val="8F02A646"/>
    <w:lvl w:ilvl="0">
      <w:start w:val="1"/>
      <w:numFmt w:val="bullet"/>
      <w:lvlText w:val="o"/>
      <w:lvlJc w:val="left"/>
      <w:pPr>
        <w:tabs>
          <w:tab w:val="num" w:pos="720"/>
        </w:tabs>
        <w:ind w:left="720" w:hanging="360"/>
      </w:pPr>
      <w:rPr>
        <w:rFonts w:ascii="Consolas" w:hAnsi="Consolas" w:hint="default"/>
        <w:sz w:val="20"/>
      </w:rPr>
    </w:lvl>
    <w:lvl w:ilvl="1" w:tentative="1">
      <w:start w:val="1"/>
      <w:numFmt w:val="bullet"/>
      <w:lvlText w:val="o"/>
      <w:lvlJc w:val="left"/>
      <w:pPr>
        <w:tabs>
          <w:tab w:val="num" w:pos="1440"/>
        </w:tabs>
        <w:ind w:left="1440" w:hanging="360"/>
      </w:pPr>
      <w:rPr>
        <w:rFonts w:ascii="Consolas" w:hAnsi="Consolas" w:hint="default"/>
        <w:sz w:val="20"/>
      </w:rPr>
    </w:lvl>
    <w:lvl w:ilvl="2" w:tentative="1">
      <w:start w:val="1"/>
      <w:numFmt w:val="bullet"/>
      <w:lvlText w:val="o"/>
      <w:lvlJc w:val="left"/>
      <w:pPr>
        <w:tabs>
          <w:tab w:val="num" w:pos="2160"/>
        </w:tabs>
        <w:ind w:left="2160" w:hanging="360"/>
      </w:pPr>
      <w:rPr>
        <w:rFonts w:ascii="Consolas" w:hAnsi="Consolas" w:hint="default"/>
        <w:sz w:val="20"/>
      </w:rPr>
    </w:lvl>
    <w:lvl w:ilvl="3" w:tentative="1">
      <w:start w:val="1"/>
      <w:numFmt w:val="bullet"/>
      <w:lvlText w:val="o"/>
      <w:lvlJc w:val="left"/>
      <w:pPr>
        <w:tabs>
          <w:tab w:val="num" w:pos="2880"/>
        </w:tabs>
        <w:ind w:left="2880" w:hanging="360"/>
      </w:pPr>
      <w:rPr>
        <w:rFonts w:ascii="Consolas" w:hAnsi="Consolas" w:hint="default"/>
        <w:sz w:val="20"/>
      </w:rPr>
    </w:lvl>
    <w:lvl w:ilvl="4" w:tentative="1">
      <w:start w:val="1"/>
      <w:numFmt w:val="bullet"/>
      <w:lvlText w:val="o"/>
      <w:lvlJc w:val="left"/>
      <w:pPr>
        <w:tabs>
          <w:tab w:val="num" w:pos="3600"/>
        </w:tabs>
        <w:ind w:left="3600" w:hanging="360"/>
      </w:pPr>
      <w:rPr>
        <w:rFonts w:ascii="Consolas" w:hAnsi="Consolas" w:hint="default"/>
        <w:sz w:val="20"/>
      </w:rPr>
    </w:lvl>
    <w:lvl w:ilvl="5" w:tentative="1">
      <w:start w:val="1"/>
      <w:numFmt w:val="bullet"/>
      <w:lvlText w:val="o"/>
      <w:lvlJc w:val="left"/>
      <w:pPr>
        <w:tabs>
          <w:tab w:val="num" w:pos="4320"/>
        </w:tabs>
        <w:ind w:left="4320" w:hanging="360"/>
      </w:pPr>
      <w:rPr>
        <w:rFonts w:ascii="Consolas" w:hAnsi="Consolas" w:hint="default"/>
        <w:sz w:val="20"/>
      </w:rPr>
    </w:lvl>
    <w:lvl w:ilvl="6" w:tentative="1">
      <w:start w:val="1"/>
      <w:numFmt w:val="bullet"/>
      <w:lvlText w:val="o"/>
      <w:lvlJc w:val="left"/>
      <w:pPr>
        <w:tabs>
          <w:tab w:val="num" w:pos="5040"/>
        </w:tabs>
        <w:ind w:left="5040" w:hanging="360"/>
      </w:pPr>
      <w:rPr>
        <w:rFonts w:ascii="Consolas" w:hAnsi="Consolas" w:hint="default"/>
        <w:sz w:val="20"/>
      </w:rPr>
    </w:lvl>
    <w:lvl w:ilvl="7" w:tentative="1">
      <w:start w:val="1"/>
      <w:numFmt w:val="bullet"/>
      <w:lvlText w:val="o"/>
      <w:lvlJc w:val="left"/>
      <w:pPr>
        <w:tabs>
          <w:tab w:val="num" w:pos="5760"/>
        </w:tabs>
        <w:ind w:left="5760" w:hanging="360"/>
      </w:pPr>
      <w:rPr>
        <w:rFonts w:ascii="Consolas" w:hAnsi="Consolas" w:hint="default"/>
        <w:sz w:val="20"/>
      </w:rPr>
    </w:lvl>
    <w:lvl w:ilvl="8" w:tentative="1">
      <w:start w:val="1"/>
      <w:numFmt w:val="bullet"/>
      <w:lvlText w:val="o"/>
      <w:lvlJc w:val="left"/>
      <w:pPr>
        <w:tabs>
          <w:tab w:val="num" w:pos="6480"/>
        </w:tabs>
        <w:ind w:left="6480" w:hanging="360"/>
      </w:pPr>
      <w:rPr>
        <w:rFonts w:ascii="Consolas" w:hAnsi="Consolas" w:hint="default"/>
        <w:sz w:val="20"/>
      </w:rPr>
    </w:lvl>
  </w:abstractNum>
  <w:abstractNum w:abstractNumId="10" w15:restartNumberingAfterBreak="0">
    <w:nsid w:val="0C8C07BC"/>
    <w:multiLevelType w:val="hybridMultilevel"/>
    <w:tmpl w:val="ABA8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D8C5D5A"/>
    <w:multiLevelType w:val="multilevel"/>
    <w:tmpl w:val="2CD092E4"/>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2" w15:restartNumberingAfterBreak="0">
    <w:nsid w:val="12370A65"/>
    <w:multiLevelType w:val="multilevel"/>
    <w:tmpl w:val="14090029"/>
    <w:lvl w:ilvl="0">
      <w:start w:val="1"/>
      <w:numFmt w:val="decimal"/>
      <w:suff w:val="space"/>
      <w:lvlText w:val="Chapter %1"/>
      <w:lvlJc w:val="left"/>
      <w:pPr>
        <w:ind w:left="397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42FE2D1"/>
    <w:multiLevelType w:val="hybridMultilevel"/>
    <w:tmpl w:val="FFFFFFFF"/>
    <w:lvl w:ilvl="0" w:tplc="DEAE5D1C">
      <w:start w:val="1"/>
      <w:numFmt w:val="bullet"/>
      <w:lvlText w:val=""/>
      <w:lvlJc w:val="left"/>
      <w:pPr>
        <w:ind w:left="720" w:hanging="360"/>
      </w:pPr>
      <w:rPr>
        <w:rFonts w:ascii="Symbol" w:hAnsi="Symbol" w:hint="default"/>
      </w:rPr>
    </w:lvl>
    <w:lvl w:ilvl="1" w:tplc="997470DA">
      <w:start w:val="1"/>
      <w:numFmt w:val="bullet"/>
      <w:lvlText w:val="o"/>
      <w:lvlJc w:val="left"/>
      <w:pPr>
        <w:ind w:left="1440" w:hanging="360"/>
      </w:pPr>
      <w:rPr>
        <w:rFonts w:ascii="Courier New" w:hAnsi="Courier New" w:hint="default"/>
      </w:rPr>
    </w:lvl>
    <w:lvl w:ilvl="2" w:tplc="ECEA82B6">
      <w:start w:val="1"/>
      <w:numFmt w:val="bullet"/>
      <w:lvlText w:val=""/>
      <w:lvlJc w:val="left"/>
      <w:pPr>
        <w:ind w:left="2160" w:hanging="360"/>
      </w:pPr>
      <w:rPr>
        <w:rFonts w:ascii="Wingdings" w:hAnsi="Wingdings" w:hint="default"/>
      </w:rPr>
    </w:lvl>
    <w:lvl w:ilvl="3" w:tplc="02921188">
      <w:start w:val="1"/>
      <w:numFmt w:val="bullet"/>
      <w:lvlText w:val=""/>
      <w:lvlJc w:val="left"/>
      <w:pPr>
        <w:ind w:left="2880" w:hanging="360"/>
      </w:pPr>
      <w:rPr>
        <w:rFonts w:ascii="Symbol" w:hAnsi="Symbol" w:hint="default"/>
      </w:rPr>
    </w:lvl>
    <w:lvl w:ilvl="4" w:tplc="EBCA369A">
      <w:start w:val="1"/>
      <w:numFmt w:val="bullet"/>
      <w:lvlText w:val="o"/>
      <w:lvlJc w:val="left"/>
      <w:pPr>
        <w:ind w:left="3600" w:hanging="360"/>
      </w:pPr>
      <w:rPr>
        <w:rFonts w:ascii="Courier New" w:hAnsi="Courier New" w:hint="default"/>
      </w:rPr>
    </w:lvl>
    <w:lvl w:ilvl="5" w:tplc="10CA7F20">
      <w:start w:val="1"/>
      <w:numFmt w:val="bullet"/>
      <w:lvlText w:val=""/>
      <w:lvlJc w:val="left"/>
      <w:pPr>
        <w:ind w:left="4320" w:hanging="360"/>
      </w:pPr>
      <w:rPr>
        <w:rFonts w:ascii="Wingdings" w:hAnsi="Wingdings" w:hint="default"/>
      </w:rPr>
    </w:lvl>
    <w:lvl w:ilvl="6" w:tplc="68A8950C">
      <w:start w:val="1"/>
      <w:numFmt w:val="bullet"/>
      <w:lvlText w:val=""/>
      <w:lvlJc w:val="left"/>
      <w:pPr>
        <w:ind w:left="5040" w:hanging="360"/>
      </w:pPr>
      <w:rPr>
        <w:rFonts w:ascii="Symbol" w:hAnsi="Symbol" w:hint="default"/>
      </w:rPr>
    </w:lvl>
    <w:lvl w:ilvl="7" w:tplc="6C6A7D20">
      <w:start w:val="1"/>
      <w:numFmt w:val="bullet"/>
      <w:lvlText w:val="o"/>
      <w:lvlJc w:val="left"/>
      <w:pPr>
        <w:ind w:left="5760" w:hanging="360"/>
      </w:pPr>
      <w:rPr>
        <w:rFonts w:ascii="Courier New" w:hAnsi="Courier New" w:hint="default"/>
      </w:rPr>
    </w:lvl>
    <w:lvl w:ilvl="8" w:tplc="D2D6D5AA">
      <w:start w:val="1"/>
      <w:numFmt w:val="bullet"/>
      <w:lvlText w:val=""/>
      <w:lvlJc w:val="left"/>
      <w:pPr>
        <w:ind w:left="6480" w:hanging="360"/>
      </w:pPr>
      <w:rPr>
        <w:rFonts w:ascii="Wingdings" w:hAnsi="Wingdings" w:hint="default"/>
      </w:rPr>
    </w:lvl>
  </w:abstractNum>
  <w:abstractNum w:abstractNumId="14" w15:restartNumberingAfterBreak="0">
    <w:nsid w:val="148B4C28"/>
    <w:multiLevelType w:val="hybridMultilevel"/>
    <w:tmpl w:val="FFFFFFFF"/>
    <w:lvl w:ilvl="0" w:tplc="CC8A5898">
      <w:start w:val="1"/>
      <w:numFmt w:val="bullet"/>
      <w:lvlText w:val=""/>
      <w:lvlJc w:val="left"/>
      <w:pPr>
        <w:ind w:left="720" w:hanging="360"/>
      </w:pPr>
      <w:rPr>
        <w:rFonts w:ascii="Symbol" w:hAnsi="Symbol" w:hint="default"/>
      </w:rPr>
    </w:lvl>
    <w:lvl w:ilvl="1" w:tplc="3DC66914">
      <w:start w:val="1"/>
      <w:numFmt w:val="bullet"/>
      <w:lvlText w:val="o"/>
      <w:lvlJc w:val="left"/>
      <w:pPr>
        <w:ind w:left="1440" w:hanging="360"/>
      </w:pPr>
      <w:rPr>
        <w:rFonts w:ascii="Courier New" w:hAnsi="Courier New" w:hint="default"/>
      </w:rPr>
    </w:lvl>
    <w:lvl w:ilvl="2" w:tplc="801413F2">
      <w:start w:val="1"/>
      <w:numFmt w:val="bullet"/>
      <w:lvlText w:val=""/>
      <w:lvlJc w:val="left"/>
      <w:pPr>
        <w:ind w:left="2160" w:hanging="360"/>
      </w:pPr>
      <w:rPr>
        <w:rFonts w:ascii="Wingdings" w:hAnsi="Wingdings" w:hint="default"/>
      </w:rPr>
    </w:lvl>
    <w:lvl w:ilvl="3" w:tplc="9914269C">
      <w:start w:val="1"/>
      <w:numFmt w:val="bullet"/>
      <w:lvlText w:val=""/>
      <w:lvlJc w:val="left"/>
      <w:pPr>
        <w:ind w:left="2880" w:hanging="360"/>
      </w:pPr>
      <w:rPr>
        <w:rFonts w:ascii="Symbol" w:hAnsi="Symbol" w:hint="default"/>
      </w:rPr>
    </w:lvl>
    <w:lvl w:ilvl="4" w:tplc="71D8EDAC">
      <w:start w:val="1"/>
      <w:numFmt w:val="bullet"/>
      <w:lvlText w:val="o"/>
      <w:lvlJc w:val="left"/>
      <w:pPr>
        <w:ind w:left="3600" w:hanging="360"/>
      </w:pPr>
      <w:rPr>
        <w:rFonts w:ascii="Courier New" w:hAnsi="Courier New" w:hint="default"/>
      </w:rPr>
    </w:lvl>
    <w:lvl w:ilvl="5" w:tplc="83B8D052">
      <w:start w:val="1"/>
      <w:numFmt w:val="bullet"/>
      <w:lvlText w:val=""/>
      <w:lvlJc w:val="left"/>
      <w:pPr>
        <w:ind w:left="4320" w:hanging="360"/>
      </w:pPr>
      <w:rPr>
        <w:rFonts w:ascii="Wingdings" w:hAnsi="Wingdings" w:hint="default"/>
      </w:rPr>
    </w:lvl>
    <w:lvl w:ilvl="6" w:tplc="8AEE5920">
      <w:start w:val="1"/>
      <w:numFmt w:val="bullet"/>
      <w:lvlText w:val=""/>
      <w:lvlJc w:val="left"/>
      <w:pPr>
        <w:ind w:left="5040" w:hanging="360"/>
      </w:pPr>
      <w:rPr>
        <w:rFonts w:ascii="Symbol" w:hAnsi="Symbol" w:hint="default"/>
      </w:rPr>
    </w:lvl>
    <w:lvl w:ilvl="7" w:tplc="8402DBC8">
      <w:start w:val="1"/>
      <w:numFmt w:val="bullet"/>
      <w:lvlText w:val="o"/>
      <w:lvlJc w:val="left"/>
      <w:pPr>
        <w:ind w:left="5760" w:hanging="360"/>
      </w:pPr>
      <w:rPr>
        <w:rFonts w:ascii="Courier New" w:hAnsi="Courier New" w:hint="default"/>
      </w:rPr>
    </w:lvl>
    <w:lvl w:ilvl="8" w:tplc="4B86B8C0">
      <w:start w:val="1"/>
      <w:numFmt w:val="bullet"/>
      <w:lvlText w:val=""/>
      <w:lvlJc w:val="left"/>
      <w:pPr>
        <w:ind w:left="6480" w:hanging="360"/>
      </w:pPr>
      <w:rPr>
        <w:rFonts w:ascii="Wingdings" w:hAnsi="Wingdings" w:hint="default"/>
      </w:rPr>
    </w:lvl>
  </w:abstractNum>
  <w:abstractNum w:abstractNumId="15" w15:restartNumberingAfterBreak="0">
    <w:nsid w:val="1AD060F0"/>
    <w:multiLevelType w:val="multilevel"/>
    <w:tmpl w:val="8362BF2E"/>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6" w15:restartNumberingAfterBreak="0">
    <w:nsid w:val="1C39728D"/>
    <w:multiLevelType w:val="hybridMultilevel"/>
    <w:tmpl w:val="FD204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D905CD6"/>
    <w:multiLevelType w:val="hybridMultilevel"/>
    <w:tmpl w:val="B16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EA0626C"/>
    <w:multiLevelType w:val="multilevel"/>
    <w:tmpl w:val="1422C38A"/>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9" w15:restartNumberingAfterBreak="0">
    <w:nsid w:val="2F3E22D3"/>
    <w:multiLevelType w:val="multilevel"/>
    <w:tmpl w:val="758E542E"/>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0" w15:restartNumberingAfterBreak="0">
    <w:nsid w:val="30A971E0"/>
    <w:multiLevelType w:val="multilevel"/>
    <w:tmpl w:val="451837C8"/>
    <w:lvl w:ilvl="0">
      <w:start w:val="1"/>
      <w:numFmt w:val="decimal"/>
      <w:suff w:val="nothing"/>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DB6753"/>
    <w:multiLevelType w:val="multilevel"/>
    <w:tmpl w:val="CFA0ECD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2" w15:restartNumberingAfterBreak="0">
    <w:nsid w:val="35C46315"/>
    <w:multiLevelType w:val="hybridMultilevel"/>
    <w:tmpl w:val="98C66A74"/>
    <w:lvl w:ilvl="0" w:tplc="B4C469B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36F214BA"/>
    <w:multiLevelType w:val="multilevel"/>
    <w:tmpl w:val="9C9A3D3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o"/>
      <w:lvlJc w:val="left"/>
      <w:pPr>
        <w:tabs>
          <w:tab w:val="num" w:pos="1785"/>
        </w:tabs>
        <w:ind w:left="1428" w:hanging="357"/>
      </w:pPr>
      <w:rPr>
        <w:rFonts w:ascii="Courier New" w:hAnsi="Courier New" w:cs="Courier New"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4" w15:restartNumberingAfterBreak="0">
    <w:nsid w:val="3BBE233B"/>
    <w:multiLevelType w:val="multilevel"/>
    <w:tmpl w:val="050295E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7264AA"/>
    <w:multiLevelType w:val="multilevel"/>
    <w:tmpl w:val="48462F1A"/>
    <w:lvl w:ilvl="0">
      <w:start w:val="1"/>
      <w:numFmt w:val="bullet"/>
      <w:lvlText w:val=""/>
      <w:lvlJc w:val="left"/>
      <w:pPr>
        <w:ind w:left="357" w:hanging="357"/>
      </w:pPr>
      <w:rPr>
        <w:rFonts w:ascii="Symbol" w:hAnsi="Symbol"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8" w15:restartNumberingAfterBreak="0">
    <w:nsid w:val="46A02079"/>
    <w:multiLevelType w:val="multilevel"/>
    <w:tmpl w:val="F910959A"/>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9" w15:restartNumberingAfterBreak="0">
    <w:nsid w:val="492F5556"/>
    <w:multiLevelType w:val="hybridMultilevel"/>
    <w:tmpl w:val="1A50BB00"/>
    <w:lvl w:ilvl="0" w:tplc="14090001">
      <w:start w:val="1"/>
      <w:numFmt w:val="bullet"/>
      <w:lvlText w:val=""/>
      <w:lvlJc w:val="left"/>
      <w:pPr>
        <w:ind w:left="720" w:hanging="360"/>
      </w:pPr>
      <w:rPr>
        <w:rFonts w:ascii="Symbol" w:hAnsi="Symbol" w:hint="default"/>
      </w:rPr>
    </w:lvl>
    <w:lvl w:ilvl="1" w:tplc="F5DA62D2">
      <w:start w:val="1"/>
      <w:numFmt w:val="bullet"/>
      <w:lvlText w:val="o"/>
      <w:lvlJc w:val="left"/>
      <w:pPr>
        <w:ind w:left="1440" w:hanging="360"/>
      </w:pPr>
      <w:rPr>
        <w:rFonts w:ascii="Courier New" w:hAnsi="Courier New" w:hint="default"/>
      </w:rPr>
    </w:lvl>
    <w:lvl w:ilvl="2" w:tplc="7F08BEA8">
      <w:start w:val="1"/>
      <w:numFmt w:val="bullet"/>
      <w:lvlText w:val=""/>
      <w:lvlJc w:val="left"/>
      <w:pPr>
        <w:ind w:left="2160" w:hanging="360"/>
      </w:pPr>
      <w:rPr>
        <w:rFonts w:ascii="Wingdings" w:hAnsi="Wingdings" w:hint="default"/>
      </w:rPr>
    </w:lvl>
    <w:lvl w:ilvl="3" w:tplc="D1A0A434">
      <w:start w:val="1"/>
      <w:numFmt w:val="bullet"/>
      <w:lvlText w:val=""/>
      <w:lvlJc w:val="left"/>
      <w:pPr>
        <w:ind w:left="2880" w:hanging="360"/>
      </w:pPr>
      <w:rPr>
        <w:rFonts w:ascii="Symbol" w:hAnsi="Symbol" w:hint="default"/>
      </w:rPr>
    </w:lvl>
    <w:lvl w:ilvl="4" w:tplc="12BC1D5A">
      <w:start w:val="1"/>
      <w:numFmt w:val="bullet"/>
      <w:lvlText w:val="o"/>
      <w:lvlJc w:val="left"/>
      <w:pPr>
        <w:ind w:left="3600" w:hanging="360"/>
      </w:pPr>
      <w:rPr>
        <w:rFonts w:ascii="Courier New" w:hAnsi="Courier New" w:hint="default"/>
      </w:rPr>
    </w:lvl>
    <w:lvl w:ilvl="5" w:tplc="6B203414">
      <w:start w:val="1"/>
      <w:numFmt w:val="bullet"/>
      <w:lvlText w:val=""/>
      <w:lvlJc w:val="left"/>
      <w:pPr>
        <w:ind w:left="4320" w:hanging="360"/>
      </w:pPr>
      <w:rPr>
        <w:rFonts w:ascii="Wingdings" w:hAnsi="Wingdings" w:hint="default"/>
      </w:rPr>
    </w:lvl>
    <w:lvl w:ilvl="6" w:tplc="38AED25C">
      <w:start w:val="1"/>
      <w:numFmt w:val="bullet"/>
      <w:lvlText w:val=""/>
      <w:lvlJc w:val="left"/>
      <w:pPr>
        <w:ind w:left="5040" w:hanging="360"/>
      </w:pPr>
      <w:rPr>
        <w:rFonts w:ascii="Symbol" w:hAnsi="Symbol" w:hint="default"/>
      </w:rPr>
    </w:lvl>
    <w:lvl w:ilvl="7" w:tplc="A7223964">
      <w:start w:val="1"/>
      <w:numFmt w:val="bullet"/>
      <w:lvlText w:val="o"/>
      <w:lvlJc w:val="left"/>
      <w:pPr>
        <w:ind w:left="5760" w:hanging="360"/>
      </w:pPr>
      <w:rPr>
        <w:rFonts w:ascii="Courier New" w:hAnsi="Courier New" w:hint="default"/>
      </w:rPr>
    </w:lvl>
    <w:lvl w:ilvl="8" w:tplc="1184776A">
      <w:start w:val="1"/>
      <w:numFmt w:val="bullet"/>
      <w:lvlText w:val=""/>
      <w:lvlJc w:val="left"/>
      <w:pPr>
        <w:ind w:left="6480" w:hanging="360"/>
      </w:pPr>
      <w:rPr>
        <w:rFonts w:ascii="Wingdings" w:hAnsi="Wingdings" w:hint="default"/>
      </w:rPr>
    </w:lvl>
  </w:abstractNum>
  <w:abstractNum w:abstractNumId="30" w15:restartNumberingAfterBreak="0">
    <w:nsid w:val="49B429E7"/>
    <w:multiLevelType w:val="hybridMultilevel"/>
    <w:tmpl w:val="D33C5D50"/>
    <w:lvl w:ilvl="0" w:tplc="327C2A26">
      <w:start w:val="1"/>
      <w:numFmt w:val="bullet"/>
      <w:lvlText w:val="·"/>
      <w:lvlJc w:val="left"/>
      <w:pPr>
        <w:ind w:left="720" w:hanging="360"/>
      </w:pPr>
      <w:rPr>
        <w:rFonts w:ascii="Symbol" w:hAnsi="Symbol" w:hint="default"/>
      </w:rPr>
    </w:lvl>
    <w:lvl w:ilvl="1" w:tplc="7C6229BA">
      <w:start w:val="1"/>
      <w:numFmt w:val="bullet"/>
      <w:lvlText w:val="o"/>
      <w:lvlJc w:val="left"/>
      <w:pPr>
        <w:ind w:left="1440" w:hanging="360"/>
      </w:pPr>
      <w:rPr>
        <w:rFonts w:ascii="Courier New" w:hAnsi="Courier New" w:hint="default"/>
      </w:rPr>
    </w:lvl>
    <w:lvl w:ilvl="2" w:tplc="0F629E78">
      <w:start w:val="1"/>
      <w:numFmt w:val="bullet"/>
      <w:lvlText w:val=""/>
      <w:lvlJc w:val="left"/>
      <w:pPr>
        <w:ind w:left="2160" w:hanging="360"/>
      </w:pPr>
      <w:rPr>
        <w:rFonts w:ascii="Wingdings" w:hAnsi="Wingdings" w:hint="default"/>
      </w:rPr>
    </w:lvl>
    <w:lvl w:ilvl="3" w:tplc="0562E732">
      <w:start w:val="1"/>
      <w:numFmt w:val="bullet"/>
      <w:lvlText w:val=""/>
      <w:lvlJc w:val="left"/>
      <w:pPr>
        <w:ind w:left="2880" w:hanging="360"/>
      </w:pPr>
      <w:rPr>
        <w:rFonts w:ascii="Symbol" w:hAnsi="Symbol" w:hint="default"/>
      </w:rPr>
    </w:lvl>
    <w:lvl w:ilvl="4" w:tplc="02D28E64">
      <w:start w:val="1"/>
      <w:numFmt w:val="bullet"/>
      <w:lvlText w:val="o"/>
      <w:lvlJc w:val="left"/>
      <w:pPr>
        <w:ind w:left="3600" w:hanging="360"/>
      </w:pPr>
      <w:rPr>
        <w:rFonts w:ascii="Courier New" w:hAnsi="Courier New" w:hint="default"/>
      </w:rPr>
    </w:lvl>
    <w:lvl w:ilvl="5" w:tplc="1458C9D2">
      <w:start w:val="1"/>
      <w:numFmt w:val="bullet"/>
      <w:lvlText w:val=""/>
      <w:lvlJc w:val="left"/>
      <w:pPr>
        <w:ind w:left="4320" w:hanging="360"/>
      </w:pPr>
      <w:rPr>
        <w:rFonts w:ascii="Wingdings" w:hAnsi="Wingdings" w:hint="default"/>
      </w:rPr>
    </w:lvl>
    <w:lvl w:ilvl="6" w:tplc="F2703F10">
      <w:start w:val="1"/>
      <w:numFmt w:val="bullet"/>
      <w:lvlText w:val=""/>
      <w:lvlJc w:val="left"/>
      <w:pPr>
        <w:ind w:left="5040" w:hanging="360"/>
      </w:pPr>
      <w:rPr>
        <w:rFonts w:ascii="Symbol" w:hAnsi="Symbol" w:hint="default"/>
      </w:rPr>
    </w:lvl>
    <w:lvl w:ilvl="7" w:tplc="9CD29F62">
      <w:start w:val="1"/>
      <w:numFmt w:val="bullet"/>
      <w:lvlText w:val="o"/>
      <w:lvlJc w:val="left"/>
      <w:pPr>
        <w:ind w:left="5760" w:hanging="360"/>
      </w:pPr>
      <w:rPr>
        <w:rFonts w:ascii="Courier New" w:hAnsi="Courier New" w:hint="default"/>
      </w:rPr>
    </w:lvl>
    <w:lvl w:ilvl="8" w:tplc="F1A2702E">
      <w:start w:val="1"/>
      <w:numFmt w:val="bullet"/>
      <w:lvlText w:val=""/>
      <w:lvlJc w:val="left"/>
      <w:pPr>
        <w:ind w:left="6480" w:hanging="360"/>
      </w:pPr>
      <w:rPr>
        <w:rFonts w:ascii="Wingdings" w:hAnsi="Wingdings" w:hint="default"/>
      </w:rPr>
    </w:lvl>
  </w:abstractNum>
  <w:abstractNum w:abstractNumId="31" w15:restartNumberingAfterBreak="0">
    <w:nsid w:val="4F843D9E"/>
    <w:multiLevelType w:val="multilevel"/>
    <w:tmpl w:val="68EA507E"/>
    <w:lvl w:ilvl="0">
      <w:start w:val="1"/>
      <w:numFmt w:val="decimal"/>
      <w:suff w:val="nothing"/>
      <w:lvlText w:val="Chapter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B51688"/>
    <w:multiLevelType w:val="hybridMultilevel"/>
    <w:tmpl w:val="204EC2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0FC17C7"/>
    <w:multiLevelType w:val="hybridMultilevel"/>
    <w:tmpl w:val="A13AA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512EFF7F"/>
    <w:multiLevelType w:val="hybridMultilevel"/>
    <w:tmpl w:val="5866AA62"/>
    <w:lvl w:ilvl="0" w:tplc="010A260E">
      <w:start w:val="1"/>
      <w:numFmt w:val="bullet"/>
      <w:lvlText w:val="·"/>
      <w:lvlJc w:val="left"/>
      <w:pPr>
        <w:ind w:left="720" w:hanging="360"/>
      </w:pPr>
      <w:rPr>
        <w:rFonts w:ascii="Symbol" w:hAnsi="Symbol" w:hint="default"/>
      </w:rPr>
    </w:lvl>
    <w:lvl w:ilvl="1" w:tplc="6D7CBDE8">
      <w:start w:val="1"/>
      <w:numFmt w:val="bullet"/>
      <w:lvlText w:val="o"/>
      <w:lvlJc w:val="left"/>
      <w:pPr>
        <w:ind w:left="1440" w:hanging="360"/>
      </w:pPr>
      <w:rPr>
        <w:rFonts w:ascii="Courier New" w:hAnsi="Courier New" w:hint="default"/>
      </w:rPr>
    </w:lvl>
    <w:lvl w:ilvl="2" w:tplc="02083CCA">
      <w:start w:val="1"/>
      <w:numFmt w:val="bullet"/>
      <w:lvlText w:val=""/>
      <w:lvlJc w:val="left"/>
      <w:pPr>
        <w:ind w:left="2160" w:hanging="360"/>
      </w:pPr>
      <w:rPr>
        <w:rFonts w:ascii="Wingdings" w:hAnsi="Wingdings" w:hint="default"/>
      </w:rPr>
    </w:lvl>
    <w:lvl w:ilvl="3" w:tplc="A56CC6BA">
      <w:start w:val="1"/>
      <w:numFmt w:val="bullet"/>
      <w:lvlText w:val=""/>
      <w:lvlJc w:val="left"/>
      <w:pPr>
        <w:ind w:left="2880" w:hanging="360"/>
      </w:pPr>
      <w:rPr>
        <w:rFonts w:ascii="Symbol" w:hAnsi="Symbol" w:hint="default"/>
      </w:rPr>
    </w:lvl>
    <w:lvl w:ilvl="4" w:tplc="5AE0DCD4">
      <w:start w:val="1"/>
      <w:numFmt w:val="bullet"/>
      <w:lvlText w:val="o"/>
      <w:lvlJc w:val="left"/>
      <w:pPr>
        <w:ind w:left="3600" w:hanging="360"/>
      </w:pPr>
      <w:rPr>
        <w:rFonts w:ascii="Courier New" w:hAnsi="Courier New" w:hint="default"/>
      </w:rPr>
    </w:lvl>
    <w:lvl w:ilvl="5" w:tplc="55D4FA06">
      <w:start w:val="1"/>
      <w:numFmt w:val="bullet"/>
      <w:lvlText w:val=""/>
      <w:lvlJc w:val="left"/>
      <w:pPr>
        <w:ind w:left="4320" w:hanging="360"/>
      </w:pPr>
      <w:rPr>
        <w:rFonts w:ascii="Wingdings" w:hAnsi="Wingdings" w:hint="default"/>
      </w:rPr>
    </w:lvl>
    <w:lvl w:ilvl="6" w:tplc="4D0E8AFC">
      <w:start w:val="1"/>
      <w:numFmt w:val="bullet"/>
      <w:lvlText w:val=""/>
      <w:lvlJc w:val="left"/>
      <w:pPr>
        <w:ind w:left="5040" w:hanging="360"/>
      </w:pPr>
      <w:rPr>
        <w:rFonts w:ascii="Symbol" w:hAnsi="Symbol" w:hint="default"/>
      </w:rPr>
    </w:lvl>
    <w:lvl w:ilvl="7" w:tplc="76AC3EB8">
      <w:start w:val="1"/>
      <w:numFmt w:val="bullet"/>
      <w:lvlText w:val="o"/>
      <w:lvlJc w:val="left"/>
      <w:pPr>
        <w:ind w:left="5760" w:hanging="360"/>
      </w:pPr>
      <w:rPr>
        <w:rFonts w:ascii="Courier New" w:hAnsi="Courier New" w:hint="default"/>
      </w:rPr>
    </w:lvl>
    <w:lvl w:ilvl="8" w:tplc="6EB2043C">
      <w:start w:val="1"/>
      <w:numFmt w:val="bullet"/>
      <w:lvlText w:val=""/>
      <w:lvlJc w:val="left"/>
      <w:pPr>
        <w:ind w:left="6480" w:hanging="360"/>
      </w:pPr>
      <w:rPr>
        <w:rFonts w:ascii="Wingdings" w:hAnsi="Wingdings" w:hint="default"/>
      </w:rPr>
    </w:lvl>
  </w:abstractNum>
  <w:abstractNum w:abstractNumId="36" w15:restartNumberingAfterBreak="0">
    <w:nsid w:val="55167D45"/>
    <w:multiLevelType w:val="hybridMultilevel"/>
    <w:tmpl w:val="3A80A0FC"/>
    <w:lvl w:ilvl="0" w:tplc="0E74F9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7" w15:restartNumberingAfterBreak="0">
    <w:nsid w:val="55E73FA0"/>
    <w:multiLevelType w:val="multilevel"/>
    <w:tmpl w:val="1AAA43B4"/>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8" w15:restartNumberingAfterBreak="0">
    <w:nsid w:val="59BE1EDB"/>
    <w:multiLevelType w:val="hybridMultilevel"/>
    <w:tmpl w:val="BBB6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B441916"/>
    <w:multiLevelType w:val="multilevel"/>
    <w:tmpl w:val="33189EF0"/>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0" w15:restartNumberingAfterBreak="0">
    <w:nsid w:val="5C44586F"/>
    <w:multiLevelType w:val="multilevel"/>
    <w:tmpl w:val="DE3893F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1" w15:restartNumberingAfterBreak="0">
    <w:nsid w:val="5D8323CD"/>
    <w:multiLevelType w:val="multilevel"/>
    <w:tmpl w:val="419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3834E8"/>
    <w:multiLevelType w:val="hybridMultilevel"/>
    <w:tmpl w:val="E8D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AB6C36"/>
    <w:multiLevelType w:val="hybridMultilevel"/>
    <w:tmpl w:val="FFFFFFFF"/>
    <w:lvl w:ilvl="0" w:tplc="28547ACE">
      <w:start w:val="1"/>
      <w:numFmt w:val="bullet"/>
      <w:lvlText w:val=""/>
      <w:lvlJc w:val="left"/>
      <w:pPr>
        <w:ind w:left="720" w:hanging="360"/>
      </w:pPr>
      <w:rPr>
        <w:rFonts w:ascii="Symbol" w:hAnsi="Symbol" w:hint="default"/>
      </w:rPr>
    </w:lvl>
    <w:lvl w:ilvl="1" w:tplc="CAA4881A">
      <w:start w:val="1"/>
      <w:numFmt w:val="bullet"/>
      <w:lvlText w:val="o"/>
      <w:lvlJc w:val="left"/>
      <w:pPr>
        <w:ind w:left="1440" w:hanging="360"/>
      </w:pPr>
      <w:rPr>
        <w:rFonts w:ascii="Courier New" w:hAnsi="Courier New" w:hint="default"/>
      </w:rPr>
    </w:lvl>
    <w:lvl w:ilvl="2" w:tplc="F71CA8A4">
      <w:start w:val="1"/>
      <w:numFmt w:val="bullet"/>
      <w:lvlText w:val=""/>
      <w:lvlJc w:val="left"/>
      <w:pPr>
        <w:ind w:left="2160" w:hanging="360"/>
      </w:pPr>
      <w:rPr>
        <w:rFonts w:ascii="Wingdings" w:hAnsi="Wingdings" w:hint="default"/>
      </w:rPr>
    </w:lvl>
    <w:lvl w:ilvl="3" w:tplc="49BC09A4">
      <w:start w:val="1"/>
      <w:numFmt w:val="bullet"/>
      <w:lvlText w:val=""/>
      <w:lvlJc w:val="left"/>
      <w:pPr>
        <w:ind w:left="2880" w:hanging="360"/>
      </w:pPr>
      <w:rPr>
        <w:rFonts w:ascii="Symbol" w:hAnsi="Symbol" w:hint="default"/>
      </w:rPr>
    </w:lvl>
    <w:lvl w:ilvl="4" w:tplc="5948A3AA">
      <w:start w:val="1"/>
      <w:numFmt w:val="bullet"/>
      <w:lvlText w:val="o"/>
      <w:lvlJc w:val="left"/>
      <w:pPr>
        <w:ind w:left="3600" w:hanging="360"/>
      </w:pPr>
      <w:rPr>
        <w:rFonts w:ascii="Courier New" w:hAnsi="Courier New" w:hint="default"/>
      </w:rPr>
    </w:lvl>
    <w:lvl w:ilvl="5" w:tplc="5F48B82E">
      <w:start w:val="1"/>
      <w:numFmt w:val="bullet"/>
      <w:lvlText w:val=""/>
      <w:lvlJc w:val="left"/>
      <w:pPr>
        <w:ind w:left="4320" w:hanging="360"/>
      </w:pPr>
      <w:rPr>
        <w:rFonts w:ascii="Wingdings" w:hAnsi="Wingdings" w:hint="default"/>
      </w:rPr>
    </w:lvl>
    <w:lvl w:ilvl="6" w:tplc="3A32FF02">
      <w:start w:val="1"/>
      <w:numFmt w:val="bullet"/>
      <w:lvlText w:val=""/>
      <w:lvlJc w:val="left"/>
      <w:pPr>
        <w:ind w:left="5040" w:hanging="360"/>
      </w:pPr>
      <w:rPr>
        <w:rFonts w:ascii="Symbol" w:hAnsi="Symbol" w:hint="default"/>
      </w:rPr>
    </w:lvl>
    <w:lvl w:ilvl="7" w:tplc="A5B81688">
      <w:start w:val="1"/>
      <w:numFmt w:val="bullet"/>
      <w:lvlText w:val="o"/>
      <w:lvlJc w:val="left"/>
      <w:pPr>
        <w:ind w:left="5760" w:hanging="360"/>
      </w:pPr>
      <w:rPr>
        <w:rFonts w:ascii="Courier New" w:hAnsi="Courier New" w:hint="default"/>
      </w:rPr>
    </w:lvl>
    <w:lvl w:ilvl="8" w:tplc="BADE599C">
      <w:start w:val="1"/>
      <w:numFmt w:val="bullet"/>
      <w:lvlText w:val=""/>
      <w:lvlJc w:val="left"/>
      <w:pPr>
        <w:ind w:left="6480" w:hanging="360"/>
      </w:pPr>
      <w:rPr>
        <w:rFonts w:ascii="Wingdings" w:hAnsi="Wingdings" w:hint="default"/>
      </w:rPr>
    </w:lvl>
  </w:abstractNum>
  <w:abstractNum w:abstractNumId="44" w15:restartNumberingAfterBreak="0">
    <w:nsid w:val="6781056B"/>
    <w:multiLevelType w:val="hybridMultilevel"/>
    <w:tmpl w:val="E6003184"/>
    <w:lvl w:ilvl="0" w:tplc="14090001">
      <w:start w:val="1"/>
      <w:numFmt w:val="bullet"/>
      <w:lvlText w:val=""/>
      <w:lvlJc w:val="left"/>
      <w:pPr>
        <w:ind w:left="720" w:hanging="360"/>
      </w:pPr>
      <w:rPr>
        <w:rFonts w:ascii="Symbol" w:hAnsi="Symbol" w:hint="default"/>
        <w:color w:val="242424"/>
        <w:sz w:val="2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E82320D"/>
    <w:multiLevelType w:val="hybridMultilevel"/>
    <w:tmpl w:val="C0029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00F2C85"/>
    <w:multiLevelType w:val="hybridMultilevel"/>
    <w:tmpl w:val="6A54B9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71272775"/>
    <w:multiLevelType w:val="hybridMultilevel"/>
    <w:tmpl w:val="FE1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8EA6977"/>
    <w:multiLevelType w:val="multilevel"/>
    <w:tmpl w:val="8848D1A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9"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50"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abstractNumId w:val="35"/>
  </w:num>
  <w:num w:numId="2">
    <w:abstractNumId w:val="30"/>
  </w:num>
  <w:num w:numId="3">
    <w:abstractNumId w:val="49"/>
  </w:num>
  <w:num w:numId="4">
    <w:abstractNumId w:val="25"/>
  </w:num>
  <w:num w:numId="5">
    <w:abstractNumId w:val="26"/>
  </w:num>
  <w:num w:numId="6">
    <w:abstractNumId w:val="4"/>
  </w:num>
  <w:num w:numId="7">
    <w:abstractNumId w:val="1"/>
  </w:num>
  <w:num w:numId="8">
    <w:abstractNumId w:val="32"/>
  </w:num>
  <w:num w:numId="9">
    <w:abstractNumId w:val="41"/>
  </w:num>
  <w:num w:numId="10">
    <w:abstractNumId w:val="3"/>
  </w:num>
  <w:num w:numId="11">
    <w:abstractNumId w:val="42"/>
  </w:num>
  <w:num w:numId="12">
    <w:abstractNumId w:val="34"/>
  </w:num>
  <w:num w:numId="13">
    <w:abstractNumId w:val="18"/>
  </w:num>
  <w:num w:numId="14">
    <w:abstractNumId w:val="24"/>
  </w:num>
  <w:num w:numId="15">
    <w:abstractNumId w:val="0"/>
  </w:num>
  <w:num w:numId="16">
    <w:abstractNumId w:val="15"/>
  </w:num>
  <w:num w:numId="17">
    <w:abstractNumId w:val="22"/>
  </w:num>
  <w:num w:numId="18">
    <w:abstractNumId w:val="36"/>
  </w:num>
  <w:num w:numId="19">
    <w:abstractNumId w:val="8"/>
  </w:num>
  <w:num w:numId="20">
    <w:abstractNumId w:val="17"/>
  </w:num>
  <w:num w:numId="21">
    <w:abstractNumId w:val="10"/>
  </w:num>
  <w:num w:numId="22">
    <w:abstractNumId w:val="6"/>
  </w:num>
  <w:num w:numId="23">
    <w:abstractNumId w:val="47"/>
  </w:num>
  <w:num w:numId="24">
    <w:abstractNumId w:val="16"/>
  </w:num>
  <w:num w:numId="25">
    <w:abstractNumId w:val="45"/>
  </w:num>
  <w:num w:numId="26">
    <w:abstractNumId w:val="2"/>
  </w:num>
  <w:num w:numId="27">
    <w:abstractNumId w:val="7"/>
  </w:num>
  <w:num w:numId="28">
    <w:abstractNumId w:val="5"/>
  </w:num>
  <w:num w:numId="29">
    <w:abstractNumId w:val="38"/>
  </w:num>
  <w:num w:numId="30">
    <w:abstractNumId w:val="46"/>
  </w:num>
  <w:num w:numId="31">
    <w:abstractNumId w:val="21"/>
  </w:num>
  <w:num w:numId="32">
    <w:abstractNumId w:val="12"/>
  </w:num>
  <w:num w:numId="33">
    <w:abstractNumId w:val="33"/>
  </w:num>
  <w:num w:numId="34">
    <w:abstractNumId w:val="23"/>
  </w:num>
  <w:num w:numId="35">
    <w:abstractNumId w:val="50"/>
  </w:num>
  <w:num w:numId="36">
    <w:abstractNumId w:val="19"/>
  </w:num>
  <w:num w:numId="37">
    <w:abstractNumId w:val="40"/>
  </w:num>
  <w:num w:numId="38">
    <w:abstractNumId w:val="37"/>
  </w:num>
  <w:num w:numId="39">
    <w:abstractNumId w:val="48"/>
  </w:num>
  <w:num w:numId="40">
    <w:abstractNumId w:val="39"/>
  </w:num>
  <w:num w:numId="41">
    <w:abstractNumId w:val="27"/>
  </w:num>
  <w:num w:numId="42">
    <w:abstractNumId w:val="28"/>
  </w:num>
  <w:num w:numId="43">
    <w:abstractNumId w:val="11"/>
  </w:num>
  <w:num w:numId="44">
    <w:abstractNumId w:val="31"/>
  </w:num>
  <w:num w:numId="45">
    <w:abstractNumId w:val="20"/>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44"/>
  </w:num>
  <w:num w:numId="49">
    <w:abstractNumId w:val="9"/>
  </w:num>
  <w:num w:numId="50">
    <w:abstractNumId w:val="43"/>
  </w:num>
  <w:num w:numId="51">
    <w:abstractNumId w:val="14"/>
  </w:num>
  <w:num w:numId="52">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144DE"/>
    <w:rsid w:val="00014F89"/>
    <w:rsid w:val="00023E2C"/>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9657F"/>
    <w:rsid w:val="000A0158"/>
    <w:rsid w:val="000A373D"/>
    <w:rsid w:val="000A41ED"/>
    <w:rsid w:val="000A7900"/>
    <w:rsid w:val="000B0730"/>
    <w:rsid w:val="000C1FD9"/>
    <w:rsid w:val="000D19F4"/>
    <w:rsid w:val="000D58DD"/>
    <w:rsid w:val="000E0BD4"/>
    <w:rsid w:val="000F0C83"/>
    <w:rsid w:val="000F1305"/>
    <w:rsid w:val="000F1F42"/>
    <w:rsid w:val="000F2AE2"/>
    <w:rsid w:val="000F2BFF"/>
    <w:rsid w:val="00102063"/>
    <w:rsid w:val="0010541C"/>
    <w:rsid w:val="00105770"/>
    <w:rsid w:val="00106F93"/>
    <w:rsid w:val="00111D50"/>
    <w:rsid w:val="00113B8E"/>
    <w:rsid w:val="00115C71"/>
    <w:rsid w:val="00117F59"/>
    <w:rsid w:val="0012053C"/>
    <w:rsid w:val="00120C4C"/>
    <w:rsid w:val="00122363"/>
    <w:rsid w:val="0012364A"/>
    <w:rsid w:val="00125D45"/>
    <w:rsid w:val="001342C7"/>
    <w:rsid w:val="0013585C"/>
    <w:rsid w:val="00135A15"/>
    <w:rsid w:val="00142261"/>
    <w:rsid w:val="00142954"/>
    <w:rsid w:val="001460E0"/>
    <w:rsid w:val="001472F0"/>
    <w:rsid w:val="00147F71"/>
    <w:rsid w:val="00150A6E"/>
    <w:rsid w:val="00154D04"/>
    <w:rsid w:val="00160810"/>
    <w:rsid w:val="0016304B"/>
    <w:rsid w:val="0016318F"/>
    <w:rsid w:val="0016468A"/>
    <w:rsid w:val="0017070E"/>
    <w:rsid w:val="00174F02"/>
    <w:rsid w:val="0018376C"/>
    <w:rsid w:val="0018662D"/>
    <w:rsid w:val="00197427"/>
    <w:rsid w:val="001A0117"/>
    <w:rsid w:val="001A21B4"/>
    <w:rsid w:val="001A5CF5"/>
    <w:rsid w:val="001B39D2"/>
    <w:rsid w:val="001B4BF8"/>
    <w:rsid w:val="001B587B"/>
    <w:rsid w:val="001B7B14"/>
    <w:rsid w:val="001C4326"/>
    <w:rsid w:val="001C665E"/>
    <w:rsid w:val="001D3541"/>
    <w:rsid w:val="001D3E4E"/>
    <w:rsid w:val="001D3E9B"/>
    <w:rsid w:val="001D6755"/>
    <w:rsid w:val="001E254A"/>
    <w:rsid w:val="001E7386"/>
    <w:rsid w:val="001F1C21"/>
    <w:rsid w:val="001F45A7"/>
    <w:rsid w:val="001F5E27"/>
    <w:rsid w:val="0020027C"/>
    <w:rsid w:val="00200906"/>
    <w:rsid w:val="00201A01"/>
    <w:rsid w:val="0020754B"/>
    <w:rsid w:val="002104D3"/>
    <w:rsid w:val="00213A33"/>
    <w:rsid w:val="00217431"/>
    <w:rsid w:val="0021763B"/>
    <w:rsid w:val="002264FF"/>
    <w:rsid w:val="00232E9F"/>
    <w:rsid w:val="0024198F"/>
    <w:rsid w:val="00241BE0"/>
    <w:rsid w:val="0024434D"/>
    <w:rsid w:val="00245748"/>
    <w:rsid w:val="00246DB1"/>
    <w:rsid w:val="002476B5"/>
    <w:rsid w:val="002520CC"/>
    <w:rsid w:val="00253ECF"/>
    <w:rsid w:val="00254044"/>
    <w:rsid w:val="002546A1"/>
    <w:rsid w:val="002575E8"/>
    <w:rsid w:val="00257EF1"/>
    <w:rsid w:val="002628F4"/>
    <w:rsid w:val="00265FA1"/>
    <w:rsid w:val="00275D08"/>
    <w:rsid w:val="002839AF"/>
    <w:rsid w:val="00285080"/>
    <w:rsid w:val="002858E3"/>
    <w:rsid w:val="0029190A"/>
    <w:rsid w:val="00292C5A"/>
    <w:rsid w:val="00295241"/>
    <w:rsid w:val="002967E7"/>
    <w:rsid w:val="002A25E2"/>
    <w:rsid w:val="002A4DFC"/>
    <w:rsid w:val="002B047D"/>
    <w:rsid w:val="002B069B"/>
    <w:rsid w:val="002B732B"/>
    <w:rsid w:val="002B76A7"/>
    <w:rsid w:val="002B7BEC"/>
    <w:rsid w:val="002C2219"/>
    <w:rsid w:val="002C2552"/>
    <w:rsid w:val="002C380A"/>
    <w:rsid w:val="002D0DF2"/>
    <w:rsid w:val="002D23BD"/>
    <w:rsid w:val="002D3ADE"/>
    <w:rsid w:val="002E0B47"/>
    <w:rsid w:val="002F3A0D"/>
    <w:rsid w:val="002F4685"/>
    <w:rsid w:val="002F7213"/>
    <w:rsid w:val="0030382F"/>
    <w:rsid w:val="0030408D"/>
    <w:rsid w:val="003060E4"/>
    <w:rsid w:val="003160E7"/>
    <w:rsid w:val="0031739E"/>
    <w:rsid w:val="00317DA3"/>
    <w:rsid w:val="00321381"/>
    <w:rsid w:val="003235C6"/>
    <w:rsid w:val="003309CA"/>
    <w:rsid w:val="003325AB"/>
    <w:rsid w:val="003332D1"/>
    <w:rsid w:val="0033412B"/>
    <w:rsid w:val="0033448B"/>
    <w:rsid w:val="00341161"/>
    <w:rsid w:val="00343365"/>
    <w:rsid w:val="00343C7C"/>
    <w:rsid w:val="003445F4"/>
    <w:rsid w:val="00347962"/>
    <w:rsid w:val="00353501"/>
    <w:rsid w:val="00353734"/>
    <w:rsid w:val="003538D4"/>
    <w:rsid w:val="003606F8"/>
    <w:rsid w:val="003648EF"/>
    <w:rsid w:val="003673E6"/>
    <w:rsid w:val="00377264"/>
    <w:rsid w:val="003779D2"/>
    <w:rsid w:val="00385E38"/>
    <w:rsid w:val="003952F9"/>
    <w:rsid w:val="003A26A5"/>
    <w:rsid w:val="003A3761"/>
    <w:rsid w:val="003A512D"/>
    <w:rsid w:val="003A5FEA"/>
    <w:rsid w:val="003A710B"/>
    <w:rsid w:val="003B1D10"/>
    <w:rsid w:val="003C310C"/>
    <w:rsid w:val="003C76D4"/>
    <w:rsid w:val="003D137D"/>
    <w:rsid w:val="003D2CC5"/>
    <w:rsid w:val="003D3E5C"/>
    <w:rsid w:val="003D59BB"/>
    <w:rsid w:val="003D645F"/>
    <w:rsid w:val="003E04C1"/>
    <w:rsid w:val="003E0716"/>
    <w:rsid w:val="003E0887"/>
    <w:rsid w:val="003E1098"/>
    <w:rsid w:val="003E74C8"/>
    <w:rsid w:val="003E74E2"/>
    <w:rsid w:val="003E7C46"/>
    <w:rsid w:val="003F2106"/>
    <w:rsid w:val="003F52A7"/>
    <w:rsid w:val="003F7013"/>
    <w:rsid w:val="003F7F6A"/>
    <w:rsid w:val="0040240C"/>
    <w:rsid w:val="00413021"/>
    <w:rsid w:val="00414C35"/>
    <w:rsid w:val="004171B7"/>
    <w:rsid w:val="004301C6"/>
    <w:rsid w:val="0043478F"/>
    <w:rsid w:val="00435A0B"/>
    <w:rsid w:val="0043602B"/>
    <w:rsid w:val="004367D2"/>
    <w:rsid w:val="004374D1"/>
    <w:rsid w:val="00440BE0"/>
    <w:rsid w:val="00442A06"/>
    <w:rsid w:val="00442C1C"/>
    <w:rsid w:val="0044584B"/>
    <w:rsid w:val="004478AF"/>
    <w:rsid w:val="00447CB7"/>
    <w:rsid w:val="00453506"/>
    <w:rsid w:val="00455CC9"/>
    <w:rsid w:val="00460826"/>
    <w:rsid w:val="00460B1E"/>
    <w:rsid w:val="00460EA7"/>
    <w:rsid w:val="0046195B"/>
    <w:rsid w:val="0046362D"/>
    <w:rsid w:val="0046596D"/>
    <w:rsid w:val="0047036C"/>
    <w:rsid w:val="00484146"/>
    <w:rsid w:val="004852AB"/>
    <w:rsid w:val="004859E9"/>
    <w:rsid w:val="00487C04"/>
    <w:rsid w:val="004907E1"/>
    <w:rsid w:val="00494C8E"/>
    <w:rsid w:val="004A035B"/>
    <w:rsid w:val="004A2108"/>
    <w:rsid w:val="004A29A7"/>
    <w:rsid w:val="004A38D7"/>
    <w:rsid w:val="004A469A"/>
    <w:rsid w:val="004A778C"/>
    <w:rsid w:val="004B14DD"/>
    <w:rsid w:val="004B48C7"/>
    <w:rsid w:val="004C2E6A"/>
    <w:rsid w:val="004C64B8"/>
    <w:rsid w:val="004D2A2D"/>
    <w:rsid w:val="004D479F"/>
    <w:rsid w:val="004D4AB4"/>
    <w:rsid w:val="004D6689"/>
    <w:rsid w:val="004E1D1D"/>
    <w:rsid w:val="004E7AC8"/>
    <w:rsid w:val="004F05F4"/>
    <w:rsid w:val="004F0C94"/>
    <w:rsid w:val="005019AE"/>
    <w:rsid w:val="00503749"/>
    <w:rsid w:val="00503D59"/>
    <w:rsid w:val="00504CF4"/>
    <w:rsid w:val="0050635B"/>
    <w:rsid w:val="005075B3"/>
    <w:rsid w:val="005151C2"/>
    <w:rsid w:val="005205B8"/>
    <w:rsid w:val="00524BB1"/>
    <w:rsid w:val="005275E8"/>
    <w:rsid w:val="005309FE"/>
    <w:rsid w:val="0053199F"/>
    <w:rsid w:val="00531E12"/>
    <w:rsid w:val="00533B90"/>
    <w:rsid w:val="005410F8"/>
    <w:rsid w:val="005448EC"/>
    <w:rsid w:val="00545963"/>
    <w:rsid w:val="00550256"/>
    <w:rsid w:val="00552B1F"/>
    <w:rsid w:val="00553165"/>
    <w:rsid w:val="00553958"/>
    <w:rsid w:val="00556BB7"/>
    <w:rsid w:val="0055763D"/>
    <w:rsid w:val="00561516"/>
    <w:rsid w:val="00562018"/>
    <w:rsid w:val="005621F2"/>
    <w:rsid w:val="0056520C"/>
    <w:rsid w:val="00567B58"/>
    <w:rsid w:val="00571223"/>
    <w:rsid w:val="005718A6"/>
    <w:rsid w:val="00573548"/>
    <w:rsid w:val="00574C35"/>
    <w:rsid w:val="005763E0"/>
    <w:rsid w:val="00581136"/>
    <w:rsid w:val="00581EB8"/>
    <w:rsid w:val="005839E7"/>
    <w:rsid w:val="0058437F"/>
    <w:rsid w:val="00595891"/>
    <w:rsid w:val="00595A49"/>
    <w:rsid w:val="005A27CA"/>
    <w:rsid w:val="005A43BD"/>
    <w:rsid w:val="005A79E5"/>
    <w:rsid w:val="005C3EF5"/>
    <w:rsid w:val="005D034C"/>
    <w:rsid w:val="005D2AFD"/>
    <w:rsid w:val="005D41CC"/>
    <w:rsid w:val="005D50B6"/>
    <w:rsid w:val="005D63AB"/>
    <w:rsid w:val="005E226E"/>
    <w:rsid w:val="005E2636"/>
    <w:rsid w:val="00600DC6"/>
    <w:rsid w:val="006015D7"/>
    <w:rsid w:val="00601B21"/>
    <w:rsid w:val="006041F0"/>
    <w:rsid w:val="00605C6D"/>
    <w:rsid w:val="006120CA"/>
    <w:rsid w:val="0061443A"/>
    <w:rsid w:val="006200F0"/>
    <w:rsid w:val="006236BA"/>
    <w:rsid w:val="00624174"/>
    <w:rsid w:val="00626CF8"/>
    <w:rsid w:val="00630E6F"/>
    <w:rsid w:val="006314AF"/>
    <w:rsid w:val="00634003"/>
    <w:rsid w:val="00634ED8"/>
    <w:rsid w:val="00636D7D"/>
    <w:rsid w:val="00637408"/>
    <w:rsid w:val="006427DD"/>
    <w:rsid w:val="00642868"/>
    <w:rsid w:val="006476F2"/>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0754"/>
    <w:rsid w:val="00694895"/>
    <w:rsid w:val="00697E2E"/>
    <w:rsid w:val="006A25A2"/>
    <w:rsid w:val="006A3B87"/>
    <w:rsid w:val="006A5BB2"/>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30D"/>
    <w:rsid w:val="0070091D"/>
    <w:rsid w:val="0070224D"/>
    <w:rsid w:val="00702854"/>
    <w:rsid w:val="00706534"/>
    <w:rsid w:val="00713C86"/>
    <w:rsid w:val="0071741C"/>
    <w:rsid w:val="007327B0"/>
    <w:rsid w:val="00742B90"/>
    <w:rsid w:val="0074434D"/>
    <w:rsid w:val="00752E53"/>
    <w:rsid w:val="00755A1D"/>
    <w:rsid w:val="007570C4"/>
    <w:rsid w:val="007605B8"/>
    <w:rsid w:val="00760D6B"/>
    <w:rsid w:val="00762116"/>
    <w:rsid w:val="00771B1E"/>
    <w:rsid w:val="00773C95"/>
    <w:rsid w:val="0078171E"/>
    <w:rsid w:val="0078658E"/>
    <w:rsid w:val="00787DAA"/>
    <w:rsid w:val="007920E2"/>
    <w:rsid w:val="0079566E"/>
    <w:rsid w:val="00795B34"/>
    <w:rsid w:val="007979D9"/>
    <w:rsid w:val="007A067F"/>
    <w:rsid w:val="007B1770"/>
    <w:rsid w:val="007B47FE"/>
    <w:rsid w:val="007B4D3E"/>
    <w:rsid w:val="007B6224"/>
    <w:rsid w:val="007B7C70"/>
    <w:rsid w:val="007B7DEB"/>
    <w:rsid w:val="007C0449"/>
    <w:rsid w:val="007C43B6"/>
    <w:rsid w:val="007C5F01"/>
    <w:rsid w:val="007D2151"/>
    <w:rsid w:val="007D3B90"/>
    <w:rsid w:val="007D42CC"/>
    <w:rsid w:val="007D5DE4"/>
    <w:rsid w:val="007D7C3A"/>
    <w:rsid w:val="007E0734"/>
    <w:rsid w:val="007E0777"/>
    <w:rsid w:val="007E1341"/>
    <w:rsid w:val="007E1B41"/>
    <w:rsid w:val="007E1EC4"/>
    <w:rsid w:val="007E30B9"/>
    <w:rsid w:val="007E54F1"/>
    <w:rsid w:val="007E74F1"/>
    <w:rsid w:val="007F0F0C"/>
    <w:rsid w:val="007F1288"/>
    <w:rsid w:val="007F1C9B"/>
    <w:rsid w:val="007F3E11"/>
    <w:rsid w:val="00800A8A"/>
    <w:rsid w:val="0080155C"/>
    <w:rsid w:val="008052E1"/>
    <w:rsid w:val="0080722F"/>
    <w:rsid w:val="008075DA"/>
    <w:rsid w:val="00811EEB"/>
    <w:rsid w:val="0082081A"/>
    <w:rsid w:val="00822F2C"/>
    <w:rsid w:val="00823DEE"/>
    <w:rsid w:val="008305E8"/>
    <w:rsid w:val="008351A8"/>
    <w:rsid w:val="00836165"/>
    <w:rsid w:val="008365B2"/>
    <w:rsid w:val="00836CE8"/>
    <w:rsid w:val="0084640C"/>
    <w:rsid w:val="00852C5D"/>
    <w:rsid w:val="00856088"/>
    <w:rsid w:val="00860826"/>
    <w:rsid w:val="00860E21"/>
    <w:rsid w:val="00863117"/>
    <w:rsid w:val="0086388B"/>
    <w:rsid w:val="008642E5"/>
    <w:rsid w:val="00864488"/>
    <w:rsid w:val="00870A36"/>
    <w:rsid w:val="00872D93"/>
    <w:rsid w:val="00880470"/>
    <w:rsid w:val="00880D94"/>
    <w:rsid w:val="008814E8"/>
    <w:rsid w:val="00883BB0"/>
    <w:rsid w:val="00886EFF"/>
    <w:rsid w:val="00886F64"/>
    <w:rsid w:val="008924DE"/>
    <w:rsid w:val="008A3755"/>
    <w:rsid w:val="008B19DC"/>
    <w:rsid w:val="008B264F"/>
    <w:rsid w:val="008B6F83"/>
    <w:rsid w:val="008B7FD8"/>
    <w:rsid w:val="008C11AC"/>
    <w:rsid w:val="008C2973"/>
    <w:rsid w:val="008C3CA8"/>
    <w:rsid w:val="008C6324"/>
    <w:rsid w:val="008C64C4"/>
    <w:rsid w:val="008D10F0"/>
    <w:rsid w:val="008D1D30"/>
    <w:rsid w:val="008D2CDD"/>
    <w:rsid w:val="008D74D5"/>
    <w:rsid w:val="008D7C9F"/>
    <w:rsid w:val="008E04BA"/>
    <w:rsid w:val="008E0ED1"/>
    <w:rsid w:val="008E2083"/>
    <w:rsid w:val="008E3A07"/>
    <w:rsid w:val="008E537B"/>
    <w:rsid w:val="008F29BE"/>
    <w:rsid w:val="008F4AE5"/>
    <w:rsid w:val="008F51EB"/>
    <w:rsid w:val="00900197"/>
    <w:rsid w:val="00902F55"/>
    <w:rsid w:val="00905251"/>
    <w:rsid w:val="0090582B"/>
    <w:rsid w:val="009060C0"/>
    <w:rsid w:val="009133F5"/>
    <w:rsid w:val="0091756F"/>
    <w:rsid w:val="00920A27"/>
    <w:rsid w:val="00921216"/>
    <w:rsid w:val="009216CC"/>
    <w:rsid w:val="009220F3"/>
    <w:rsid w:val="00922E41"/>
    <w:rsid w:val="00925892"/>
    <w:rsid w:val="00926083"/>
    <w:rsid w:val="00926D08"/>
    <w:rsid w:val="00930D08"/>
    <w:rsid w:val="00931466"/>
    <w:rsid w:val="00932D69"/>
    <w:rsid w:val="009354FD"/>
    <w:rsid w:val="00935589"/>
    <w:rsid w:val="009355D7"/>
    <w:rsid w:val="00937408"/>
    <w:rsid w:val="009427FA"/>
    <w:rsid w:val="00944647"/>
    <w:rsid w:val="009469E2"/>
    <w:rsid w:val="0095565C"/>
    <w:rsid w:val="0096400C"/>
    <w:rsid w:val="00964AB6"/>
    <w:rsid w:val="00966F9A"/>
    <w:rsid w:val="009732B2"/>
    <w:rsid w:val="00977B8A"/>
    <w:rsid w:val="00982971"/>
    <w:rsid w:val="009845AD"/>
    <w:rsid w:val="00984835"/>
    <w:rsid w:val="00986837"/>
    <w:rsid w:val="0099062E"/>
    <w:rsid w:val="009933EF"/>
    <w:rsid w:val="00995497"/>
    <w:rsid w:val="00995BA0"/>
    <w:rsid w:val="009A418B"/>
    <w:rsid w:val="009A426F"/>
    <w:rsid w:val="009A42D5"/>
    <w:rsid w:val="009A4473"/>
    <w:rsid w:val="009B05C9"/>
    <w:rsid w:val="009B286C"/>
    <w:rsid w:val="009C151C"/>
    <w:rsid w:val="009C440A"/>
    <w:rsid w:val="009C5323"/>
    <w:rsid w:val="009D5125"/>
    <w:rsid w:val="009D60B8"/>
    <w:rsid w:val="009D7D4B"/>
    <w:rsid w:val="009E36ED"/>
    <w:rsid w:val="009E3B47"/>
    <w:rsid w:val="009E3C8C"/>
    <w:rsid w:val="009E3F9F"/>
    <w:rsid w:val="009E6B77"/>
    <w:rsid w:val="009F4372"/>
    <w:rsid w:val="009F460A"/>
    <w:rsid w:val="00A043FB"/>
    <w:rsid w:val="00A06BE4"/>
    <w:rsid w:val="00A0729C"/>
    <w:rsid w:val="00A073CF"/>
    <w:rsid w:val="00A07779"/>
    <w:rsid w:val="00A1166A"/>
    <w:rsid w:val="00A20342"/>
    <w:rsid w:val="00A20B2E"/>
    <w:rsid w:val="00A24D94"/>
    <w:rsid w:val="00A24F33"/>
    <w:rsid w:val="00A25069"/>
    <w:rsid w:val="00A26E6B"/>
    <w:rsid w:val="00A3068F"/>
    <w:rsid w:val="00A3145B"/>
    <w:rsid w:val="00A339D0"/>
    <w:rsid w:val="00A3415C"/>
    <w:rsid w:val="00A359A2"/>
    <w:rsid w:val="00A41002"/>
    <w:rsid w:val="00A4201A"/>
    <w:rsid w:val="00A54061"/>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C101C"/>
    <w:rsid w:val="00AD4CF1"/>
    <w:rsid w:val="00AD5988"/>
    <w:rsid w:val="00AD6293"/>
    <w:rsid w:val="00AE1643"/>
    <w:rsid w:val="00AE16AF"/>
    <w:rsid w:val="00AF335A"/>
    <w:rsid w:val="00AF372E"/>
    <w:rsid w:val="00AF7800"/>
    <w:rsid w:val="00B00CF5"/>
    <w:rsid w:val="00B072E0"/>
    <w:rsid w:val="00B1007E"/>
    <w:rsid w:val="00B13C0B"/>
    <w:rsid w:val="00B13D41"/>
    <w:rsid w:val="00B14DA0"/>
    <w:rsid w:val="00B155FD"/>
    <w:rsid w:val="00B1737F"/>
    <w:rsid w:val="00B253F6"/>
    <w:rsid w:val="00B26675"/>
    <w:rsid w:val="00B305DB"/>
    <w:rsid w:val="00B31AF6"/>
    <w:rsid w:val="00B332F8"/>
    <w:rsid w:val="00B3492B"/>
    <w:rsid w:val="00B358AD"/>
    <w:rsid w:val="00B44C72"/>
    <w:rsid w:val="00B4646F"/>
    <w:rsid w:val="00B47C82"/>
    <w:rsid w:val="00B55C7D"/>
    <w:rsid w:val="00B63038"/>
    <w:rsid w:val="00B64BD8"/>
    <w:rsid w:val="00B701D1"/>
    <w:rsid w:val="00B73AF2"/>
    <w:rsid w:val="00B73D79"/>
    <w:rsid w:val="00B7551A"/>
    <w:rsid w:val="00B773F1"/>
    <w:rsid w:val="00B86AB1"/>
    <w:rsid w:val="00B87726"/>
    <w:rsid w:val="00B91B22"/>
    <w:rsid w:val="00BA7EBA"/>
    <w:rsid w:val="00BB28DF"/>
    <w:rsid w:val="00BB2A06"/>
    <w:rsid w:val="00BB2CBB"/>
    <w:rsid w:val="00BB4136"/>
    <w:rsid w:val="00BB4198"/>
    <w:rsid w:val="00BB6251"/>
    <w:rsid w:val="00BC03EE"/>
    <w:rsid w:val="00BC59F1"/>
    <w:rsid w:val="00BD21A1"/>
    <w:rsid w:val="00BD488E"/>
    <w:rsid w:val="00BE0EF2"/>
    <w:rsid w:val="00BF3DE1"/>
    <w:rsid w:val="00BF4843"/>
    <w:rsid w:val="00BF5205"/>
    <w:rsid w:val="00C05132"/>
    <w:rsid w:val="00C12508"/>
    <w:rsid w:val="00C20DED"/>
    <w:rsid w:val="00C23728"/>
    <w:rsid w:val="00C3026C"/>
    <w:rsid w:val="00C313A9"/>
    <w:rsid w:val="00C347C8"/>
    <w:rsid w:val="00C358E4"/>
    <w:rsid w:val="00C418EE"/>
    <w:rsid w:val="00C441CF"/>
    <w:rsid w:val="00C451D9"/>
    <w:rsid w:val="00C45A87"/>
    <w:rsid w:val="00C45AA2"/>
    <w:rsid w:val="00C4792C"/>
    <w:rsid w:val="00C55BEF"/>
    <w:rsid w:val="00C57C00"/>
    <w:rsid w:val="00C601AF"/>
    <w:rsid w:val="00C61A63"/>
    <w:rsid w:val="00C66296"/>
    <w:rsid w:val="00C7093C"/>
    <w:rsid w:val="00C7394D"/>
    <w:rsid w:val="00C756B7"/>
    <w:rsid w:val="00C77282"/>
    <w:rsid w:val="00C84DE5"/>
    <w:rsid w:val="00C86248"/>
    <w:rsid w:val="00C90B31"/>
    <w:rsid w:val="00CA0D6F"/>
    <w:rsid w:val="00CA4C33"/>
    <w:rsid w:val="00CA6F4A"/>
    <w:rsid w:val="00CB0657"/>
    <w:rsid w:val="00CB3483"/>
    <w:rsid w:val="00CB3915"/>
    <w:rsid w:val="00CB6427"/>
    <w:rsid w:val="00CB693A"/>
    <w:rsid w:val="00CC0FBE"/>
    <w:rsid w:val="00CC6EA4"/>
    <w:rsid w:val="00CD077C"/>
    <w:rsid w:val="00CD2119"/>
    <w:rsid w:val="00CD237A"/>
    <w:rsid w:val="00CD36AC"/>
    <w:rsid w:val="00CD7344"/>
    <w:rsid w:val="00CE13A3"/>
    <w:rsid w:val="00CE36BC"/>
    <w:rsid w:val="00CF1747"/>
    <w:rsid w:val="00CF60ED"/>
    <w:rsid w:val="00D039ED"/>
    <w:rsid w:val="00D05D74"/>
    <w:rsid w:val="00D20C59"/>
    <w:rsid w:val="00D23323"/>
    <w:rsid w:val="00D2392A"/>
    <w:rsid w:val="00D25FFE"/>
    <w:rsid w:val="00D27922"/>
    <w:rsid w:val="00D27A64"/>
    <w:rsid w:val="00D31060"/>
    <w:rsid w:val="00D37D80"/>
    <w:rsid w:val="00D442F3"/>
    <w:rsid w:val="00D44483"/>
    <w:rsid w:val="00D4476F"/>
    <w:rsid w:val="00D50573"/>
    <w:rsid w:val="00D54D50"/>
    <w:rsid w:val="00D560B4"/>
    <w:rsid w:val="00D659BF"/>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4A22"/>
    <w:rsid w:val="00DA4ECE"/>
    <w:rsid w:val="00DA7F9E"/>
    <w:rsid w:val="00DB39CF"/>
    <w:rsid w:val="00DB6935"/>
    <w:rsid w:val="00DB7256"/>
    <w:rsid w:val="00DC0401"/>
    <w:rsid w:val="00DC20BD"/>
    <w:rsid w:val="00DC7C56"/>
    <w:rsid w:val="00DD0BCD"/>
    <w:rsid w:val="00DD447A"/>
    <w:rsid w:val="00DE2860"/>
    <w:rsid w:val="00DE3B20"/>
    <w:rsid w:val="00DE6C94"/>
    <w:rsid w:val="00DE6FD7"/>
    <w:rsid w:val="00DF0C7C"/>
    <w:rsid w:val="00E064D9"/>
    <w:rsid w:val="00E10B18"/>
    <w:rsid w:val="00E23271"/>
    <w:rsid w:val="00E24F80"/>
    <w:rsid w:val="00E259F3"/>
    <w:rsid w:val="00E27EE1"/>
    <w:rsid w:val="00E30985"/>
    <w:rsid w:val="00E33238"/>
    <w:rsid w:val="00E33934"/>
    <w:rsid w:val="00E376B7"/>
    <w:rsid w:val="00E42F5D"/>
    <w:rsid w:val="00E4486C"/>
    <w:rsid w:val="00E460B6"/>
    <w:rsid w:val="00E511D5"/>
    <w:rsid w:val="00E52321"/>
    <w:rsid w:val="00E53A9F"/>
    <w:rsid w:val="00E57349"/>
    <w:rsid w:val="00E60249"/>
    <w:rsid w:val="00E620CE"/>
    <w:rsid w:val="00E62238"/>
    <w:rsid w:val="00E65269"/>
    <w:rsid w:val="00E76D66"/>
    <w:rsid w:val="00E8550F"/>
    <w:rsid w:val="00E91F35"/>
    <w:rsid w:val="00E94346"/>
    <w:rsid w:val="00E97393"/>
    <w:rsid w:val="00EA796A"/>
    <w:rsid w:val="00EB1856"/>
    <w:rsid w:val="00EC50CE"/>
    <w:rsid w:val="00EC5B34"/>
    <w:rsid w:val="00ED021E"/>
    <w:rsid w:val="00ED323C"/>
    <w:rsid w:val="00EE2D5C"/>
    <w:rsid w:val="00EE4ADE"/>
    <w:rsid w:val="00EE4DE8"/>
    <w:rsid w:val="00EE5CB7"/>
    <w:rsid w:val="00F000BF"/>
    <w:rsid w:val="00F022BD"/>
    <w:rsid w:val="00F024FE"/>
    <w:rsid w:val="00F05AD4"/>
    <w:rsid w:val="00F103BE"/>
    <w:rsid w:val="00F10EB6"/>
    <w:rsid w:val="00F13F07"/>
    <w:rsid w:val="00F140B2"/>
    <w:rsid w:val="00F16595"/>
    <w:rsid w:val="00F25970"/>
    <w:rsid w:val="00F311A9"/>
    <w:rsid w:val="00F31343"/>
    <w:rsid w:val="00F37381"/>
    <w:rsid w:val="00F50AC3"/>
    <w:rsid w:val="00F5180D"/>
    <w:rsid w:val="00F54E74"/>
    <w:rsid w:val="00F5778C"/>
    <w:rsid w:val="00F63781"/>
    <w:rsid w:val="00F67496"/>
    <w:rsid w:val="00F7421E"/>
    <w:rsid w:val="00F74591"/>
    <w:rsid w:val="00F801BA"/>
    <w:rsid w:val="00F807AD"/>
    <w:rsid w:val="00F86028"/>
    <w:rsid w:val="00F9366A"/>
    <w:rsid w:val="00F946C9"/>
    <w:rsid w:val="00FA0EA5"/>
    <w:rsid w:val="00FA68C7"/>
    <w:rsid w:val="00FA74EE"/>
    <w:rsid w:val="00FB0A5B"/>
    <w:rsid w:val="00FB1B8E"/>
    <w:rsid w:val="00FC3711"/>
    <w:rsid w:val="00FC46E7"/>
    <w:rsid w:val="00FC5D25"/>
    <w:rsid w:val="00FD0D7E"/>
    <w:rsid w:val="00FD16C4"/>
    <w:rsid w:val="00FD362F"/>
    <w:rsid w:val="00FD4789"/>
    <w:rsid w:val="00FD47FE"/>
    <w:rsid w:val="00FD4FFB"/>
    <w:rsid w:val="00FE022F"/>
    <w:rsid w:val="00FE6E13"/>
    <w:rsid w:val="00FE7D38"/>
    <w:rsid w:val="00FF15F6"/>
    <w:rsid w:val="00FF527C"/>
    <w:rsid w:val="00FF65CD"/>
    <w:rsid w:val="0ACD963D"/>
    <w:rsid w:val="0E2503CB"/>
    <w:rsid w:val="2159F0DE"/>
    <w:rsid w:val="3D54E621"/>
    <w:rsid w:val="6B24E297"/>
    <w:rsid w:val="6D42817A"/>
    <w:rsid w:val="74404368"/>
    <w:rsid w:val="74B29C80"/>
    <w:rsid w:val="75649CB6"/>
    <w:rsid w:val="76EBE5FB"/>
    <w:rsid w:val="7CB04A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F3DF5E"/>
  <w15:docId w15:val="{0CA0C530-5AD4-41E7-A7A4-DC9A5556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98F"/>
    <w:rPr>
      <w:rFonts w:ascii="Segoe UI" w:hAnsi="Segoe UI"/>
      <w:sz w:val="21"/>
      <w:lang w:eastAsia="en-GB"/>
    </w:rPr>
  </w:style>
  <w:style w:type="paragraph" w:styleId="Heading1">
    <w:name w:val="heading 1"/>
    <w:basedOn w:val="Normal"/>
    <w:next w:val="Normal"/>
    <w:link w:val="Heading1Char"/>
    <w:qFormat/>
    <w:rsid w:val="005D50B6"/>
    <w:pPr>
      <w:pageBreakBefore/>
      <w:spacing w:after="360"/>
      <w:outlineLvl w:val="0"/>
    </w:pPr>
    <w:rPr>
      <w:b/>
      <w:color w:val="1B83A0" w:themeColor="text1"/>
      <w:spacing w:val="-10"/>
      <w:sz w:val="72"/>
    </w:rPr>
  </w:style>
  <w:style w:type="paragraph" w:styleId="Heading2">
    <w:name w:val="heading 2"/>
    <w:basedOn w:val="Normal"/>
    <w:next w:val="Normal"/>
    <w:link w:val="Heading2Char"/>
    <w:qFormat/>
    <w:rsid w:val="00BB4136"/>
    <w:pPr>
      <w:keepNext/>
      <w:spacing w:before="480" w:after="180"/>
      <w:outlineLvl w:val="1"/>
    </w:pPr>
    <w:rPr>
      <w:b/>
      <w:color w:val="1B83A0" w:themeColor="text1"/>
      <w:spacing w:val="-5"/>
      <w:sz w:val="48"/>
    </w:rPr>
  </w:style>
  <w:style w:type="paragraph" w:styleId="Heading3">
    <w:name w:val="heading 3"/>
    <w:basedOn w:val="Normal"/>
    <w:next w:val="Normal"/>
    <w:link w:val="Heading3Char"/>
    <w:qFormat/>
    <w:rsid w:val="00BB4136"/>
    <w:pPr>
      <w:keepNext/>
      <w:numPr>
        <w:ilvl w:val="2"/>
        <w:numId w:val="7"/>
      </w:numPr>
      <w:spacing w:before="360" w:after="180"/>
      <w:outlineLvl w:val="2"/>
    </w:pPr>
    <w:rPr>
      <w:color w:val="1B83A0" w:themeColor="text1"/>
      <w:spacing w:val="-5"/>
      <w:sz w:val="36"/>
    </w:rPr>
  </w:style>
  <w:style w:type="paragraph" w:styleId="Heading4">
    <w:name w:val="heading 4"/>
    <w:basedOn w:val="Normal"/>
    <w:next w:val="Normal"/>
    <w:link w:val="Heading4Char"/>
    <w:qFormat/>
    <w:rsid w:val="00BB4136"/>
    <w:pPr>
      <w:keepNext/>
      <w:spacing w:before="240" w:after="120"/>
      <w:outlineLvl w:val="3"/>
    </w:pPr>
    <w:rPr>
      <w:color w:val="1B83A0" w:themeColor="text1"/>
      <w:spacing w:val="-5"/>
      <w:sz w:val="28"/>
    </w:rPr>
  </w:style>
  <w:style w:type="paragraph" w:styleId="Heading5">
    <w:name w:val="heading 5"/>
    <w:basedOn w:val="Normal"/>
    <w:next w:val="Normal"/>
    <w:link w:val="Heading5Char"/>
    <w:qFormat/>
    <w:rsid w:val="00BB4136"/>
    <w:pPr>
      <w:keepNext/>
      <w:spacing w:before="120" w:after="120"/>
      <w:outlineLvl w:val="4"/>
    </w:pPr>
    <w:rPr>
      <w:color w:val="1B83A0" w:themeColor="text1"/>
      <w:spacing w:val="-5"/>
      <w:sz w:val="22"/>
    </w:rPr>
  </w:style>
  <w:style w:type="paragraph" w:styleId="Heading6">
    <w:name w:val="heading 6"/>
    <w:basedOn w:val="Normal"/>
    <w:next w:val="Normal"/>
    <w:link w:val="Heading6Char"/>
    <w:unhideWhenUsed/>
    <w:qFormat/>
    <w:rsid w:val="00BB4136"/>
    <w:pPr>
      <w:keepNext/>
      <w:spacing w:before="120" w:after="120"/>
      <w:outlineLvl w:val="5"/>
    </w:pPr>
    <w:rPr>
      <w:rFonts w:eastAsia="MS Gothic"/>
      <w:iCs/>
      <w:color w:val="1B83A0" w:themeColor="text1"/>
      <w:spacing w:val="-5"/>
      <w:szCs w:val="24"/>
      <w:lang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50B6"/>
    <w:rPr>
      <w:rFonts w:ascii="Segoe UI" w:hAnsi="Segoe UI"/>
      <w:b/>
      <w:color w:val="1B83A0" w:themeColor="text1"/>
      <w:spacing w:val="-10"/>
      <w:sz w:val="72"/>
      <w:lang w:eastAsia="en-GB"/>
    </w:rPr>
  </w:style>
  <w:style w:type="character" w:customStyle="1" w:styleId="Heading2Char">
    <w:name w:val="Heading 2 Char"/>
    <w:link w:val="Heading2"/>
    <w:rsid w:val="00BB4136"/>
    <w:rPr>
      <w:rFonts w:ascii="Segoe UI" w:hAnsi="Segoe UI"/>
      <w:b/>
      <w:color w:val="1B83A0" w:themeColor="text1"/>
      <w:spacing w:val="-5"/>
      <w:sz w:val="48"/>
      <w:lang w:eastAsia="en-GB"/>
    </w:rPr>
  </w:style>
  <w:style w:type="character" w:customStyle="1" w:styleId="Heading3Char">
    <w:name w:val="Heading 3 Char"/>
    <w:link w:val="Heading3"/>
    <w:rsid w:val="00BB4136"/>
    <w:rPr>
      <w:rFonts w:ascii="Segoe UI" w:hAnsi="Segoe UI"/>
      <w:color w:val="1B83A0" w:themeColor="text1"/>
      <w:spacing w:val="-5"/>
      <w:sz w:val="36"/>
      <w:lang w:eastAsia="en-GB"/>
    </w:rPr>
  </w:style>
  <w:style w:type="character" w:customStyle="1" w:styleId="Heading4Char">
    <w:name w:val="Heading 4 Char"/>
    <w:link w:val="Heading4"/>
    <w:rsid w:val="00BB4136"/>
    <w:rPr>
      <w:rFonts w:ascii="Segoe UI" w:hAnsi="Segoe UI"/>
      <w:color w:val="1B83A0" w:themeColor="text1"/>
      <w:spacing w:val="-5"/>
      <w:sz w:val="28"/>
      <w:lang w:eastAsia="en-GB"/>
    </w:rPr>
  </w:style>
  <w:style w:type="character" w:customStyle="1" w:styleId="Heading5Char">
    <w:name w:val="Heading 5 Char"/>
    <w:link w:val="Heading5"/>
    <w:rsid w:val="00BB4136"/>
    <w:rPr>
      <w:rFonts w:ascii="Segoe UI" w:hAnsi="Segoe UI"/>
      <w:color w:val="1B83A0" w:themeColor="text1"/>
      <w:spacing w:val="-5"/>
      <w:sz w:val="22"/>
      <w:lang w:eastAsia="en-GB"/>
    </w:rPr>
  </w:style>
  <w:style w:type="character" w:customStyle="1" w:styleId="Heading6Char">
    <w:name w:val="Heading 6 Char"/>
    <w:basedOn w:val="DefaultParagraphFont"/>
    <w:link w:val="Heading6"/>
    <w:rsid w:val="00BB4136"/>
    <w:rPr>
      <w:rFonts w:ascii="Segoe UI" w:eastAsia="MS Gothic" w:hAnsi="Segoe UI"/>
      <w:iCs/>
      <w:color w:val="1B83A0" w:themeColor="text1"/>
      <w:spacing w:val="-5"/>
      <w:sz w:val="21"/>
      <w:szCs w:val="24"/>
      <w:lang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D59BB"/>
    <w:pPr>
      <w:tabs>
        <w:tab w:val="right" w:pos="8080"/>
      </w:tabs>
      <w:spacing w:before="300"/>
      <w:ind w:right="567"/>
    </w:pPr>
    <w:rPr>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C7093C"/>
    <w:pPr>
      <w:tabs>
        <w:tab w:val="right" w:pos="8080"/>
      </w:tabs>
      <w:spacing w:before="120"/>
      <w:ind w:left="1134" w:right="567" w:hanging="1134"/>
    </w:pPr>
  </w:style>
  <w:style w:type="paragraph" w:customStyle="1" w:styleId="Bullet">
    <w:name w:val="Bullet"/>
    <w:basedOn w:val="Normal"/>
    <w:link w:val="BulletChar"/>
    <w:uiPriority w:val="99"/>
    <w:qFormat/>
    <w:rsid w:val="00FA0EA5"/>
    <w:pPr>
      <w:numPr>
        <w:numId w:val="3"/>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285080"/>
    <w:pPr>
      <w:spacing w:after="60"/>
      <w:ind w:left="284" w:hanging="284"/>
    </w:pPr>
    <w:rPr>
      <w:sz w:val="17"/>
    </w:rPr>
  </w:style>
  <w:style w:type="character" w:customStyle="1" w:styleId="FootnoteTextChar">
    <w:name w:val="Footnote Text Char"/>
    <w:link w:val="FootnoteText"/>
    <w:rsid w:val="00285080"/>
    <w:rPr>
      <w:rFonts w:ascii="Fira Sans" w:hAnsi="Fira Sans"/>
      <w:sz w:val="17"/>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D50B6"/>
    <w:pPr>
      <w:spacing w:line="216" w:lineRule="auto"/>
      <w:ind w:left="709" w:right="567"/>
    </w:pPr>
    <w:rPr>
      <w:rFonts w:cs="Lucida Sans Unicode"/>
      <w:b/>
      <w:caps/>
      <w:color w:val="1B83A0" w:themeColor="text1"/>
      <w:sz w:val="72"/>
      <w:szCs w:val="72"/>
    </w:rPr>
  </w:style>
  <w:style w:type="character" w:customStyle="1" w:styleId="TitleChar">
    <w:name w:val="Title Char"/>
    <w:link w:val="Title"/>
    <w:rsid w:val="005D50B6"/>
    <w:rPr>
      <w:rFonts w:ascii="Segoe UI" w:hAnsi="Segoe UI" w:cs="Lucida Sans Unicode"/>
      <w:b/>
      <w:caps/>
      <w:color w:val="1B83A0" w:themeColor="text1"/>
      <w:sz w:val="72"/>
      <w:szCs w:val="72"/>
      <w:lang w:eastAsia="en-GB"/>
    </w:rPr>
  </w:style>
  <w:style w:type="paragraph" w:customStyle="1" w:styleId="Imprint">
    <w:name w:val="Imprint"/>
    <w:basedOn w:val="Normal"/>
    <w:next w:val="Normal"/>
    <w:qFormat/>
    <w:rsid w:val="00C05132"/>
    <w:pPr>
      <w:spacing w:after="240"/>
    </w:p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A359A2"/>
    <w:rPr>
      <w:rFonts w:ascii="Fira Sans SemiBold" w:hAnsi="Fira Sans SemiBold"/>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next w:val="Normal"/>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4"/>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6"/>
      </w:numPr>
      <w:spacing w:before="0"/>
    </w:pPr>
  </w:style>
  <w:style w:type="paragraph" w:customStyle="1" w:styleId="Box">
    <w:name w:val="Box"/>
    <w:basedOn w:val="Normal"/>
    <w:qFormat/>
    <w:rsid w:val="000144DE"/>
    <w:pPr>
      <w:pBdr>
        <w:top w:val="single" w:sz="4" w:space="12" w:color="2C463B"/>
        <w:left w:val="single" w:sz="4" w:space="12" w:color="2C463B"/>
        <w:bottom w:val="single" w:sz="4" w:space="12" w:color="2C463B"/>
        <w:right w:val="single" w:sz="4" w:space="12" w:color="2C463B"/>
      </w:pBdr>
      <w:spacing w:before="120"/>
      <w:ind w:left="284" w:right="284"/>
    </w:pPr>
  </w:style>
  <w:style w:type="paragraph" w:customStyle="1" w:styleId="BoxHeading">
    <w:name w:val="BoxHeading"/>
    <w:basedOn w:val="Normal"/>
    <w:next w:val="Box"/>
    <w:qFormat/>
    <w:rsid w:val="000144DE"/>
    <w:pPr>
      <w:keepNext/>
      <w:pBdr>
        <w:top w:val="single" w:sz="4" w:space="12" w:color="2C463B"/>
        <w:left w:val="single" w:sz="4" w:space="12" w:color="2C463B"/>
        <w:bottom w:val="single" w:sz="4" w:space="12" w:color="2C463B"/>
        <w:right w:val="single" w:sz="4" w:space="12" w:color="2C463B"/>
      </w:pBdr>
      <w:spacing w:before="240"/>
      <w:ind w:left="284" w:right="284"/>
    </w:pPr>
    <w:rPr>
      <w:b/>
      <w:sz w:val="24"/>
      <w:szCs w:val="24"/>
    </w:rPr>
  </w:style>
  <w:style w:type="paragraph" w:customStyle="1" w:styleId="BoxBullet">
    <w:name w:val="BoxBullet"/>
    <w:basedOn w:val="Bullet"/>
    <w:qFormat/>
    <w:rsid w:val="000144DE"/>
    <w:pPr>
      <w:pBdr>
        <w:top w:val="single" w:sz="4" w:space="12" w:color="2C463B"/>
        <w:left w:val="single" w:sz="4" w:space="12" w:color="2C463B"/>
        <w:bottom w:val="single" w:sz="4" w:space="12" w:color="2C463B"/>
        <w:right w:val="single" w:sz="4" w:space="12" w:color="2C463B"/>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4A469A"/>
    <w:pPr>
      <w:spacing w:before="360"/>
      <w:ind w:left="709"/>
    </w:pPr>
    <w:rPr>
      <w:rFonts w:cs="Segoe UI Semibold"/>
      <w:b/>
      <w:color w:val="1B83A0" w:themeColor="text1"/>
      <w:sz w:val="48"/>
      <w:szCs w:val="26"/>
    </w:rPr>
  </w:style>
  <w:style w:type="paragraph" w:customStyle="1" w:styleId="Year">
    <w:name w:val="Year"/>
    <w:basedOn w:val="Subhead"/>
    <w:next w:val="Subhead"/>
    <w:qFormat/>
    <w:rsid w:val="00D659BF"/>
    <w:pPr>
      <w:spacing w:before="720"/>
    </w:pPr>
    <w:rPr>
      <w:sz w:val="36"/>
    </w:rPr>
  </w:style>
  <w:style w:type="character" w:styleId="Hyperlink">
    <w:name w:val="Hyperlink"/>
    <w:uiPriority w:val="99"/>
    <w:rsid w:val="007327B0"/>
    <w:rPr>
      <w:b/>
      <w:color w:val="595959"/>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BB4136"/>
    <w:pPr>
      <w:numPr>
        <w:numId w:val="5"/>
      </w:numPr>
      <w:spacing w:before="0"/>
      <w:ind w:left="568" w:hanging="284"/>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7"/>
      </w:numPr>
      <w:spacing w:before="180"/>
    </w:pPr>
    <w:rPr>
      <w:szCs w:val="24"/>
    </w:rPr>
  </w:style>
  <w:style w:type="paragraph" w:customStyle="1" w:styleId="Letter">
    <w:name w:val="Letter"/>
    <w:basedOn w:val="Normal"/>
    <w:qFormat/>
    <w:rsid w:val="00F140B2"/>
    <w:pPr>
      <w:numPr>
        <w:ilvl w:val="4"/>
        <w:numId w:val="7"/>
      </w:numPr>
      <w:spacing w:before="120"/>
    </w:pPr>
  </w:style>
  <w:style w:type="paragraph" w:customStyle="1" w:styleId="Roman">
    <w:name w:val="Roman"/>
    <w:basedOn w:val="Normal"/>
    <w:qFormat/>
    <w:rsid w:val="00AD6293"/>
    <w:pPr>
      <w:numPr>
        <w:ilvl w:val="5"/>
        <w:numId w:val="7"/>
      </w:numPr>
      <w:spacing w:before="90"/>
    </w:pPr>
    <w:rPr>
      <w:rFonts w:eastAsia="Arial Unicode MS"/>
    </w:rPr>
  </w:style>
  <w:style w:type="character" w:styleId="CommentReference">
    <w:name w:val="annotation reference"/>
    <w:basedOn w:val="DefaultParagraphFont"/>
    <w:uiPriority w:val="99"/>
    <w:semiHidden/>
    <w:unhideWhenUsed/>
    <w:rsid w:val="0082081A"/>
    <w:rPr>
      <w:sz w:val="16"/>
      <w:szCs w:val="16"/>
    </w:rPr>
  </w:style>
  <w:style w:type="paragraph" w:styleId="CommentText">
    <w:name w:val="annotation text"/>
    <w:basedOn w:val="Normal"/>
    <w:link w:val="CommentTextChar"/>
    <w:uiPriority w:val="99"/>
    <w:semiHidden/>
    <w:unhideWhenUsed/>
    <w:rsid w:val="0082081A"/>
    <w:rPr>
      <w:sz w:val="48"/>
    </w:rPr>
  </w:style>
  <w:style w:type="character" w:customStyle="1" w:styleId="CommentTextChar">
    <w:name w:val="Comment Text Char"/>
    <w:basedOn w:val="DefaultParagraphFont"/>
    <w:link w:val="CommentText"/>
    <w:uiPriority w:val="99"/>
    <w:semiHidden/>
    <w:rsid w:val="0082081A"/>
    <w:rPr>
      <w:rFonts w:ascii="Segoe UI" w:hAnsi="Segoe UI"/>
      <w:sz w:val="48"/>
      <w:lang w:eastAsia="en-GB"/>
    </w:rPr>
  </w:style>
  <w:style w:type="paragraph" w:styleId="CommentSubject">
    <w:name w:val="annotation subject"/>
    <w:basedOn w:val="CommentText"/>
    <w:next w:val="CommentText"/>
    <w:link w:val="CommentSubjectChar"/>
    <w:semiHidden/>
    <w:unhideWhenUsed/>
    <w:rsid w:val="0082081A"/>
    <w:rPr>
      <w:b/>
      <w:bCs/>
    </w:rPr>
  </w:style>
  <w:style w:type="character" w:customStyle="1" w:styleId="CommentSubjectChar">
    <w:name w:val="Comment Subject Char"/>
    <w:basedOn w:val="CommentTextChar"/>
    <w:link w:val="CommentSubject"/>
    <w:semiHidden/>
    <w:rsid w:val="0082081A"/>
    <w:rPr>
      <w:rFonts w:ascii="Segoe UI" w:hAnsi="Segoe UI"/>
      <w:b/>
      <w:bCs/>
      <w:sz w:val="48"/>
      <w:lang w:eastAsia="en-GB"/>
    </w:rPr>
  </w:style>
  <w:style w:type="table" w:styleId="TableGrid">
    <w:name w:val="Table Grid"/>
    <w:basedOn w:val="TableNormal"/>
    <w:uiPriority w:val="39"/>
    <w:rsid w:val="003D5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1">
    <w:name w:val="Appendix Heading 1"/>
    <w:basedOn w:val="Heading1"/>
    <w:next w:val="Normal"/>
    <w:qFormat/>
    <w:rsid w:val="009220F3"/>
    <w:rPr>
      <w:lang w:eastAsia="en-US"/>
    </w:rPr>
  </w:style>
  <w:style w:type="paragraph" w:styleId="Caption">
    <w:name w:val="caption"/>
    <w:basedOn w:val="Normal"/>
    <w:next w:val="Normal"/>
    <w:unhideWhenUsed/>
    <w:qFormat/>
    <w:rsid w:val="000C1FD9"/>
    <w:pPr>
      <w:spacing w:after="200"/>
    </w:pPr>
    <w:rPr>
      <w:i/>
      <w:iCs/>
      <w:color w:val="23305D" w:themeColor="text2"/>
      <w:sz w:val="18"/>
      <w:szCs w:val="18"/>
    </w:rPr>
  </w:style>
  <w:style w:type="character" w:styleId="UnresolvedMention">
    <w:name w:val="Unresolved Mention"/>
    <w:basedOn w:val="DefaultParagraphFont"/>
    <w:uiPriority w:val="99"/>
    <w:semiHidden/>
    <w:unhideWhenUsed/>
    <w:rsid w:val="00B31AF6"/>
    <w:rPr>
      <w:color w:val="605E5C"/>
      <w:shd w:val="clear" w:color="auto" w:fill="E1DFDD"/>
    </w:rPr>
  </w:style>
  <w:style w:type="paragraph" w:styleId="EndnoteText">
    <w:name w:val="endnote text"/>
    <w:basedOn w:val="Normal"/>
    <w:link w:val="EndnoteTextChar"/>
    <w:semiHidden/>
    <w:unhideWhenUsed/>
    <w:rsid w:val="0056520C"/>
    <w:rPr>
      <w:sz w:val="20"/>
    </w:rPr>
  </w:style>
  <w:style w:type="character" w:customStyle="1" w:styleId="EndnoteTextChar">
    <w:name w:val="Endnote Text Char"/>
    <w:basedOn w:val="DefaultParagraphFont"/>
    <w:link w:val="EndnoteText"/>
    <w:semiHidden/>
    <w:rsid w:val="0056520C"/>
    <w:rPr>
      <w:rFonts w:ascii="Segoe UI" w:hAnsi="Segoe UI"/>
      <w:lang w:eastAsia="en-GB"/>
    </w:rPr>
  </w:style>
  <w:style w:type="character" w:styleId="EndnoteReference">
    <w:name w:val="endnote reference"/>
    <w:basedOn w:val="DefaultParagraphFont"/>
    <w:semiHidden/>
    <w:unhideWhenUsed/>
    <w:rsid w:val="0056520C"/>
    <w:rPr>
      <w:vertAlign w:val="superscript"/>
    </w:rPr>
  </w:style>
  <w:style w:type="character" w:customStyle="1" w:styleId="normaltextrun">
    <w:name w:val="normaltextrun"/>
    <w:basedOn w:val="DefaultParagraphFont"/>
    <w:rsid w:val="007F1C9B"/>
  </w:style>
  <w:style w:type="paragraph" w:customStyle="1" w:styleId="paragraph">
    <w:name w:val="paragraph"/>
    <w:basedOn w:val="Normal"/>
    <w:rsid w:val="00A24D94"/>
    <w:pPr>
      <w:keepLines/>
      <w:spacing w:before="100" w:beforeAutospacing="1" w:after="100" w:afterAutospacing="1"/>
    </w:pPr>
    <w:rPr>
      <w:rFonts w:ascii="Symbol" w:eastAsia="Symbol" w:hAnsi="Symbol" w:cs="Symbol"/>
      <w:sz w:val="24"/>
      <w:szCs w:val="24"/>
      <w:lang w:eastAsia="en-NZ"/>
    </w:rPr>
  </w:style>
  <w:style w:type="paragraph" w:styleId="ListParagraph">
    <w:name w:val="List Paragraph"/>
    <w:aliases w:val="Rec para,List Paragraph1,List Paragraph11,Bullets,Recommendation,Dot pt,F5 List Paragraph,No Spacing1,List Paragraph Char Char Char,Indicator Text,Numbered Para 1,Colorful List - Accent 11,Bullet 1,MAIN CONTENT,List Paragraph12,OBC Bulle"/>
    <w:basedOn w:val="Normal"/>
    <w:link w:val="ListParagraphChar"/>
    <w:uiPriority w:val="34"/>
    <w:qFormat/>
    <w:rsid w:val="00A24D94"/>
    <w:pPr>
      <w:keepLines/>
      <w:spacing w:after="40" w:line="259" w:lineRule="auto"/>
      <w:ind w:left="720"/>
      <w:contextualSpacing/>
    </w:pPr>
    <w:rPr>
      <w:rFonts w:ascii="Yu Gothic Light" w:eastAsiaTheme="minorHAnsi" w:hAnsi="Yu Gothic Light" w:cstheme="minorBidi"/>
      <w:sz w:val="20"/>
      <w:szCs w:val="22"/>
      <w:lang w:eastAsia="en-US"/>
    </w:rPr>
  </w:style>
  <w:style w:type="character" w:customStyle="1" w:styleId="ListParagraphChar">
    <w:name w:val="List Paragraph Char"/>
    <w:aliases w:val="Rec para Char,List Paragraph1 Char,List Paragraph11 Char,Bullets Char,Recommendation Char,Dot pt Char,F5 List Paragraph Char,No Spacing1 Char,List Paragraph Char Char Char Char,Indicator Text Char,Numbered Para 1 Char,Bullet 1 Char"/>
    <w:basedOn w:val="DefaultParagraphFont"/>
    <w:link w:val="ListParagraph"/>
    <w:uiPriority w:val="34"/>
    <w:qFormat/>
    <w:locked/>
    <w:rsid w:val="00A24D94"/>
    <w:rPr>
      <w:rFonts w:ascii="Yu Gothic Light" w:eastAsiaTheme="minorHAnsi" w:hAnsi="Yu Gothic Light"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cdn.who.int/media/docs/default-source/gho-documents/global-health-estimates/gpe_discussion_paper_series_paper31_2001_age_standardization_rates.pdf" TargetMode="External"/><Relationship Id="rId1" Type="http://schemas.openxmlformats.org/officeDocument/2006/relationships/hyperlink" Target="https://seer.cancer.gov/stdpopulations/world.wh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PHA">
      <a:dk1>
        <a:srgbClr val="1B83A0"/>
      </a:dk1>
      <a:lt1>
        <a:srgbClr val="4BAFB0"/>
      </a:lt1>
      <a:dk2>
        <a:srgbClr val="23305D"/>
      </a:dk2>
      <a:lt2>
        <a:srgbClr val="1F806A"/>
      </a:lt2>
      <a:accent1>
        <a:srgbClr val="ED6C77"/>
      </a:accent1>
      <a:accent2>
        <a:srgbClr val="181F1B"/>
      </a:accent2>
      <a:accent3>
        <a:srgbClr val="00A870"/>
      </a:accent3>
      <a:accent4>
        <a:srgbClr val="F7D345"/>
      </a:accent4>
      <a:accent5>
        <a:srgbClr val="E9D1C0"/>
      </a:accent5>
      <a:accent6>
        <a:srgbClr val="1B83A0"/>
      </a:accent6>
      <a:hlink>
        <a:srgbClr val="595959"/>
      </a:hlink>
      <a:folHlink>
        <a:srgbClr val="5959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9F726-5FE5-445D-9EFF-165F64AD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5</Pages>
  <Words>1502</Words>
  <Characters>8285</Characters>
  <Application>Microsoft Office Word</Application>
  <DocSecurity>0</DocSecurity>
  <Lines>176</Lines>
  <Paragraphs>75</Paragraphs>
  <ScaleCrop>false</ScaleCrop>
  <Company>Microsoft</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Trends and Insights Report 9 September 2022</dc:title>
  <dc:creator>Ministry of Health</dc:creator>
  <cp:lastModifiedBy>Rosie Muldowney</cp:lastModifiedBy>
  <cp:revision>2</cp:revision>
  <cp:lastPrinted>2022-09-16T03:34:00Z</cp:lastPrinted>
  <dcterms:created xsi:type="dcterms:W3CDTF">2022-12-16T03:44:00Z</dcterms:created>
  <dcterms:modified xsi:type="dcterms:W3CDTF">2022-12-16T03:44:00Z</dcterms:modified>
</cp:coreProperties>
</file>